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版本号：HSGJ2026—14620260527002</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秦岭区域通信能力提升项目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HSGJ2026—146</w:t>
      </w:r>
      <w:r>
        <w:br/>
      </w:r>
      <w:r>
        <w:br/>
      </w:r>
      <w:r>
        <w:br/>
      </w:r>
    </w:p>
    <w:p>
      <w:pPr>
        <w:pStyle w:val="null3"/>
        <w:jc w:val="center"/>
        <w:outlineLvl w:val="2"/>
      </w:pPr>
      <w:r>
        <w:rPr>
          <w:rFonts w:ascii="仿宋_GB2312" w:hAnsi="仿宋_GB2312" w:cs="仿宋_GB2312" w:eastAsia="仿宋_GB2312"/>
          <w:sz w:val="28"/>
          <w:b/>
        </w:rPr>
        <w:t>西安市秦岭生态环境保护管理局（本级）</w:t>
      </w:r>
    </w:p>
    <w:p>
      <w:pPr>
        <w:pStyle w:val="null3"/>
        <w:jc w:val="center"/>
        <w:outlineLvl w:val="2"/>
      </w:pPr>
      <w:r>
        <w:rPr>
          <w:rFonts w:ascii="仿宋_GB2312" w:hAnsi="仿宋_GB2312" w:cs="仿宋_GB2312" w:eastAsia="仿宋_GB2312"/>
          <w:sz w:val="28"/>
          <w:b/>
        </w:rPr>
        <w:t>华晟国际项目管理有限公司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华晟国际项目管理有限公司</w:t>
      </w:r>
      <w:r>
        <w:rPr>
          <w:rFonts w:ascii="仿宋_GB2312" w:hAnsi="仿宋_GB2312" w:cs="仿宋_GB2312" w:eastAsia="仿宋_GB2312"/>
        </w:rPr>
        <w:t>（以下简称“代理机构”）受</w:t>
      </w:r>
      <w:r>
        <w:rPr>
          <w:rFonts w:ascii="仿宋_GB2312" w:hAnsi="仿宋_GB2312" w:cs="仿宋_GB2312" w:eastAsia="仿宋_GB2312"/>
        </w:rPr>
        <w:t>西安市秦岭生态环境保护管理局（本级）</w:t>
      </w:r>
      <w:r>
        <w:rPr>
          <w:rFonts w:ascii="仿宋_GB2312" w:hAnsi="仿宋_GB2312" w:cs="仿宋_GB2312" w:eastAsia="仿宋_GB2312"/>
        </w:rPr>
        <w:t>委托，拟对</w:t>
      </w:r>
      <w:r>
        <w:rPr>
          <w:rFonts w:ascii="仿宋_GB2312" w:hAnsi="仿宋_GB2312" w:cs="仿宋_GB2312" w:eastAsia="仿宋_GB2312"/>
        </w:rPr>
        <w:t>秦岭区域通信能力提升项目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HSGJ2026—146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秦岭区域通信能力提升项目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秦岭区域通信能力提升项目。具体内容详见第三章。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1、有效的主体资格证明：提供具有独立承担民事责任能力的法人、其他组织或自然人，并出具合法有效的相关证明材料；</w:t>
      </w:r>
    </w:p>
    <w:p>
      <w:pPr>
        <w:pStyle w:val="null3"/>
      </w:pPr>
      <w:r>
        <w:rPr>
          <w:rFonts w:ascii="仿宋_GB2312" w:hAnsi="仿宋_GB2312" w:cs="仿宋_GB2312" w:eastAsia="仿宋_GB2312"/>
        </w:rPr>
        <w:t>2、财务状况报告：供应商提供2025年度经审计的财务会计报告（包括审计报告、资产负债表、利润表、现金流量表、所有者权益变动表及其附注，成立时间至提交响应文件截止时间不足一年的可提供成立后任意时段的资产负债表），或其磋商前三个月内基本存款账户开户银行出具的资信证明，或信用担保机构出具的投标担保函（以上三种形式的资料提供任何一种即可）；</w:t>
      </w:r>
    </w:p>
    <w:p>
      <w:pPr>
        <w:pStyle w:val="null3"/>
      </w:pPr>
      <w:r>
        <w:rPr>
          <w:rFonts w:ascii="仿宋_GB2312" w:hAnsi="仿宋_GB2312" w:cs="仿宋_GB2312" w:eastAsia="仿宋_GB2312"/>
        </w:rPr>
        <w:t>3、税收缴纳证明：提供2026年1月1日至今已缴纳任意一个月的纳税证明或完税证明（任意税种），依法免税的单位应提供相关证明材料；</w:t>
      </w:r>
    </w:p>
    <w:p>
      <w:pPr>
        <w:pStyle w:val="null3"/>
      </w:pPr>
      <w:r>
        <w:rPr>
          <w:rFonts w:ascii="仿宋_GB2312" w:hAnsi="仿宋_GB2312" w:cs="仿宋_GB2312" w:eastAsia="仿宋_GB2312"/>
        </w:rPr>
        <w:t>4、社会保障资金缴纳证明：提供2026年1月1日至今已缴纳任意一个月的社会保障资金缴存单据或社保机构开具的社会保险参保缴费情况证明，依法不需要缴纳社会保障资金的单位应提供相关证明材料；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5、无重大违法记录声明：参加政府采购活动前三年内，在经营活动中没有重大违法记录的书面声明（成立时间至提交响应文件截止时间不足三年的可提供成立至今的书面声明）；</w:t>
      </w:r>
    </w:p>
    <w:p>
      <w:pPr>
        <w:pStyle w:val="null3"/>
      </w:pPr>
      <w:r>
        <w:rPr>
          <w:rFonts w:ascii="仿宋_GB2312" w:hAnsi="仿宋_GB2312" w:cs="仿宋_GB2312" w:eastAsia="仿宋_GB2312"/>
        </w:rPr>
        <w:t>6、专业技术能力证明：提供具有履行合同所必需的设备和专业技术能力的承诺；</w:t>
      </w:r>
    </w:p>
    <w:p>
      <w:pPr>
        <w:pStyle w:val="null3"/>
      </w:pPr>
      <w:r>
        <w:rPr>
          <w:rFonts w:ascii="仿宋_GB2312" w:hAnsi="仿宋_GB2312" w:cs="仿宋_GB2312" w:eastAsia="仿宋_GB2312"/>
        </w:rPr>
        <w:t>7、法定代表人委托授权书\身份证明：法定代表人授权书及被授权人身份证（法定代表人直接参加谈判的须提供其法定代表人身份证），非法人单位参照执行。法定代表人授权代表参加谈判的，须出具法定代表人授权书及授权代表身份证；</w:t>
      </w:r>
    </w:p>
    <w:p>
      <w:pPr>
        <w:pStyle w:val="null3"/>
      </w:pPr>
      <w:r>
        <w:rPr>
          <w:rFonts w:ascii="仿宋_GB2312" w:hAnsi="仿宋_GB2312" w:cs="仿宋_GB2312" w:eastAsia="仿宋_GB2312"/>
        </w:rPr>
        <w:t>8、信用查询：供应商不得为“信用中国(www.creditchina.gov.cn)”中列入失信被执行人和重大税收违法案件当事人名单的供应商，不得为“中国政府采购网(www.ccgp.gov.cn)” 政府采购严重违法失信行为记录名单中被财政部门禁止参加政府采购活动的供应商（采购代理机构查询时限为响应文件递交截止之日）；</w:t>
      </w:r>
    </w:p>
    <w:p>
      <w:pPr>
        <w:pStyle w:val="null3"/>
      </w:pPr>
      <w:r>
        <w:rPr>
          <w:rFonts w:ascii="仿宋_GB2312" w:hAnsi="仿宋_GB2312" w:cs="仿宋_GB2312" w:eastAsia="仿宋_GB2312"/>
        </w:rPr>
        <w:t>9、关联关系：单位负责人为同一人或者存在直接控股、管理关系的不同供应商，不得参加同一合同项下的政府采购活动。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西安市秦岭生态环境保护管理局（本级）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西安市长安区关中环线子午段2345号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雷老师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029-89801382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华晟国际项目管理有限公司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西安市高新路88号尚品国际B幢25层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曹美奇、杨阳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029-81779899转8013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采购包1：1,618,500.00元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代理服务费收费标准：按照国家计委颁布的《招标代理服务收费管理暂行办法》（计价格[2002]1980号）和（发改办价格[2003]857号）货物收费标准计取。 银行户名：华晟国际项目管理有限公司开户银行：建设银行西安劳动路支行 账号：610501 740015 00000 427转账事由：HSGJ2026-146项目代理服务费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西安市秦岭生态环境保护管理局（本级）</w:t>
      </w:r>
      <w:r>
        <w:rPr>
          <w:rFonts w:ascii="仿宋_GB2312" w:hAnsi="仿宋_GB2312" w:cs="仿宋_GB2312" w:eastAsia="仿宋_GB2312"/>
        </w:rPr>
        <w:t>和</w:t>
      </w:r>
      <w:r>
        <w:rPr>
          <w:rFonts w:ascii="仿宋_GB2312" w:hAnsi="仿宋_GB2312" w:cs="仿宋_GB2312" w:eastAsia="仿宋_GB2312"/>
        </w:rPr>
        <w:t>华晟国际项目管理有限公司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西安市秦岭生态环境保护管理局（本级）</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华晟国际项目管理有限公司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西安市秦岭生态环境保护管理局（本级）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华晟国际项目管理有限公司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华晟国际项目管理有限公司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华晟国际项目管理有限公司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华晟国际项目管理有限公司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联系人：曹美奇、杨阳</w:t>
      </w:r>
    </w:p>
    <w:p>
      <w:pPr>
        <w:pStyle w:val="null3"/>
      </w:pPr>
      <w:r>
        <w:rPr>
          <w:rFonts w:ascii="仿宋_GB2312" w:hAnsi="仿宋_GB2312" w:cs="仿宋_GB2312" w:eastAsia="仿宋_GB2312"/>
        </w:rPr>
        <w:t>联系电话：029-81779899转8013</w:t>
      </w:r>
    </w:p>
    <w:p>
      <w:pPr>
        <w:pStyle w:val="null3"/>
      </w:pPr>
      <w:r>
        <w:rPr>
          <w:rFonts w:ascii="仿宋_GB2312" w:hAnsi="仿宋_GB2312" w:cs="仿宋_GB2312" w:eastAsia="仿宋_GB2312"/>
        </w:rPr>
        <w:t>地址：西安市高新路88号尚品国际B幢25层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秦岭区域通信能力提升项目。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1,618,500.00</w:t>
      </w:r>
    </w:p>
    <w:p>
      <w:pPr>
        <w:pStyle w:val="null3"/>
      </w:pPr>
      <w:r>
        <w:rPr>
          <w:rFonts w:ascii="仿宋_GB2312" w:hAnsi="仿宋_GB2312" w:cs="仿宋_GB2312" w:eastAsia="仿宋_GB2312"/>
        </w:rPr>
        <w:t>采购包最高限价（元）: 1,618,500.00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秦岭区域通信能力提升项目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1,398,600.00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w:t>
            </w:r>
          </w:p>
        </w:tc>
        <w:tc>
          <w:tcPr>
            <w:tcW w:type="dxa" w:w="755"/>
          </w:tcPr>
          <w:p>
            <w:pPr>
              <w:pStyle w:val="null3"/>
            </w:pPr>
            <w:r>
              <w:rPr>
                <w:rFonts w:ascii="仿宋_GB2312" w:hAnsi="仿宋_GB2312" w:cs="仿宋_GB2312" w:eastAsia="仿宋_GB2312"/>
              </w:rPr>
              <w:t>秦岭区域通信能力提升项目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219,900.00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w:t>
      </w:r>
    </w:p>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标的名称：秦岭区域通信能力提升项目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color w:val="000000"/>
              </w:rPr>
              <w:t>一、</w:t>
            </w:r>
            <w:r>
              <w:rPr>
                <w:rFonts w:ascii="仿宋_GB2312" w:hAnsi="仿宋_GB2312" w:cs="仿宋_GB2312" w:eastAsia="仿宋_GB2312"/>
                <w:sz w:val="21"/>
                <w:b/>
                <w:color w:val="000000"/>
              </w:rPr>
              <w:t>项目概况</w:t>
            </w:r>
          </w:p>
          <w:p>
            <w:pPr>
              <w:pStyle w:val="null3"/>
              <w:ind w:firstLine="420"/>
              <w:jc w:val="both"/>
            </w:pPr>
            <w:r>
              <w:rPr>
                <w:rFonts w:ascii="仿宋_GB2312" w:hAnsi="仿宋_GB2312" w:cs="仿宋_GB2312" w:eastAsia="仿宋_GB2312"/>
                <w:sz w:val="21"/>
                <w:color w:val="000000"/>
              </w:rPr>
              <w:t>秦岭区域通信能力提升项目</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b/>
                <w:color w:val="000000"/>
              </w:rPr>
              <w:t>二、</w:t>
            </w:r>
            <w:r>
              <w:rPr>
                <w:rFonts w:ascii="仿宋_GB2312" w:hAnsi="仿宋_GB2312" w:cs="仿宋_GB2312" w:eastAsia="仿宋_GB2312"/>
                <w:sz w:val="21"/>
                <w:b/>
                <w:color w:val="000000"/>
              </w:rPr>
              <w:t>采购内容及</w:t>
            </w:r>
            <w:r>
              <w:rPr>
                <w:rFonts w:ascii="仿宋_GB2312" w:hAnsi="仿宋_GB2312" w:cs="仿宋_GB2312" w:eastAsia="仿宋_GB2312"/>
                <w:sz w:val="21"/>
                <w:b/>
                <w:color w:val="000000"/>
              </w:rPr>
              <w:t>技术要求</w:t>
            </w:r>
          </w:p>
          <w:p>
            <w:pPr>
              <w:pStyle w:val="null3"/>
              <w:jc w:val="both"/>
            </w:pPr>
            <w:r>
              <w:rPr>
                <w:rFonts w:ascii="仿宋_GB2312" w:hAnsi="仿宋_GB2312" w:cs="仿宋_GB2312" w:eastAsia="仿宋_GB2312"/>
                <w:sz w:val="21"/>
                <w:b/>
                <w:color w:val="000000"/>
              </w:rPr>
              <w:t>通用无线电通信设备</w:t>
            </w:r>
            <w:r>
              <w:rPr>
                <w:rFonts w:ascii="仿宋_GB2312" w:hAnsi="仿宋_GB2312" w:cs="仿宋_GB2312" w:eastAsia="仿宋_GB2312"/>
                <w:sz w:val="21"/>
                <w:b/>
                <w:color w:val="000000"/>
              </w:rPr>
              <w:t>：</w:t>
            </w:r>
          </w:p>
          <w:tbl>
            <w:tblPr>
              <w:tblInd w:type="dxa" w:w="210"/>
              <w:tblBorders>
                <w:top w:val="none" w:color="000000" w:sz="4"/>
                <w:left w:val="none" w:color="000000" w:sz="4"/>
                <w:bottom w:val="none" w:color="000000" w:sz="4"/>
                <w:right w:val="none" w:color="000000" w:sz="4"/>
                <w:insideH w:val="none"/>
                <w:insideV w:val="none"/>
              </w:tblBorders>
            </w:tblPr>
            <w:tblGrid>
              <w:gridCol w:w="511"/>
              <w:gridCol w:w="511"/>
              <w:gridCol w:w="511"/>
              <w:gridCol w:w="511"/>
              <w:gridCol w:w="511"/>
            </w:tblGrid>
            <w:tr>
              <w:tc>
                <w:tcPr>
                  <w:tcW w:type="dxa" w:w="5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序号</w:t>
                  </w:r>
                </w:p>
              </w:tc>
              <w:tc>
                <w:tcPr>
                  <w:tcW w:type="dxa" w:w="5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名称</w:t>
                  </w:r>
                </w:p>
              </w:tc>
              <w:tc>
                <w:tcPr>
                  <w:tcW w:type="dxa" w:w="5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产品参数</w:t>
                  </w:r>
                </w:p>
              </w:tc>
              <w:tc>
                <w:tcPr>
                  <w:tcW w:type="dxa" w:w="5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数量</w:t>
                  </w:r>
                </w:p>
              </w:tc>
              <w:tc>
                <w:tcPr>
                  <w:tcW w:type="dxa" w:w="5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单位</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对讲机</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（1）对讲机须符合标准</w:t>
                  </w:r>
                  <w:r>
                    <w:rPr>
                      <w:rFonts w:ascii="仿宋_GB2312" w:hAnsi="仿宋_GB2312" w:cs="仿宋_GB2312" w:eastAsia="仿宋_GB2312"/>
                      <w:sz w:val="21"/>
                      <w:color w:val="000000"/>
                    </w:rPr>
                    <w:t>PDT协议、工作频段：350~400 MHz；</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2）支持模拟常规、模拟集群、数字常规、数字集群、公网宽带集群5种工作模式；</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3）支持</w:t>
                  </w:r>
                  <w:r>
                    <w:rPr>
                      <w:rFonts w:ascii="仿宋_GB2312" w:hAnsi="仿宋_GB2312" w:cs="仿宋_GB2312" w:eastAsia="仿宋_GB2312"/>
                      <w:sz w:val="21"/>
                      <w:color w:val="000000"/>
                    </w:rPr>
                    <w:t>安卓操作系统或鸿蒙操作系统</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4）处理器不低于8核；</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5）须配备高清晰度的触屏显示屏，尺寸≥3.5英寸；</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6）终端须支持PDT常规（或PDT集群）/PoC双路发送功能；</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7）对讲机须具备紧急报警功能；</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8）对讲机须支持智能消噪功能；</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9）终端设备须满足在嘈杂环境下清晰对讲的需求，喇叭功率可达2W；</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10）支持会话式录音功能；</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11）★对讲机须无缝接入现有的370MHz</w:t>
                  </w:r>
                  <w:r>
                    <w:rPr>
                      <w:rFonts w:ascii="仿宋_GB2312" w:hAnsi="仿宋_GB2312" w:cs="仿宋_GB2312" w:eastAsia="仿宋_GB2312"/>
                      <w:sz w:val="21"/>
                      <w:color w:val="000000"/>
                    </w:rPr>
                    <w:t>应急管理指挥网</w:t>
                  </w:r>
                  <w:r>
                    <w:rPr>
                      <w:rFonts w:ascii="仿宋_GB2312" w:hAnsi="仿宋_GB2312" w:cs="仿宋_GB2312" w:eastAsia="仿宋_GB2312"/>
                      <w:sz w:val="21"/>
                      <w:color w:val="000000"/>
                    </w:rPr>
                    <w:t>和公专融合系统，功能不得缺失，具备与现有的多模智能对讲机、窄带对讲机等实现互联互通，提供相关证明材料或者供应商承诺函并加盖供应商公章；</w:t>
                  </w:r>
                </w:p>
                <w:p>
                  <w:pPr>
                    <w:pStyle w:val="null3"/>
                    <w:jc w:val="left"/>
                  </w:pPr>
                  <w:r>
                    <w:rPr>
                      <w:rFonts w:ascii="仿宋_GB2312" w:hAnsi="仿宋_GB2312" w:cs="仿宋_GB2312" w:eastAsia="仿宋_GB2312"/>
                      <w:sz w:val="21"/>
                      <w:color w:val="000000"/>
                    </w:rPr>
                    <w:t>（12）★对讲机支持PDT网络和公网PoC双网守候和网络自适应切换，对讲机根据当前网络质量自动选择单一网络进行语音业务，用户无感知切换，需提供官网截图或产品彩页或第三方检测机构出具的证明材料等，并加盖供应商公章；</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13）对讲机须具有中华人民共和国工业和信息化部颁发的《无线电发射设备型号核准证》，须提供证书复印件加盖供应商公章；</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14）终端设备必须获得中华人民共和国工业和信息化部颁发的电信设备进网许可证（CTA）；</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15）支持公网与专网系统深度融合，实现公网与专网的互联互通，无论终端登记在专网还是公网，使用相同号码进行登记，实现一机一号，用户可以使用相同的号码接入不同网络下的业务，需提供官网截图或彩页或第三方检测机构出具的证明材料等，并加盖供应商公章；</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16）终端设备须支持单独北斗定位，需提供官网截图或产品彩页或第三方检测机构出具的证明材料等，并加盖供应商公章；</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17）★提供应急保障服务1年，并提供原厂家设备维保及售后服务，提供供应商承诺函并加盖供应商公章。</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58</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平板自动卫星便携站</w:t>
                  </w:r>
                  <w:r>
                    <w:rPr>
                      <w:rFonts w:ascii="仿宋_GB2312" w:hAnsi="仿宋_GB2312" w:cs="仿宋_GB2312" w:eastAsia="仿宋_GB2312"/>
                      <w:sz w:val="22"/>
                      <w:b/>
                      <w:color w:val="000000"/>
                    </w:rPr>
                    <w:t>（核心产品）</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★天线形态：</w:t>
                  </w:r>
                  <w:r>
                    <w:rPr>
                      <w:rFonts w:ascii="仿宋_GB2312" w:hAnsi="仿宋_GB2312" w:cs="仿宋_GB2312" w:eastAsia="仿宋_GB2312"/>
                      <w:sz w:val="21"/>
                      <w:color w:val="000000"/>
                    </w:rPr>
                    <w:t>平板阵列天线，将天线阵列面、</w:t>
                  </w:r>
                  <w:r>
                    <w:rPr>
                      <w:rFonts w:ascii="仿宋_GB2312" w:hAnsi="仿宋_GB2312" w:cs="仿宋_GB2312" w:eastAsia="仿宋_GB2312"/>
                      <w:sz w:val="21"/>
                      <w:color w:val="000000"/>
                    </w:rPr>
                    <w:t>BUC、LNB、调制解调器、WIFI模块等集成一体</w:t>
                  </w:r>
                  <w:r>
                    <w:rPr>
                      <w:rFonts w:ascii="仿宋_GB2312" w:hAnsi="仿宋_GB2312" w:cs="仿宋_GB2312" w:eastAsia="仿宋_GB2312"/>
                      <w:sz w:val="21"/>
                      <w:color w:val="000000"/>
                    </w:rPr>
                    <w:t>，开通入网无需拼接和线缆连接。需提供官网截图或产品彩页或第三方检测机构出具的证明材料等，并加盖供应商公章；</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2）对星方式：全自动寻星，通电即可使用，入网时间≤3分钟；</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3）接入模式：支持接入Ku频段高通量国产卫星的国产卫星通信系统；</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4）尺寸：天线主体收藏尺寸</w:t>
                  </w:r>
                  <w:r>
                    <w:rPr>
                      <w:rFonts w:ascii="仿宋_GB2312" w:hAnsi="仿宋_GB2312" w:cs="仿宋_GB2312" w:eastAsia="仿宋_GB2312"/>
                      <w:sz w:val="21"/>
                      <w:color w:val="000000"/>
                    </w:rPr>
                    <w:t>≤450mm*300mm*110mm</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5）重量：天线主体（含支架）重量≤5.5Kg，含包装重量≤9Kg；</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6）天线各轴运动范围：方位：360°无限转；俯仰：0°～90°；极化：±90°；</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7）★天线等效口径：≤0.45m。需提供官网截图或产品彩页或第三方检测机构出具的证明材料等，并加盖供应商公章；</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8）功放发射功率：≥15W；工作频率：接收：10.70～12.75GHz；发射：13.75～14.50GHz；</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9）天线增益：接收：≥32dBi（@12.2GHz）；发射：≥32.5dBi（@14.4GHz）；</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10）整机功耗：≤60W；</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11）网络带宽：设备具备上行≥5Mbps、下行≥10Mbps的网络带宽；</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12）接口：Type-C接口*2，支持RJ45接口扩展（共用Type-C接口，配合扩展坞使用）；</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13）设备收纳：支持重力感应收纳及APP滑动收纳；</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14）单独北斗模式：设备支持单独北斗定位模式，提供单独北斗定位能力认证证书及检测报告；</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15）工作温度：</w:t>
                  </w:r>
                  <w:r>
                    <w:rPr>
                      <w:rFonts w:ascii="仿宋_GB2312" w:hAnsi="仿宋_GB2312" w:cs="仿宋_GB2312" w:eastAsia="仿宋_GB2312"/>
                      <w:sz w:val="21"/>
                      <w:color w:val="000000"/>
                    </w:rPr>
                    <w:t>-20℃～50℃；</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16）防护等级：天线主体防护等级≥IP54，设备防护箱防护等级≥IP67；</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17）产品配套移动应用APP，支持Android、鸿蒙操作系统，具备AR寻星、设备实时状态监测、固件升级、日志管理功能。提供相应的软件著作权证书及软件使用说明书；</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18）设备具备中华人民共和国工业和信息化部颁发的《无线电发射设备型号核准证》；</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19）设备具备中华人民共和国工业和信息化部颁发的《电信设备进网试用批文》或《电信设备进网许可证》；</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20）★提供应急保障服务1年，并提供原厂家设备维保及售后服务，提供供应商承诺函并加盖供应商公章。</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r>
            <w:tr>
              <w:tc>
                <w:tcPr>
                  <w:tcW w:type="dxa" w:w="51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51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边缘计算模块</w:t>
                  </w:r>
                </w:p>
              </w:tc>
              <w:tc>
                <w:tcPr>
                  <w:tcW w:type="dxa" w:w="51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1）视频格式支持：H.264/H.265，分辨率支持：4K（4096*2160）、2K（2560*1440）、1080P（1920*1080）、720P（1028*720）；</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2）支持≥4路1080P视频转码压缩；</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3）</w:t>
                  </w:r>
                  <w:r>
                    <w:rPr>
                      <w:rFonts w:ascii="仿宋_GB2312" w:hAnsi="仿宋_GB2312" w:cs="仿宋_GB2312" w:eastAsia="仿宋_GB2312"/>
                      <w:sz w:val="21"/>
                      <w:color w:val="000000"/>
                    </w:rPr>
                    <w:t>支持</w:t>
                  </w:r>
                  <w:r>
                    <w:rPr>
                      <w:rFonts w:ascii="仿宋_GB2312" w:hAnsi="仿宋_GB2312" w:cs="仿宋_GB2312" w:eastAsia="仿宋_GB2312"/>
                      <w:sz w:val="21"/>
                      <w:color w:val="000000"/>
                    </w:rPr>
                    <w:t>RTSP、RTMP、ONVIF、GB28181、大疆机场ESDK接入视频；</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4）设备要求小型化，</w:t>
                  </w:r>
                  <w:r>
                    <w:rPr>
                      <w:rFonts w:ascii="仿宋_GB2312" w:hAnsi="仿宋_GB2312" w:cs="仿宋_GB2312" w:eastAsia="仿宋_GB2312"/>
                      <w:sz w:val="21"/>
                      <w:color w:val="000000"/>
                    </w:rPr>
                    <w:t>尺寸</w:t>
                  </w:r>
                  <w:r>
                    <w:rPr>
                      <w:rFonts w:ascii="仿宋_GB2312" w:hAnsi="仿宋_GB2312" w:cs="仿宋_GB2312" w:eastAsia="仿宋_GB2312"/>
                      <w:sz w:val="21"/>
                      <w:color w:val="000000"/>
                    </w:rPr>
                    <w:t>≤80*110*30mm</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5）设备至少支持2个RJ45千兆网口，1个HDMI接口、1个E-port接口（USB Type C）；</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6）支持通过HDMI、大疆E-Port、RJ45网口方式采集视频；</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7）支持带宽自适应编码输出，能够配置平均码率，根据当前视频画面的变化程度,自动调整压缩后视频的分辨率、压缩等级等编码参数，维持视频按平均码率输出。</w:t>
                  </w:r>
                </w:p>
              </w:tc>
              <w:tc>
                <w:tcPr>
                  <w:tcW w:type="dxa" w:w="51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w:t>
                  </w:r>
                </w:p>
              </w:tc>
              <w:tc>
                <w:tcPr>
                  <w:tcW w:type="dxa" w:w="51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r>
            <w:tr>
              <w:tc>
                <w:tcPr>
                  <w:tcW w:type="dxa" w:w="511"/>
                  <w:vMerge/>
                  <w:tcBorders>
                    <w:top w:val="none" w:color="000000" w:sz="4"/>
                    <w:left w:val="single" w:color="000000" w:sz="4"/>
                    <w:bottom w:val="singl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r>
          </w:tbl>
          <w:p>
            <w:pPr>
              <w:pStyle w:val="null3"/>
            </w:pPr>
            <w:r>
              <w:rPr>
                <w:rFonts w:ascii="仿宋_GB2312" w:hAnsi="仿宋_GB2312" w:cs="仿宋_GB2312" w:eastAsia="仿宋_GB2312"/>
                <w:sz w:val="21"/>
              </w:rPr>
              <w:t>注：</w:t>
            </w:r>
            <w:r>
              <w:rPr>
                <w:rFonts w:ascii="仿宋_GB2312" w:hAnsi="仿宋_GB2312" w:cs="仿宋_GB2312" w:eastAsia="仿宋_GB2312"/>
                <w:sz w:val="21"/>
              </w:rPr>
              <w:t>1、供应商所投产品须与本项目技术要求完全符合</w:t>
            </w:r>
            <w:r>
              <w:rPr>
                <w:rFonts w:ascii="仿宋_GB2312" w:hAnsi="仿宋_GB2312" w:cs="仿宋_GB2312" w:eastAsia="仿宋_GB2312"/>
                <w:sz w:val="21"/>
              </w:rPr>
              <w:t>，其中</w:t>
            </w:r>
            <w:r>
              <w:rPr>
                <w:rFonts w:ascii="仿宋_GB2312" w:hAnsi="仿宋_GB2312" w:cs="仿宋_GB2312" w:eastAsia="仿宋_GB2312"/>
                <w:sz w:val="21"/>
              </w:rPr>
              <w:t>★</w:t>
            </w:r>
            <w:r>
              <w:rPr>
                <w:rFonts w:ascii="仿宋_GB2312" w:hAnsi="仿宋_GB2312" w:cs="仿宋_GB2312" w:eastAsia="仿宋_GB2312"/>
                <w:sz w:val="21"/>
              </w:rPr>
              <w:t>参数必须</w:t>
            </w:r>
            <w:r>
              <w:rPr>
                <w:rFonts w:ascii="仿宋_GB2312" w:hAnsi="仿宋_GB2312" w:cs="仿宋_GB2312" w:eastAsia="仿宋_GB2312"/>
                <w:sz w:val="21"/>
              </w:rPr>
              <w:t>按要求提供相应</w:t>
            </w:r>
            <w:r>
              <w:rPr>
                <w:rFonts w:ascii="仿宋_GB2312" w:hAnsi="仿宋_GB2312" w:cs="仿宋_GB2312" w:eastAsia="仿宋_GB2312"/>
                <w:sz w:val="21"/>
              </w:rPr>
              <w:t>得</w:t>
            </w:r>
            <w:r>
              <w:rPr>
                <w:rFonts w:ascii="仿宋_GB2312" w:hAnsi="仿宋_GB2312" w:cs="仿宋_GB2312" w:eastAsia="仿宋_GB2312"/>
                <w:sz w:val="21"/>
              </w:rPr>
              <w:t>证明材料，否则视为无效响应。</w:t>
            </w:r>
          </w:p>
        </w:tc>
      </w:tr>
    </w:tbl>
    <w:p>
      <w:pPr>
        <w:pStyle w:val="null3"/>
      </w:pPr>
      <w:r>
        <w:rPr>
          <w:rFonts w:ascii="仿宋_GB2312" w:hAnsi="仿宋_GB2312" w:cs="仿宋_GB2312" w:eastAsia="仿宋_GB2312"/>
        </w:rPr>
        <w:t>标的名称：秦岭区域通信能力提升项目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color w:val="000000"/>
              </w:rPr>
              <w:t>一、</w:t>
            </w:r>
            <w:r>
              <w:rPr>
                <w:rFonts w:ascii="仿宋_GB2312" w:hAnsi="仿宋_GB2312" w:cs="仿宋_GB2312" w:eastAsia="仿宋_GB2312"/>
                <w:sz w:val="21"/>
                <w:b/>
                <w:color w:val="000000"/>
              </w:rPr>
              <w:t>项目概况</w:t>
            </w:r>
          </w:p>
          <w:p>
            <w:pPr>
              <w:pStyle w:val="null3"/>
              <w:ind w:firstLine="420"/>
              <w:jc w:val="both"/>
            </w:pPr>
            <w:r>
              <w:rPr>
                <w:rFonts w:ascii="仿宋_GB2312" w:hAnsi="仿宋_GB2312" w:cs="仿宋_GB2312" w:eastAsia="仿宋_GB2312"/>
                <w:sz w:val="21"/>
                <w:color w:val="000000"/>
              </w:rPr>
              <w:t>秦岭区域通信能力提升项目</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b/>
                <w:color w:val="000000"/>
              </w:rPr>
              <w:t>二、</w:t>
            </w:r>
            <w:r>
              <w:rPr>
                <w:rFonts w:ascii="仿宋_GB2312" w:hAnsi="仿宋_GB2312" w:cs="仿宋_GB2312" w:eastAsia="仿宋_GB2312"/>
                <w:sz w:val="21"/>
                <w:b/>
                <w:color w:val="000000"/>
              </w:rPr>
              <w:t>采购内容及</w:t>
            </w:r>
            <w:r>
              <w:rPr>
                <w:rFonts w:ascii="仿宋_GB2312" w:hAnsi="仿宋_GB2312" w:cs="仿宋_GB2312" w:eastAsia="仿宋_GB2312"/>
                <w:sz w:val="21"/>
                <w:b/>
                <w:color w:val="000000"/>
              </w:rPr>
              <w:t>技术要求</w:t>
            </w:r>
          </w:p>
          <w:p>
            <w:pPr>
              <w:pStyle w:val="null3"/>
              <w:jc w:val="both"/>
            </w:pPr>
            <w:r>
              <w:rPr>
                <w:rFonts w:ascii="仿宋_GB2312" w:hAnsi="仿宋_GB2312" w:cs="仿宋_GB2312" w:eastAsia="仿宋_GB2312"/>
                <w:sz w:val="21"/>
                <w:b/>
                <w:color w:val="000000"/>
              </w:rPr>
              <w:t>卫星传输服务</w:t>
            </w:r>
            <w:r>
              <w:rPr>
                <w:rFonts w:ascii="仿宋_GB2312" w:hAnsi="仿宋_GB2312" w:cs="仿宋_GB2312" w:eastAsia="仿宋_GB2312"/>
                <w:sz w:val="21"/>
                <w:b/>
                <w:color w:val="000000"/>
              </w:rPr>
              <w:t>：</w:t>
            </w:r>
          </w:p>
          <w:tbl>
            <w:tblPr>
              <w:tblInd w:type="dxa" w:w="210"/>
              <w:tblBorders>
                <w:top w:val="none" w:color="000000" w:sz="4"/>
                <w:left w:val="none" w:color="000000" w:sz="4"/>
                <w:bottom w:val="none" w:color="000000" w:sz="4"/>
                <w:right w:val="none" w:color="000000" w:sz="4"/>
                <w:insideH w:val="none"/>
                <w:insideV w:val="none"/>
              </w:tblBorders>
            </w:tblPr>
            <w:tblGrid>
              <w:gridCol w:w="511"/>
              <w:gridCol w:w="511"/>
              <w:gridCol w:w="511"/>
              <w:gridCol w:w="511"/>
              <w:gridCol w:w="511"/>
            </w:tblGrid>
            <w:tr>
              <w:tc>
                <w:tcPr>
                  <w:tcW w:type="dxa" w:w="5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5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物联网卡</w:t>
                  </w:r>
                </w:p>
              </w:tc>
              <w:tc>
                <w:tcPr>
                  <w:tcW w:type="dxa" w:w="5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4G或5G</w:t>
                  </w:r>
                  <w:r>
                    <w:rPr>
                      <w:rFonts w:ascii="仿宋_GB2312" w:hAnsi="仿宋_GB2312" w:cs="仿宋_GB2312" w:eastAsia="仿宋_GB2312"/>
                      <w:sz w:val="21"/>
                      <w:color w:val="000000"/>
                    </w:rPr>
                    <w:t>物联网流量卡流量服务，</w:t>
                  </w:r>
                  <w:r>
                    <w:rPr>
                      <w:rFonts w:ascii="仿宋_GB2312" w:hAnsi="仿宋_GB2312" w:cs="仿宋_GB2312" w:eastAsia="仿宋_GB2312"/>
                      <w:sz w:val="21"/>
                      <w:color w:val="000000"/>
                    </w:rPr>
                    <w:t>≥240G/年；</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2）服务期1年</w:t>
                  </w:r>
                </w:p>
              </w:tc>
              <w:tc>
                <w:tcPr>
                  <w:tcW w:type="dxa" w:w="5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58</w:t>
                  </w:r>
                </w:p>
              </w:tc>
              <w:tc>
                <w:tcPr>
                  <w:tcW w:type="dxa" w:w="5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张</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平板自动卫星便携站流量池</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1）提供≥30GB/365天卫星高通量流量服务；</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2）上行≥5Mbps/下行≥10Mbps;</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bl>
          <w:p>
            <w:pPr>
              <w:pStyle w:val="null3"/>
            </w:pPr>
            <w:r>
              <w:rPr>
                <w:rFonts w:ascii="仿宋_GB2312" w:hAnsi="仿宋_GB2312" w:cs="仿宋_GB2312" w:eastAsia="仿宋_GB2312"/>
                <w:sz w:val="21"/>
              </w:rPr>
              <w:t>注：</w:t>
            </w:r>
            <w:r>
              <w:rPr>
                <w:rFonts w:ascii="仿宋_GB2312" w:hAnsi="仿宋_GB2312" w:cs="仿宋_GB2312" w:eastAsia="仿宋_GB2312"/>
                <w:sz w:val="21"/>
              </w:rPr>
              <w:t>1、供应商所投产品须与本项目技术要求完全符合</w:t>
            </w:r>
            <w:r>
              <w:rPr>
                <w:rFonts w:ascii="仿宋_GB2312" w:hAnsi="仿宋_GB2312" w:cs="仿宋_GB2312" w:eastAsia="仿宋_GB2312"/>
                <w:sz w:val="21"/>
              </w:rPr>
              <w:t>，其中</w:t>
            </w:r>
            <w:r>
              <w:rPr>
                <w:rFonts w:ascii="仿宋_GB2312" w:hAnsi="仿宋_GB2312" w:cs="仿宋_GB2312" w:eastAsia="仿宋_GB2312"/>
                <w:sz w:val="21"/>
              </w:rPr>
              <w:t>★</w:t>
            </w:r>
            <w:r>
              <w:rPr>
                <w:rFonts w:ascii="仿宋_GB2312" w:hAnsi="仿宋_GB2312" w:cs="仿宋_GB2312" w:eastAsia="仿宋_GB2312"/>
                <w:sz w:val="21"/>
              </w:rPr>
              <w:t>参数必须</w:t>
            </w:r>
            <w:r>
              <w:rPr>
                <w:rFonts w:ascii="仿宋_GB2312" w:hAnsi="仿宋_GB2312" w:cs="仿宋_GB2312" w:eastAsia="仿宋_GB2312"/>
                <w:sz w:val="21"/>
              </w:rPr>
              <w:t>按要求提供相应</w:t>
            </w:r>
            <w:r>
              <w:rPr>
                <w:rFonts w:ascii="仿宋_GB2312" w:hAnsi="仿宋_GB2312" w:cs="仿宋_GB2312" w:eastAsia="仿宋_GB2312"/>
                <w:sz w:val="21"/>
              </w:rPr>
              <w:t>得</w:t>
            </w:r>
            <w:r>
              <w:rPr>
                <w:rFonts w:ascii="仿宋_GB2312" w:hAnsi="仿宋_GB2312" w:cs="仿宋_GB2312" w:eastAsia="仿宋_GB2312"/>
                <w:sz w:val="21"/>
              </w:rPr>
              <w:t>证明材料，否则视为无效响应。</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自合同签订之日起30日历日内安装调试完毕</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预付款，合同签订后30个工作日内，达到付款条件起30个工作日内，支付合同总金额的40.0%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进度款，项目交付完成并验收合格后，达到付款条件起30个工作日内，支付合同总金额的60.0%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(一）到货后，由采购单位根据合同要求进行验收。验收完成后，出具验收书，以便结算。（二）验收依据 1、竞争性谈判文件、响应文件、澄清表（函）； 2、本合同及附件文本； 3、合同签订时国家及行业现行的标准和技术规范。 （三）乙方应向甲方提交项目实施过程中的所有资料，以便甲方日后管理和维护。 （四）双方拟定的其他条款。</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质保期：验收合格之日起1年，质保期内需提供7*24小时售后应答服务，保证至少一位专门技术人员对接，有问题2小时内给予问题答复。</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一、违约责任 （一）合同中未约定的，按《民法典》中的相关条款执行。 （二）未按合同要求提供产品或产品质量不能满足合同要求，甲方应当将乙方违约的情况以及拟采取的措施以书面形式报政府采购监管部门，根据政府采购监管部门的处理意见，甲方有权依据《民法典》有关条款及合同约定解除合同，乙方应向甲方支付合同价款 10 ％的违约金。同时，政府采购监管部门有权依据《政府采购法》及相关法律法规对乙方的违法行为进行相应的处罚。 （三）乙方逾期交付产品的（包括更换、补交等），应当自逾期之日起每日按合同价款的 1 %向甲方支付违约金。若因乙方原因逾期交货超过 10 天的，甲方有权拒收并解除本合同，且乙方应向甲方支付合同价款 10 %的违约金。 （四）如乙方所交的产品经甲方验收不符合合同约定或规定标准的，甲方有权拒收，乙方应当在甲方指定期限内更换，由此导致乙方逾期交货的，乙方还应承担逾期交货的违约责任。 （五）本合同中各条款约定的违约金可自甲方未支付款项中直接扣除，违约金若不能弥补甲方损失的，乙方还应赔偿甲方损失。 （六）双方拟定的其他条款。 二、争议解决 （一）本合同在履行过程中发生的争议，由甲、乙双方当事人协商解决，协商不成的按下列第 2 种方式解决： 1、提交西安仲裁委员会仲裁； 2、依法向甲方所在地人民法院起诉。 （二）本条款为独立条款，本合同的无效、变更、解除和终止均不影响本条款的效力。</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1、对本国产品给予价格评审优惠 1.1 根据《国务院办公厅关于在政府采购中实施本国产品标准及相关政策的通知 》（国办发〔2025〕34号），政府采购活动中既有本国产品又有非本国产品参与竞争的，依法对本国产品给予价格评审优惠，对本国产品的报价给予20%的价格扣除，用扣除后的价格参与评审。 1.2 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 注:供应商提供的产品属于本国产品的，出具《关于符合本国产品标准的声明函》(以下简称《声明函》)或财政部会同有关部门规定的有关证明文件。出具符合要求的《声明函》或有关证明文件的，该产品视为本国产品。供应商提供虚假《声明函》、虚假证明文件谋取中标、成交的，依照《中华人民共和国政府采购法》等法律法规规定追究相应责任。投标人可同时享受支持中小企业发展政策及对本国产品的支持政策。相关价格评审扣除优惠，均应该在投标人原始报价基础上计算，用扣除后的价格参与评审。</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提供具有独立承担民事责任能力的法人、其他组织或自然人，并出具合法有效的相关证明材料；</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应商提供2025年度经审计的财务会计报告（包括审计报告、资产负债表、利润表、现金流量表、所有者权益变动表及其附注，成立时间至提交响应文件截止时间不足一年的可提供成立后任意时段的资产负债表），或其磋商前三个月内基本存款账户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提供2026年1月1日至今已缴纳任意一个月的纳税证明或完税证明（任意税种），依法免税的单位应提供相关证明材料；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提供2026年1月1日至今已缴纳任意一个月的社会保障资金缴存单据或社保机构开具的社会保险参保缴费情况证明，依法不需要缴纳社会保障资金的单位应提供相关证明材料；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参加政府采购活动前三年内，在经营活动中没有重大违法记录的书面声明（成立时间至提交响应文件截止时间不足三年的可提供成立至今的书面声明）；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专业技术能力证明</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法定代表人委托授权书\身份证明</w:t>
            </w:r>
          </w:p>
        </w:tc>
        <w:tc>
          <w:tcPr>
            <w:tcW w:type="dxa" w:w="3322"/>
          </w:tcPr>
          <w:p>
            <w:pPr>
              <w:pStyle w:val="null3"/>
            </w:pPr>
            <w:r>
              <w:rPr>
                <w:rFonts w:ascii="仿宋_GB2312" w:hAnsi="仿宋_GB2312" w:cs="仿宋_GB2312" w:eastAsia="仿宋_GB2312"/>
              </w:rPr>
              <w:t>法定代表人授权书及被授权人身份证（法定代表人直接参加谈判的须提供其法定代表人身份证），非法人单位参照执行。法定代表人授权代表参加谈判的，须出具法定代表人授权书及授权代表身份证；</w:t>
            </w:r>
          </w:p>
        </w:tc>
        <w:tc>
          <w:tcPr>
            <w:tcW w:type="dxa" w:w="1661"/>
          </w:tcPr>
          <w:p>
            <w:pPr>
              <w:pStyle w:val="null3"/>
            </w:pPr>
            <w:r>
              <w:rPr>
                <w:rFonts w:ascii="仿宋_GB2312" w:hAnsi="仿宋_GB2312" w:cs="仿宋_GB2312" w:eastAsia="仿宋_GB2312"/>
              </w:rPr>
              <w:t>法人代表身份证明书及法定代表人授权书</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供应商不得为“信用中国(www.creditchina.gov.cn)”中列入失信被执行人和重大税收违法案件当事人名单的供应商，不得为“中国政府采购网(www.ccgp.gov.cn)” 政府采购严重违法失信行为记录名单中被财政部门禁止参加政府采购活动的供应商（采购代理机构查询时限为响应文件递交截止之日）；</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关联关系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资格证明文件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响应内容未出现漏项或数量与要求不符，未出现重大负偏差；</w:t>
            </w:r>
          </w:p>
        </w:tc>
        <w:tc>
          <w:tcPr>
            <w:tcW w:type="dxa" w:w="1661"/>
          </w:tcPr>
          <w:p>
            <w:pPr>
              <w:pStyle w:val="null3"/>
            </w:pPr>
            <w:r>
              <w:rPr>
                <w:rFonts w:ascii="仿宋_GB2312" w:hAnsi="仿宋_GB2312" w:cs="仿宋_GB2312" w:eastAsia="仿宋_GB2312"/>
              </w:rPr>
              <w:t>技术偏离表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w:t>
            </w:r>
          </w:p>
        </w:tc>
        <w:tc>
          <w:tcPr>
            <w:tcW w:type="dxa" w:w="3322"/>
          </w:tcPr>
          <w:p>
            <w:pPr>
              <w:pStyle w:val="null3"/>
            </w:pPr>
            <w:r>
              <w:rPr>
                <w:rFonts w:ascii="仿宋_GB2312" w:hAnsi="仿宋_GB2312" w:cs="仿宋_GB2312" w:eastAsia="仿宋_GB2312"/>
              </w:rPr>
              <w:t>响应文件的签署、加盖公章有效；</w:t>
            </w:r>
          </w:p>
        </w:tc>
        <w:tc>
          <w:tcPr>
            <w:tcW w:type="dxa" w:w="1661"/>
          </w:tcPr>
          <w:p>
            <w:pPr>
              <w:pStyle w:val="null3"/>
            </w:pPr>
            <w:r>
              <w:rPr>
                <w:rFonts w:ascii="仿宋_GB2312" w:hAnsi="仿宋_GB2312" w:cs="仿宋_GB2312" w:eastAsia="仿宋_GB2312"/>
              </w:rPr>
              <w:t>响应文件封面 技术偏离表 资格证明文件 商务偏离表 中小企业声明函 残疾人福利性单位声明函 详细分项报价表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有效期</w:t>
            </w:r>
          </w:p>
        </w:tc>
        <w:tc>
          <w:tcPr>
            <w:tcW w:type="dxa" w:w="3322"/>
          </w:tcPr>
          <w:p>
            <w:pPr>
              <w:pStyle w:val="null3"/>
            </w:pPr>
            <w:r>
              <w:rPr>
                <w:rFonts w:ascii="仿宋_GB2312" w:hAnsi="仿宋_GB2312" w:cs="仿宋_GB2312" w:eastAsia="仿宋_GB2312"/>
              </w:rPr>
              <w:t>响应文件有效期达到谈判文件的要求；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完全理解并接受法律法规和谈判文件对供应商合法经营的各类规约和责任义务要求，未出现法律、法规或谈判文件规定的其他无效情形的。</w:t>
            </w:r>
          </w:p>
        </w:tc>
        <w:tc>
          <w:tcPr>
            <w:tcW w:type="dxa" w:w="1661"/>
          </w:tcPr>
          <w:p>
            <w:pPr>
              <w:pStyle w:val="null3"/>
            </w:pPr>
            <w:r>
              <w:rPr>
                <w:rFonts w:ascii="仿宋_GB2312" w:hAnsi="仿宋_GB2312" w:cs="仿宋_GB2312" w:eastAsia="仿宋_GB2312"/>
              </w:rPr>
              <w:t>技术偏离表 类似项目业绩一览表 中小企业声明函 详细分项报价表 技术方案 报价表 响应文件封面 资格证明文件 商务偏离表 残疾人福利性单位声明函 标的清单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标（响应）报价低于采购项目最高限价45%的，即投标（响应）报价&lt;采购项目最高限价×45%； 4.评审委员会基于专业判断，认为供应商报价过低，有可能影响产品质量或者不能诚信履约的其他情形。 相关法律法规对供应商报价有规定的，从其规定。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详细分项报价表 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谈判报价</w:t>
            </w:r>
          </w:p>
        </w:tc>
        <w:tc>
          <w:tcPr>
            <w:tcW w:type="dxa" w:w="3322"/>
          </w:tcPr>
          <w:p>
            <w:pPr>
              <w:pStyle w:val="null3"/>
            </w:pPr>
            <w:r>
              <w:rPr>
                <w:rFonts w:ascii="仿宋_GB2312" w:hAnsi="仿宋_GB2312" w:cs="仿宋_GB2312" w:eastAsia="仿宋_GB2312"/>
              </w:rPr>
              <w:t>报价未超过谈判文件中规定的最高限价的</w:t>
            </w:r>
          </w:p>
        </w:tc>
        <w:tc>
          <w:tcPr>
            <w:tcW w:type="dxa" w:w="1661"/>
          </w:tcPr>
          <w:p>
            <w:pPr>
              <w:pStyle w:val="null3"/>
            </w:pPr>
            <w:r>
              <w:rPr>
                <w:rFonts w:ascii="仿宋_GB2312" w:hAnsi="仿宋_GB2312" w:cs="仿宋_GB2312" w:eastAsia="仿宋_GB2312"/>
              </w:rPr>
              <w:t>详细分项报价表 标的清单 报价表</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x(1-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报价表 监狱企业的证明文件</w:t>
            </w:r>
          </w:p>
        </w:tc>
      </w:tr>
      <w:tr>
        <w:tc>
          <w:tcPr>
            <w:tcW w:type="dxa" w:w="58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本国产品说明 关于符合本国产品标准的声明函 中国境内生产的组件成本核算基本规则</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详见附件：详细分项报价表</w:t>
      </w:r>
    </w:p>
    <w:p>
      <w:pPr>
        <w:pStyle w:val="null3"/>
        <w:ind w:firstLine="960"/>
      </w:pPr>
      <w:r>
        <w:rPr>
          <w:rFonts w:ascii="仿宋_GB2312" w:hAnsi="仿宋_GB2312" w:cs="仿宋_GB2312" w:eastAsia="仿宋_GB2312"/>
        </w:rPr>
        <w:t>详见附件：商务偏离表</w:t>
      </w:r>
    </w:p>
    <w:p>
      <w:pPr>
        <w:pStyle w:val="null3"/>
        <w:ind w:firstLine="960"/>
      </w:pPr>
      <w:r>
        <w:rPr>
          <w:rFonts w:ascii="仿宋_GB2312" w:hAnsi="仿宋_GB2312" w:cs="仿宋_GB2312" w:eastAsia="仿宋_GB2312"/>
        </w:rPr>
        <w:t>详见附件：技术偏离表</w:t>
      </w:r>
    </w:p>
    <w:p>
      <w:pPr>
        <w:pStyle w:val="null3"/>
        <w:ind w:firstLine="960"/>
      </w:pPr>
      <w:r>
        <w:rPr>
          <w:rFonts w:ascii="仿宋_GB2312" w:hAnsi="仿宋_GB2312" w:cs="仿宋_GB2312" w:eastAsia="仿宋_GB2312"/>
        </w:rPr>
        <w:t>详见附件：法人代表身份证明书及法定代表人授权书</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详见附件：类似项目业绩一览表</w:t>
      </w:r>
    </w:p>
    <w:p>
      <w:pPr>
        <w:pStyle w:val="null3"/>
        <w:ind w:firstLine="960"/>
      </w:pPr>
      <w:r>
        <w:rPr>
          <w:rFonts w:ascii="仿宋_GB2312" w:hAnsi="仿宋_GB2312" w:cs="仿宋_GB2312" w:eastAsia="仿宋_GB2312"/>
        </w:rPr>
        <w:t>详见附件：技术方案</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详见附件：第八章 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