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F9DF2">
      <w:pPr>
        <w:jc w:val="center"/>
        <w:rPr>
          <w:rFonts w:ascii="仿宋" w:hAnsi="仿宋" w:eastAsia="仿宋" w:cs="仿宋"/>
          <w:b/>
          <w:bCs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  <w:t>配送方案及运输车辆配备</w:t>
      </w:r>
    </w:p>
    <w:p w14:paraId="2370E456">
      <w:pPr>
        <w:jc w:val="center"/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2"/>
          <w:szCs w:val="28"/>
          <w:highlight w:val="none"/>
          <w:lang w:eastAsia="zh-CN"/>
        </w:rPr>
        <w:t>各投标人根据评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8"/>
          <w:highlight w:val="none"/>
          <w:lang w:eastAsia="zh-CN"/>
        </w:rPr>
        <w:t>审办法，自主编写方案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67438"/>
    <w:rsid w:val="44A6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2026-06-01T09:37:00Z</dcterms:created>
  <dc:creator>德仁招标</dc:creator>
  <cp:lastModifiedBy>德仁招标</cp:lastModifiedBy>
  <dcterms:modified xsi:type="dcterms:W3CDTF">2026-06-01T09:37:56Z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C8B49ED385C946D7BD5AD1D197211466_11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