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85BD5">
      <w:pPr>
        <w:jc w:val="left"/>
        <w:rPr>
          <w:rFonts w:ascii="仿宋" w:hAnsi="仿宋" w:eastAsia="仿宋" w:cs="仿宋"/>
          <w:b/>
          <w:bCs/>
          <w:sz w:val="32"/>
          <w:szCs w:val="32"/>
          <w:highlight w:val="none"/>
        </w:rPr>
      </w:pPr>
      <w:r>
        <w:rPr>
          <w:rFonts w:hint="eastAsia" w:ascii="仿宋" w:hAnsi="仿宋" w:eastAsia="仿宋" w:cs="仿宋"/>
          <w:b/>
          <w:bCs/>
          <w:sz w:val="32"/>
          <w:szCs w:val="32"/>
          <w:highlight w:val="none"/>
        </w:rPr>
        <w:t>政府采购合同                          合同编号：</w:t>
      </w:r>
    </w:p>
    <w:p w14:paraId="08C582ED">
      <w:pPr>
        <w:pStyle w:val="2"/>
        <w:rPr>
          <w:bCs/>
          <w:sz w:val="32"/>
          <w:szCs w:val="32"/>
          <w:highlight w:val="none"/>
          <w:lang w:eastAsia="zh-CN"/>
        </w:rPr>
      </w:pPr>
    </w:p>
    <w:p w14:paraId="5E446758">
      <w:pPr>
        <w:pStyle w:val="2"/>
        <w:rPr>
          <w:bCs/>
          <w:sz w:val="32"/>
          <w:szCs w:val="32"/>
          <w:highlight w:val="none"/>
          <w:lang w:eastAsia="zh-CN"/>
        </w:rPr>
      </w:pPr>
    </w:p>
    <w:p w14:paraId="1986A665">
      <w:pPr>
        <w:pStyle w:val="2"/>
        <w:rPr>
          <w:sz w:val="21"/>
          <w:szCs w:val="21"/>
          <w:highlight w:val="none"/>
          <w:lang w:eastAsia="zh-CN"/>
        </w:rPr>
      </w:pPr>
    </w:p>
    <w:p w14:paraId="63B57336">
      <w:pPr>
        <w:jc w:val="center"/>
        <w:rPr>
          <w:rFonts w:ascii="仿宋" w:hAnsi="仿宋" w:eastAsia="仿宋" w:cs="仿宋"/>
          <w:b/>
          <w:bCs/>
          <w:sz w:val="48"/>
          <w:szCs w:val="48"/>
          <w:highlight w:val="none"/>
        </w:rPr>
      </w:pPr>
      <w:r>
        <w:rPr>
          <w:rFonts w:hint="eastAsia" w:ascii="仿宋" w:hAnsi="仿宋" w:eastAsia="仿宋" w:cs="仿宋"/>
          <w:b/>
          <w:bCs/>
          <w:sz w:val="48"/>
          <w:szCs w:val="48"/>
          <w:highlight w:val="none"/>
          <w:u w:val="single"/>
        </w:rPr>
        <w:t xml:space="preserve">                         </w:t>
      </w:r>
      <w:r>
        <w:rPr>
          <w:rFonts w:hint="eastAsia" w:ascii="仿宋" w:hAnsi="仿宋" w:eastAsia="仿宋" w:cs="仿宋"/>
          <w:b/>
          <w:bCs/>
          <w:sz w:val="48"/>
          <w:szCs w:val="48"/>
          <w:highlight w:val="none"/>
        </w:rPr>
        <w:t>项目</w:t>
      </w:r>
    </w:p>
    <w:p w14:paraId="386A8084">
      <w:pPr>
        <w:rPr>
          <w:rFonts w:ascii="仿宋" w:hAnsi="仿宋" w:eastAsia="仿宋" w:cs="仿宋"/>
          <w:sz w:val="22"/>
          <w:szCs w:val="28"/>
          <w:highlight w:val="none"/>
        </w:rPr>
      </w:pPr>
    </w:p>
    <w:p w14:paraId="1D48BA34">
      <w:pPr>
        <w:rPr>
          <w:rFonts w:ascii="仿宋" w:hAnsi="仿宋" w:eastAsia="仿宋" w:cs="仿宋"/>
          <w:sz w:val="22"/>
          <w:szCs w:val="28"/>
          <w:highlight w:val="none"/>
        </w:rPr>
      </w:pPr>
    </w:p>
    <w:p w14:paraId="4EE8FC6C">
      <w:pPr>
        <w:pStyle w:val="2"/>
        <w:rPr>
          <w:sz w:val="21"/>
          <w:szCs w:val="21"/>
          <w:highlight w:val="none"/>
          <w:lang w:eastAsia="zh-CN"/>
        </w:rPr>
      </w:pPr>
    </w:p>
    <w:p w14:paraId="5CE4CC3B">
      <w:pPr>
        <w:pStyle w:val="2"/>
        <w:rPr>
          <w:sz w:val="21"/>
          <w:szCs w:val="21"/>
          <w:highlight w:val="none"/>
          <w:lang w:eastAsia="zh-CN"/>
        </w:rPr>
      </w:pPr>
    </w:p>
    <w:p w14:paraId="0AD0BEBB">
      <w:pPr>
        <w:rPr>
          <w:rFonts w:ascii="仿宋" w:hAnsi="仿宋" w:eastAsia="仿宋" w:cs="仿宋"/>
          <w:sz w:val="22"/>
          <w:szCs w:val="28"/>
          <w:highlight w:val="none"/>
        </w:rPr>
      </w:pPr>
    </w:p>
    <w:p w14:paraId="381241EA">
      <w:pPr>
        <w:rPr>
          <w:rFonts w:ascii="仿宋" w:hAnsi="仿宋" w:eastAsia="仿宋" w:cs="仿宋"/>
          <w:sz w:val="22"/>
          <w:szCs w:val="28"/>
          <w:highlight w:val="none"/>
        </w:rPr>
      </w:pPr>
    </w:p>
    <w:p w14:paraId="587186F2">
      <w:pPr>
        <w:jc w:val="center"/>
        <w:rPr>
          <w:rFonts w:ascii="仿宋" w:hAnsi="仿宋" w:eastAsia="仿宋" w:cs="仿宋"/>
          <w:b/>
          <w:sz w:val="40"/>
          <w:szCs w:val="40"/>
          <w:highlight w:val="none"/>
        </w:rPr>
      </w:pPr>
      <w:r>
        <w:rPr>
          <w:rFonts w:hint="eastAsia" w:ascii="仿宋" w:hAnsi="仿宋" w:eastAsia="仿宋" w:cs="仿宋"/>
          <w:b/>
          <w:sz w:val="40"/>
          <w:szCs w:val="40"/>
          <w:highlight w:val="none"/>
        </w:rPr>
        <w:t>（示范文本仅供参考）</w:t>
      </w:r>
    </w:p>
    <w:p w14:paraId="11BD7C25">
      <w:pPr>
        <w:jc w:val="center"/>
        <w:rPr>
          <w:rFonts w:ascii="仿宋" w:hAnsi="仿宋" w:eastAsia="仿宋" w:cs="仿宋"/>
          <w:b/>
          <w:sz w:val="40"/>
          <w:szCs w:val="40"/>
          <w:highlight w:val="none"/>
        </w:rPr>
      </w:pPr>
    </w:p>
    <w:p w14:paraId="6D04B2AF">
      <w:pPr>
        <w:rPr>
          <w:rFonts w:ascii="仿宋" w:hAnsi="仿宋" w:eastAsia="仿宋" w:cs="仿宋"/>
          <w:sz w:val="22"/>
          <w:szCs w:val="28"/>
          <w:highlight w:val="none"/>
        </w:rPr>
      </w:pPr>
    </w:p>
    <w:p w14:paraId="316D7AF6">
      <w:pPr>
        <w:jc w:val="center"/>
        <w:rPr>
          <w:rFonts w:ascii="仿宋" w:hAnsi="仿宋" w:eastAsia="仿宋" w:cs="仿宋"/>
          <w:b/>
          <w:sz w:val="40"/>
          <w:szCs w:val="40"/>
          <w:highlight w:val="none"/>
        </w:rPr>
      </w:pPr>
    </w:p>
    <w:p w14:paraId="234AE05F">
      <w:pPr>
        <w:spacing w:before="156" w:beforeLines="50" w:line="360" w:lineRule="auto"/>
        <w:rPr>
          <w:rFonts w:ascii="仿宋" w:hAnsi="仿宋" w:eastAsia="仿宋" w:cs="仿宋"/>
          <w:b/>
          <w:bCs/>
          <w:sz w:val="40"/>
          <w:szCs w:val="40"/>
          <w:highlight w:val="none"/>
        </w:rPr>
      </w:pPr>
    </w:p>
    <w:p w14:paraId="6F13C5AC">
      <w:pPr>
        <w:spacing w:before="156" w:beforeLines="50" w:line="360" w:lineRule="auto"/>
        <w:ind w:firstLine="1420" w:firstLineChars="393"/>
        <w:jc w:val="left"/>
        <w:rPr>
          <w:rFonts w:ascii="仿宋" w:hAnsi="仿宋" w:eastAsia="仿宋" w:cs="仿宋"/>
          <w:b/>
          <w:bCs/>
          <w:sz w:val="36"/>
          <w:szCs w:val="36"/>
          <w:highlight w:val="none"/>
        </w:rPr>
      </w:pPr>
      <w:r>
        <w:rPr>
          <w:rFonts w:hint="eastAsia" w:ascii="仿宋" w:hAnsi="仿宋" w:eastAsia="仿宋" w:cs="仿宋"/>
          <w:b/>
          <w:bCs/>
          <w:sz w:val="36"/>
          <w:szCs w:val="36"/>
          <w:highlight w:val="none"/>
        </w:rPr>
        <w:t>采  购  人：</w:t>
      </w:r>
      <w:r>
        <w:rPr>
          <w:rFonts w:hint="eastAsia" w:ascii="仿宋" w:hAnsi="仿宋" w:eastAsia="仿宋" w:cs="仿宋"/>
          <w:b/>
          <w:bCs/>
          <w:sz w:val="36"/>
          <w:szCs w:val="36"/>
          <w:highlight w:val="none"/>
          <w:u w:val="single"/>
        </w:rPr>
        <w:t xml:space="preserve"> </w:t>
      </w:r>
      <w:r>
        <w:rPr>
          <w:rFonts w:hint="eastAsia" w:ascii="仿宋" w:hAnsi="仿宋" w:eastAsia="仿宋" w:cs="仿宋"/>
          <w:b/>
          <w:bCs/>
          <w:sz w:val="36"/>
          <w:szCs w:val="36"/>
          <w:highlight w:val="none"/>
          <w:u w:val="single"/>
          <w:lang w:eastAsia="zh-CN"/>
        </w:rPr>
        <w:t>陕西省退役军人事务厅</w:t>
      </w:r>
      <w:r>
        <w:rPr>
          <w:rFonts w:hint="eastAsia" w:ascii="仿宋" w:hAnsi="仿宋" w:eastAsia="仿宋" w:cs="仿宋"/>
          <w:b/>
          <w:bCs/>
          <w:sz w:val="36"/>
          <w:szCs w:val="36"/>
          <w:highlight w:val="none"/>
          <w:u w:val="single"/>
        </w:rPr>
        <w:t xml:space="preserve">     </w:t>
      </w:r>
    </w:p>
    <w:p w14:paraId="1D894BCF">
      <w:pPr>
        <w:spacing w:before="156" w:beforeLines="50" w:line="360" w:lineRule="auto"/>
        <w:ind w:firstLine="1420" w:firstLineChars="393"/>
        <w:jc w:val="left"/>
        <w:rPr>
          <w:rFonts w:ascii="仿宋" w:hAnsi="仿宋" w:eastAsia="仿宋" w:cs="仿宋"/>
          <w:sz w:val="36"/>
          <w:szCs w:val="36"/>
          <w:highlight w:val="none"/>
          <w:u w:val="single"/>
        </w:rPr>
      </w:pPr>
      <w:r>
        <w:rPr>
          <w:rFonts w:hint="eastAsia" w:ascii="仿宋" w:hAnsi="仿宋" w:eastAsia="仿宋" w:cs="仿宋"/>
          <w:b/>
          <w:bCs/>
          <w:sz w:val="36"/>
          <w:szCs w:val="36"/>
          <w:highlight w:val="none"/>
        </w:rPr>
        <w:t>中  标  人：</w:t>
      </w:r>
      <w:r>
        <w:rPr>
          <w:rFonts w:hint="eastAsia" w:ascii="仿宋" w:hAnsi="仿宋" w:eastAsia="仿宋" w:cs="仿宋"/>
          <w:sz w:val="36"/>
          <w:szCs w:val="36"/>
          <w:highlight w:val="none"/>
          <w:u w:val="single"/>
        </w:rPr>
        <w:t xml:space="preserve">                        </w:t>
      </w:r>
    </w:p>
    <w:p w14:paraId="758CECD9">
      <w:pPr>
        <w:spacing w:before="156" w:beforeLines="50" w:line="360" w:lineRule="auto"/>
        <w:ind w:firstLine="3614" w:firstLineChars="1000"/>
        <w:jc w:val="left"/>
        <w:rPr>
          <w:rFonts w:ascii="仿宋" w:hAnsi="仿宋" w:eastAsia="仿宋" w:cs="仿宋"/>
          <w:b/>
          <w:bCs/>
          <w:sz w:val="28"/>
          <w:szCs w:val="28"/>
          <w:highlight w:val="none"/>
        </w:rPr>
      </w:pPr>
      <w:r>
        <w:rPr>
          <w:rFonts w:hint="eastAsia" w:ascii="仿宋" w:hAnsi="仿宋" w:eastAsia="仿宋" w:cs="仿宋"/>
          <w:b/>
          <w:bCs/>
          <w:sz w:val="36"/>
          <w:szCs w:val="36"/>
          <w:highlight w:val="none"/>
        </w:rPr>
        <w:t>二〇二六年  月</w:t>
      </w:r>
      <w:r>
        <w:rPr>
          <w:rFonts w:hint="eastAsia" w:ascii="仿宋" w:hAnsi="仿宋" w:eastAsia="仿宋" w:cs="仿宋"/>
          <w:b/>
          <w:bCs/>
          <w:sz w:val="40"/>
          <w:szCs w:val="40"/>
          <w:highlight w:val="none"/>
        </w:rPr>
        <w:br w:type="page"/>
      </w:r>
    </w:p>
    <w:p w14:paraId="489A5E84">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甲方：</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eastAsia="zh-CN"/>
        </w:rPr>
        <w:t>陕西省退役军人事务厅</w:t>
      </w:r>
      <w:r>
        <w:rPr>
          <w:rFonts w:hint="eastAsia" w:ascii="仿宋" w:hAnsi="仿宋" w:eastAsia="仿宋" w:cs="仿宋"/>
          <w:szCs w:val="21"/>
          <w:highlight w:val="none"/>
          <w:u w:val="single"/>
        </w:rPr>
        <w:t xml:space="preserve">  </w:t>
      </w:r>
    </w:p>
    <w:p w14:paraId="2964AD0D">
      <w:pPr>
        <w:adjustRightInd w:val="0"/>
        <w:snapToGrid w:val="0"/>
        <w:spacing w:line="360" w:lineRule="auto"/>
        <w:ind w:firstLine="420" w:firstLineChars="200"/>
        <w:jc w:val="left"/>
        <w:rPr>
          <w:rFonts w:ascii="仿宋" w:hAnsi="仿宋" w:eastAsia="仿宋" w:cs="仿宋"/>
          <w:kern w:val="0"/>
          <w:szCs w:val="21"/>
          <w:highlight w:val="none"/>
          <w:u w:val="single"/>
        </w:rPr>
      </w:pPr>
      <w:r>
        <w:rPr>
          <w:rFonts w:hint="eastAsia" w:ascii="仿宋" w:hAnsi="仿宋" w:eastAsia="仿宋" w:cs="仿宋"/>
          <w:szCs w:val="21"/>
          <w:highlight w:val="none"/>
        </w:rPr>
        <w:t>乙方：</w:t>
      </w:r>
      <w:r>
        <w:rPr>
          <w:rFonts w:hint="eastAsia" w:ascii="仿宋" w:hAnsi="仿宋" w:eastAsia="仿宋" w:cs="仿宋"/>
          <w:kern w:val="0"/>
          <w:szCs w:val="21"/>
          <w:highlight w:val="none"/>
          <w:u w:val="single"/>
        </w:rPr>
        <w:t xml:space="preserve">                        </w:t>
      </w:r>
    </w:p>
    <w:p w14:paraId="731D9E26">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bCs/>
          <w:szCs w:val="21"/>
          <w:highlight w:val="none"/>
          <w:u w:val="single"/>
          <w:lang w:eastAsia="zh-CN"/>
        </w:rPr>
        <w:t>陕西省2026年慰问驻陕部队慰问品采购</w:t>
      </w:r>
      <w:r>
        <w:rPr>
          <w:rFonts w:hint="eastAsia" w:ascii="仿宋" w:hAnsi="仿宋" w:eastAsia="仿宋" w:cs="仿宋"/>
          <w:bCs/>
          <w:szCs w:val="21"/>
          <w:highlight w:val="none"/>
        </w:rPr>
        <w:t>，由</w:t>
      </w:r>
      <w:r>
        <w:rPr>
          <w:rFonts w:hint="eastAsia" w:ascii="仿宋" w:hAnsi="仿宋" w:eastAsia="仿宋" w:cs="仿宋"/>
          <w:bCs/>
          <w:szCs w:val="21"/>
          <w:highlight w:val="none"/>
          <w:u w:val="single"/>
        </w:rPr>
        <w:t>陕西德仁招标有限公司</w:t>
      </w:r>
      <w:r>
        <w:rPr>
          <w:rFonts w:hint="eastAsia" w:ascii="仿宋" w:hAnsi="仿宋" w:eastAsia="仿宋" w:cs="仿宋"/>
          <w:bCs/>
          <w:szCs w:val="21"/>
          <w:highlight w:val="none"/>
        </w:rPr>
        <w:t>组织招标采购，选定</w:t>
      </w:r>
      <w:r>
        <w:rPr>
          <w:rFonts w:hint="eastAsia" w:ascii="仿宋" w:hAnsi="仿宋" w:eastAsia="仿宋" w:cs="仿宋"/>
          <w:kern w:val="0"/>
          <w:szCs w:val="21"/>
          <w:highlight w:val="none"/>
          <w:u w:val="single"/>
        </w:rPr>
        <w:t xml:space="preserve">       </w:t>
      </w:r>
      <w:r>
        <w:rPr>
          <w:rFonts w:hint="eastAsia" w:ascii="仿宋" w:hAnsi="仿宋" w:eastAsia="仿宋" w:cs="仿宋"/>
          <w:szCs w:val="21"/>
          <w:highlight w:val="none"/>
        </w:rPr>
        <w:t>为供货单位。经</w:t>
      </w:r>
      <w:r>
        <w:rPr>
          <w:rFonts w:hint="eastAsia" w:ascii="仿宋" w:hAnsi="仿宋" w:eastAsia="仿宋" w:cs="仿宋"/>
          <w:szCs w:val="21"/>
          <w:highlight w:val="none"/>
          <w:u w:val="single"/>
          <w:lang w:eastAsia="zh-CN"/>
        </w:rPr>
        <w:t>陕西省退役军人事务厅</w:t>
      </w:r>
      <w:r>
        <w:rPr>
          <w:rFonts w:hint="eastAsia" w:ascii="仿宋" w:hAnsi="仿宋" w:eastAsia="仿宋" w:cs="仿宋"/>
          <w:szCs w:val="21"/>
          <w:highlight w:val="none"/>
        </w:rPr>
        <w:t>（以下简称甲方）与</w:t>
      </w:r>
      <w:r>
        <w:rPr>
          <w:rFonts w:hint="eastAsia" w:ascii="仿宋" w:hAnsi="仿宋" w:eastAsia="仿宋" w:cs="仿宋"/>
          <w:kern w:val="0"/>
          <w:szCs w:val="21"/>
          <w:highlight w:val="none"/>
          <w:u w:val="single"/>
        </w:rPr>
        <w:t xml:space="preserve">        </w:t>
      </w:r>
      <w:r>
        <w:rPr>
          <w:rFonts w:hint="eastAsia" w:ascii="仿宋" w:hAnsi="仿宋" w:eastAsia="仿宋" w:cs="仿宋"/>
          <w:szCs w:val="21"/>
          <w:highlight w:val="none"/>
        </w:rPr>
        <w:t>（以下简称乙方）共同协商，达成以下协议条款。</w:t>
      </w:r>
    </w:p>
    <w:p w14:paraId="4E6320DE">
      <w:pPr>
        <w:adjustRightInd w:val="0"/>
        <w:snapToGrid w:val="0"/>
        <w:spacing w:line="360" w:lineRule="auto"/>
        <w:ind w:firstLine="422" w:firstLineChars="200"/>
        <w:jc w:val="left"/>
        <w:rPr>
          <w:rFonts w:ascii="仿宋" w:hAnsi="仿宋" w:eastAsia="仿宋" w:cs="仿宋"/>
          <w:bCs/>
          <w:szCs w:val="21"/>
          <w:highlight w:val="none"/>
        </w:rPr>
      </w:pPr>
      <w:r>
        <w:rPr>
          <w:rFonts w:hint="eastAsia" w:ascii="仿宋" w:hAnsi="仿宋" w:eastAsia="仿宋" w:cs="仿宋"/>
          <w:b/>
          <w:szCs w:val="21"/>
          <w:highlight w:val="none"/>
        </w:rPr>
        <w:t>第一条  协议内容</w:t>
      </w:r>
      <w:r>
        <w:rPr>
          <w:rFonts w:hint="eastAsia" w:ascii="仿宋" w:hAnsi="仿宋" w:eastAsia="仿宋" w:cs="仿宋"/>
          <w:bCs/>
          <w:szCs w:val="21"/>
          <w:highlight w:val="none"/>
        </w:rPr>
        <w:t>（技术指标见附件）</w:t>
      </w:r>
    </w:p>
    <w:p w14:paraId="03936B18">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一）乙方负责按协议中确定的货物品牌、规格、型号、数量、原产地及配套内容进行供货；按时运到甲方指定的交货地点，负责货物到货后搬运工作，达到正常使用；负责为甲方进行培训，指导操作使用，做好售后服务。</w:t>
      </w:r>
    </w:p>
    <w:p w14:paraId="153A6188">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 xml:space="preserve">（二）招标文件、乙方的投标文件及投标过程中的澄清、承诺内容均作为协议的组成部分，具有同等法律效力。 </w:t>
      </w:r>
    </w:p>
    <w:p w14:paraId="62F9F528">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第二条  合同价款（币种：人民币  单位：元）</w:t>
      </w:r>
    </w:p>
    <w:p w14:paraId="39719373">
      <w:pPr>
        <w:adjustRightInd w:val="0"/>
        <w:snapToGrid w:val="0"/>
        <w:spacing w:line="360" w:lineRule="auto"/>
        <w:ind w:firstLine="415" w:firstLineChars="198"/>
        <w:rPr>
          <w:rFonts w:ascii="仿宋" w:hAnsi="仿宋" w:eastAsia="仿宋" w:cs="仿宋"/>
          <w:szCs w:val="21"/>
          <w:highlight w:val="none"/>
        </w:rPr>
      </w:pPr>
      <w:r>
        <w:rPr>
          <w:rFonts w:hint="eastAsia" w:ascii="仿宋" w:hAnsi="仿宋" w:eastAsia="仿宋" w:cs="仿宋"/>
          <w:szCs w:val="21"/>
          <w:highlight w:val="none"/>
        </w:rPr>
        <w:t>（一）合同金额（大写）：</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226C8B6F">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（二）货物品牌、规格、产地、单价：详见附件 供货清单。</w:t>
      </w:r>
    </w:p>
    <w:p w14:paraId="3FDFF2A1">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三）中标人负责办理将货物或服务运抵交货服务地点的一切事项，并完成与合同履约相关的工作。凡涉及的包装、运输、安装调试、培训、税金、售后服务、调试、接口开发、设备接入、测评、验收等，所有费用一次性计入投标总价。合同履约过程中采购人不再支付其他额外费用。</w:t>
      </w:r>
    </w:p>
    <w:p w14:paraId="6001D704">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第三条  款项结算</w:t>
      </w:r>
    </w:p>
    <w:p w14:paraId="7340F20B">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（一）支付约定：</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 xml:space="preserve"> </w:t>
      </w:r>
    </w:p>
    <w:p w14:paraId="2FC70173">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（二）合同价款由甲方负责结算，在甲方每次付款前，乙方必须开具等额合规发票给甲方，否则，甲方有权拒绝付款，无需承担任何责任，且乙方不得以此为由拒绝履行协议义务。</w:t>
      </w:r>
    </w:p>
    <w:p w14:paraId="6FFA3D55">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 xml:space="preserve">（三）货到后由甲方验收。验收合格并经甲方签字确认，货款发票入甲方财务账之日起，15日内结算。质保期内货物质量不符合本协议约定的技术、质量要求及国家归口管理部门要求，给甲方造成损失的，按照该合同协议书约定应承担的违约责任，甲方有权追究其法律责任。 </w:t>
      </w:r>
    </w:p>
    <w:p w14:paraId="719C71C1">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第四条  双方的权利和义务</w:t>
      </w:r>
    </w:p>
    <w:p w14:paraId="53866DE5">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（一）甲方的权利和义务</w:t>
      </w:r>
    </w:p>
    <w:p w14:paraId="071D4F4F">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1.负责合同签订后项目实施的工作（如与乙方的具体联系和衔接，配备人员进行监管控制）；</w:t>
      </w:r>
    </w:p>
    <w:p w14:paraId="0DBE87FD">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2.负责提供货物和项目</w:t>
      </w:r>
      <w:r>
        <w:rPr>
          <w:rFonts w:hint="eastAsia" w:ascii="仿宋" w:hAnsi="仿宋" w:eastAsia="仿宋" w:cs="仿宋"/>
          <w:bCs/>
          <w:szCs w:val="21"/>
          <w:highlight w:val="none"/>
          <w:lang w:val="en-US" w:eastAsia="zh-CN"/>
        </w:rPr>
        <w:t>送达后</w:t>
      </w:r>
      <w:r>
        <w:rPr>
          <w:rFonts w:hint="eastAsia" w:ascii="仿宋" w:hAnsi="仿宋" w:eastAsia="仿宋" w:cs="仿宋"/>
          <w:bCs/>
          <w:szCs w:val="21"/>
          <w:highlight w:val="none"/>
        </w:rPr>
        <w:t>所必须的场地和环境；</w:t>
      </w:r>
    </w:p>
    <w:p w14:paraId="7ECCC435">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3.负责组织成立验收小组对货物和项目进行验收并签署验收报告；</w:t>
      </w:r>
    </w:p>
    <w:p w14:paraId="52AE6B82">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4.按合同规定享有乙方提供的货物服务。</w:t>
      </w:r>
    </w:p>
    <w:p w14:paraId="71D49277">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（二）乙方的权利和义务</w:t>
      </w:r>
    </w:p>
    <w:p w14:paraId="263166DB">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1.乙方保证按本合同一、二、三、四条款负责完成甲方项目，并保证提供的货物是全新（包括零部件）、符合招标文件规定、具有国家有关部门注册并符合国家质量检测标准和产品出厂标准的货物。</w:t>
      </w:r>
    </w:p>
    <w:p w14:paraId="5E92FEEE">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2.乙方保证向甲方提供的货物不受第三方提出侵犯其所有权、用益物权、担保物权、占有等一切涉及物权及知识产权、商标权、专利权、著作权等相关权利的起诉，否则承担给甲方造成的一切损失（包括且不限于为实现权利而产生的立案费、律师费、差旅费、担保费等）。</w:t>
      </w:r>
    </w:p>
    <w:p w14:paraId="3B1B91AD">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lang w:val="en-US" w:eastAsia="zh-CN"/>
        </w:rPr>
        <w:t>3</w:t>
      </w:r>
      <w:r>
        <w:rPr>
          <w:rFonts w:hint="eastAsia" w:ascii="仿宋" w:hAnsi="仿宋" w:eastAsia="仿宋" w:cs="仿宋"/>
          <w:bCs/>
          <w:szCs w:val="21"/>
          <w:highlight w:val="none"/>
        </w:rPr>
        <w:t>.严格遵守承诺的一切规定和条款；</w:t>
      </w:r>
    </w:p>
    <w:p w14:paraId="37996298">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lang w:val="en-US" w:eastAsia="zh-CN"/>
        </w:rPr>
        <w:t>4</w:t>
      </w:r>
      <w:r>
        <w:rPr>
          <w:rFonts w:hint="eastAsia" w:ascii="仿宋" w:hAnsi="仿宋" w:eastAsia="仿宋" w:cs="仿宋"/>
          <w:bCs/>
          <w:szCs w:val="21"/>
          <w:highlight w:val="none"/>
        </w:rPr>
        <w:t>.参与甲方共同进行货物和项目的验收。</w:t>
      </w:r>
    </w:p>
    <w:p w14:paraId="38C98C5E">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第五条  交货条件</w:t>
      </w:r>
    </w:p>
    <w:p w14:paraId="1A351F75">
      <w:pPr>
        <w:adjustRightInd w:val="0"/>
        <w:snapToGrid w:val="0"/>
        <w:spacing w:line="360" w:lineRule="auto"/>
        <w:ind w:firstLine="420" w:firstLineChars="200"/>
        <w:jc w:val="left"/>
        <w:rPr>
          <w:rFonts w:ascii="仿宋" w:hAnsi="仿宋" w:eastAsia="仿宋" w:cs="仿宋"/>
          <w:bCs/>
          <w:szCs w:val="21"/>
          <w:highlight w:val="none"/>
          <w:u w:val="single"/>
        </w:rPr>
      </w:pPr>
      <w:r>
        <w:rPr>
          <w:rFonts w:hint="eastAsia" w:ascii="仿宋" w:hAnsi="仿宋" w:eastAsia="仿宋" w:cs="仿宋"/>
          <w:bCs/>
          <w:szCs w:val="21"/>
          <w:highlight w:val="none"/>
        </w:rPr>
        <w:t>（一）交货地点：</w:t>
      </w:r>
      <w:r>
        <w:rPr>
          <w:rFonts w:hint="eastAsia" w:ascii="仿宋" w:hAnsi="仿宋" w:eastAsia="仿宋" w:cs="仿宋"/>
          <w:bCs/>
          <w:szCs w:val="21"/>
          <w:highlight w:val="none"/>
          <w:u w:val="single"/>
        </w:rPr>
        <w:t xml:space="preserve">            </w:t>
      </w:r>
    </w:p>
    <w:p w14:paraId="653044F1">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乙方应随同货物提供相应的中文技术文件（包括合格证明、货物清单、使用说明等），现场搬运至甲方指定位置。</w:t>
      </w:r>
    </w:p>
    <w:p w14:paraId="43261D15">
      <w:pPr>
        <w:adjustRightInd w:val="0"/>
        <w:snapToGrid w:val="0"/>
        <w:spacing w:line="360" w:lineRule="auto"/>
        <w:ind w:firstLine="420" w:firstLineChars="200"/>
        <w:jc w:val="left"/>
        <w:rPr>
          <w:rFonts w:ascii="仿宋" w:hAnsi="仿宋" w:eastAsia="仿宋" w:cs="仿宋"/>
          <w:szCs w:val="21"/>
          <w:highlight w:val="none"/>
          <w:u w:val="single"/>
        </w:rPr>
      </w:pPr>
      <w:r>
        <w:rPr>
          <w:rFonts w:hint="eastAsia" w:ascii="仿宋" w:hAnsi="仿宋" w:eastAsia="仿宋" w:cs="仿宋"/>
          <w:szCs w:val="21"/>
          <w:highlight w:val="none"/>
        </w:rPr>
        <w:t>（二）交货期：</w:t>
      </w:r>
      <w:r>
        <w:rPr>
          <w:rFonts w:hint="eastAsia" w:ascii="仿宋" w:hAnsi="仿宋" w:eastAsia="仿宋" w:cs="仿宋"/>
          <w:szCs w:val="21"/>
          <w:highlight w:val="none"/>
          <w:u w:val="single"/>
        </w:rPr>
        <w:t xml:space="preserve">            </w:t>
      </w:r>
    </w:p>
    <w:p w14:paraId="261E4432">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第六条  质量保修范围和保修期</w:t>
      </w:r>
    </w:p>
    <w:p w14:paraId="68A60FEE">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1、质保期：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p>
    <w:p w14:paraId="4FFDED4E">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2、货物的质量技术标准按国家法律法规规定的合格标准、招标文件要求的技术标准执行。乙方提供的货物，均应按照标准保护措施进行包装。应适应于远距离运输、防潮、防震、防锈和防野蛮装卸，以确保耗材安全无损抵达制定地点。</w:t>
      </w:r>
    </w:p>
    <w:p w14:paraId="139A1A98">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szCs w:val="21"/>
          <w:highlight w:val="none"/>
        </w:rPr>
        <w:t>3、如因乙方货物质量问题的原因，导致甲方损失，乙方应予以赔偿。</w:t>
      </w:r>
    </w:p>
    <w:p w14:paraId="1765BCBA">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第七条  运输</w:t>
      </w:r>
    </w:p>
    <w:p w14:paraId="6715AB7D">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（一）运输由乙方负责，运杂费包含在货物协议价内，包括但不限于货物运输所含的运输费、装卸费、仓储费、保险费等。</w:t>
      </w:r>
    </w:p>
    <w:p w14:paraId="2DD6C224">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（二）乙方保证货物安全、按期运送到达甲方指定交货地点，在交付甲方前发生的不可预见的风险均由乙方承担。</w:t>
      </w:r>
    </w:p>
    <w:p w14:paraId="5DEBA558">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（三）涉及的商品包装和快递包装，均应符合《商品包装政府采购需求标准（试行）》《快递包装政府采购需求标准（试行）》的要求，以确保货物安全无损运抵交货地点。</w:t>
      </w:r>
    </w:p>
    <w:p w14:paraId="3789C926">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第八条  乙方质量保证</w:t>
      </w:r>
    </w:p>
    <w:p w14:paraId="27519FA3">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（一）乙方所供货物保证技术指标符合要求、质量性能可靠、进货渠道正常，全面满足招标文件要求。</w:t>
      </w:r>
    </w:p>
    <w:p w14:paraId="46D434F2">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（二）乙方所供货物如出现质量问题，可以选择换货。</w:t>
      </w:r>
    </w:p>
    <w:p w14:paraId="4C57419C">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第九条  乙方免费提供技术服务</w:t>
      </w:r>
    </w:p>
    <w:p w14:paraId="72D516AB">
      <w:pPr>
        <w:adjustRightInd w:val="0"/>
        <w:snapToGrid w:val="0"/>
        <w:spacing w:line="360" w:lineRule="auto"/>
        <w:ind w:firstLine="420" w:firstLineChars="200"/>
        <w:jc w:val="left"/>
        <w:rPr>
          <w:rFonts w:ascii="仿宋" w:hAnsi="仿宋" w:eastAsia="仿宋" w:cs="仿宋"/>
          <w:szCs w:val="21"/>
          <w:highlight w:val="none"/>
        </w:rPr>
      </w:pPr>
      <w:r>
        <w:rPr>
          <w:rFonts w:ascii="仿宋" w:hAnsi="仿宋" w:eastAsia="仿宋" w:cs="仿宋"/>
          <w:szCs w:val="21"/>
          <w:highlight w:val="none"/>
        </w:rPr>
        <w:t>（一）</w:t>
      </w:r>
      <w:r>
        <w:rPr>
          <w:rFonts w:hint="eastAsia" w:ascii="仿宋" w:hAnsi="仿宋" w:eastAsia="仿宋" w:cs="仿宋"/>
          <w:szCs w:val="21"/>
          <w:highlight w:val="none"/>
        </w:rPr>
        <w:t>乙方交货时需同时交付的技术资料</w:t>
      </w:r>
    </w:p>
    <w:p w14:paraId="35C0318A">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1、货物合格证明；</w:t>
      </w:r>
    </w:p>
    <w:p w14:paraId="4A91451F">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2、货物使用说明书（中文）；</w:t>
      </w:r>
    </w:p>
    <w:p w14:paraId="01B1D023">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3、运输记录；</w:t>
      </w:r>
    </w:p>
    <w:p w14:paraId="5191D571">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4、其他资料。</w:t>
      </w:r>
    </w:p>
    <w:p w14:paraId="08687F2F">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（二）服务承诺</w:t>
      </w:r>
    </w:p>
    <w:p w14:paraId="45855FC9">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szCs w:val="21"/>
          <w:highlight w:val="none"/>
        </w:rPr>
        <w:t>1、</w:t>
      </w:r>
      <w:r>
        <w:rPr>
          <w:rFonts w:hint="eastAsia" w:ascii="仿宋" w:hAnsi="仿宋" w:eastAsia="仿宋" w:cs="仿宋"/>
          <w:bCs/>
          <w:szCs w:val="21"/>
          <w:highlight w:val="none"/>
        </w:rPr>
        <w:t>在接到甲方的服务或咨询请求后乙方技术或有关人员须在</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小时之内到达甲方相关科室。乙方接到甲方通知后，未在约定时间答复或者进行处理的，甲方可自行组织解决，因此产生的费用由乙方承担。</w:t>
      </w:r>
    </w:p>
    <w:p w14:paraId="2E7EF99F">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2、乙方在装卸货物、调试、维修服务过程发生的乙方工作人员、雇员人身损害及造成的安全事故，均由乙方承担，与甲方无关。</w:t>
      </w:r>
    </w:p>
    <w:p w14:paraId="69301DFF">
      <w:pPr>
        <w:adjustRightInd w:val="0"/>
        <w:snapToGrid w:val="0"/>
        <w:spacing w:line="360" w:lineRule="auto"/>
        <w:ind w:firstLine="422" w:firstLineChars="200"/>
        <w:jc w:val="left"/>
        <w:rPr>
          <w:rFonts w:ascii="仿宋" w:hAnsi="仿宋" w:eastAsia="仿宋" w:cs="仿宋"/>
          <w:b/>
          <w:szCs w:val="21"/>
          <w:highlight w:val="none"/>
        </w:rPr>
      </w:pPr>
      <w:r>
        <w:rPr>
          <w:rFonts w:hint="eastAsia" w:ascii="仿宋" w:hAnsi="仿宋" w:eastAsia="仿宋" w:cs="仿宋"/>
          <w:b/>
          <w:szCs w:val="21"/>
          <w:highlight w:val="none"/>
        </w:rPr>
        <w:t>第十条  其它约定</w:t>
      </w:r>
    </w:p>
    <w:p w14:paraId="30E4EC2E">
      <w:pPr>
        <w:adjustRightInd w:val="0"/>
        <w:snapToGrid w:val="0"/>
        <w:spacing w:line="360" w:lineRule="auto"/>
        <w:ind w:firstLine="420" w:firstLineChars="200"/>
        <w:jc w:val="left"/>
        <w:rPr>
          <w:rFonts w:ascii="仿宋" w:hAnsi="仿宋" w:eastAsia="仿宋" w:cs="仿宋"/>
          <w:bCs/>
          <w:szCs w:val="21"/>
          <w:highlight w:val="none"/>
        </w:rPr>
      </w:pPr>
      <w:r>
        <w:rPr>
          <w:rFonts w:hint="eastAsia" w:ascii="仿宋" w:hAnsi="仿宋" w:eastAsia="仿宋" w:cs="仿宋"/>
          <w:bCs/>
          <w:szCs w:val="21"/>
          <w:highlight w:val="none"/>
        </w:rPr>
        <w:t>若可能发生涉及货物质量的纠纷，甲方有权冻结乙方的未付货款，乙方有责任和义务解决因货物质量引起的不良事件。</w:t>
      </w:r>
    </w:p>
    <w:p w14:paraId="335755D7">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第十一条  违约责任</w:t>
      </w:r>
    </w:p>
    <w:p w14:paraId="1BAC901E">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除发生不可抗力事实外，乙方交付成果与合同标准不相符合的，甲方有权拒绝验收；逾期交付将向甲方每日偿付合同总额千分之一的违约金，逾期交付超过30个日历天的，甲方有权单方面解除合同。因乙方超过30个日历天交付或交付成果与合同标准不符致使甲方解除合同的，乙方应承担合同总额10%的违约金，若违约金不足以弥补甲方损失的，甲方有权要求乙方赔偿损失。甲方有权拒付合同价款以外的其他任何费用。因乙方违约导致甲方因诉讼、维权而产生的立案费、律师费、交通费、保全费等均由乙方负责。</w:t>
      </w:r>
    </w:p>
    <w:p w14:paraId="28B04748">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第十二条  不可抗力</w:t>
      </w:r>
    </w:p>
    <w:p w14:paraId="366A4526">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（一）本协议不可抗力指地震、台风、火灾、战争、罢工以及其他双方不能预见、不能避免并不能克服的客观情况。</w:t>
      </w:r>
    </w:p>
    <w:p w14:paraId="42CBD23C">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（二）由于不可抗力致使协议无法正常履行的，受不可抗力影响一方应立即将不能履行本协议的事实书面通知对方，乙方负责按照甲方要求应急解决。</w:t>
      </w:r>
    </w:p>
    <w:p w14:paraId="5F9B041B">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（三）本协议在不可抗力影响范围及其持续期间内将中止履行，双方无需承担违约责任。</w:t>
      </w:r>
    </w:p>
    <w:p w14:paraId="7B9DC623">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（四）一方迟延履行后发生不可抗力的，不能免除责任。</w:t>
      </w:r>
    </w:p>
    <w:p w14:paraId="46F9E695">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第十三条  验收</w:t>
      </w:r>
    </w:p>
    <w:p w14:paraId="5BF44AB6">
      <w:pPr>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执行国家及相关行业标准规范、合同、招标文件及投标文件条款，达到验收合格标准。</w:t>
      </w:r>
    </w:p>
    <w:p w14:paraId="6A6EDCE8">
      <w:pPr>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1.采购产品满足技术及合同要求，功能及质量不低于国家、行业标准。</w:t>
      </w:r>
    </w:p>
    <w:p w14:paraId="307B3711">
      <w:pPr>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2.产品符合采购人使用要求，符合国家及行业标准。</w:t>
      </w:r>
    </w:p>
    <w:p w14:paraId="4254F8CA">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3.如采购人发现产品有任何问题，投标人必须立即在采购人规定的时间内免费更换，确保其使用。</w:t>
      </w:r>
    </w:p>
    <w:p w14:paraId="640FC4D8">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第十四条  协议争议解决的方式</w:t>
      </w:r>
    </w:p>
    <w:p w14:paraId="704DED9A">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本协议在履行过程中发生的争议，由甲、乙双方当事人协商解决；协商不成的，任意一方应向甲方所在地人民法院起诉。</w:t>
      </w:r>
    </w:p>
    <w:p w14:paraId="21608595">
      <w:pPr>
        <w:adjustRightInd w:val="0"/>
        <w:snapToGrid w:val="0"/>
        <w:spacing w:line="360" w:lineRule="auto"/>
        <w:ind w:firstLine="422" w:firstLineChars="200"/>
        <w:jc w:val="left"/>
        <w:rPr>
          <w:rFonts w:ascii="仿宋" w:hAnsi="仿宋" w:eastAsia="仿宋" w:cs="仿宋"/>
          <w:b/>
          <w:bCs/>
          <w:szCs w:val="21"/>
          <w:highlight w:val="none"/>
        </w:rPr>
      </w:pPr>
      <w:r>
        <w:rPr>
          <w:rFonts w:hint="eastAsia" w:ascii="仿宋" w:hAnsi="仿宋" w:eastAsia="仿宋" w:cs="仿宋"/>
          <w:b/>
          <w:bCs/>
          <w:szCs w:val="21"/>
          <w:highlight w:val="none"/>
        </w:rPr>
        <w:t>第十五条  其他事项</w:t>
      </w:r>
    </w:p>
    <w:p w14:paraId="2052480B">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（一）招标文件、投标文件、澄清表（函）、协议附件均为协议不可分割的部分。</w:t>
      </w:r>
    </w:p>
    <w:p w14:paraId="718F27A1">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（二）对本协议条款的任何变更、修改或增减，须经双方协商同意后签署补充协议，该补充协议作为本协议的组成部分并具有同等效力。</w:t>
      </w:r>
    </w:p>
    <w:p w14:paraId="22DB5D97">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（三）本协议一式</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份。甲方执</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份，乙方执</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份。自甲乙双方法定代表人或者委托代理人签字并加盖公章后生效，协议执行完毕自动失效。（协议的服务承诺仍然有效）。传真件具有同等法律效力。</w:t>
      </w:r>
    </w:p>
    <w:p w14:paraId="49FD2406">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（四）本协议约定的地址为双方有效送达地址，任意一方发生变更的，应当在变更之日起2日内向另一方通知，未通知另一方的，另一方按照约定地址发出的信件自发出之日起7日内视为有效送达。有效送达。</w:t>
      </w:r>
    </w:p>
    <w:p w14:paraId="4C6FF540">
      <w:pPr>
        <w:adjustRightInd w:val="0"/>
        <w:snapToGrid w:val="0"/>
        <w:spacing w:line="360" w:lineRule="auto"/>
        <w:ind w:firstLine="420" w:firstLineChars="200"/>
        <w:jc w:val="left"/>
        <w:rPr>
          <w:rFonts w:ascii="仿宋" w:hAnsi="仿宋" w:eastAsia="仿宋" w:cs="仿宋"/>
          <w:szCs w:val="21"/>
          <w:highlight w:val="none"/>
        </w:rPr>
      </w:pP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 w:type="dxa"/>
          <w:bottom w:w="0" w:type="dxa"/>
          <w:right w:w="11" w:type="dxa"/>
        </w:tblCellMar>
      </w:tblPr>
      <w:tblGrid>
        <w:gridCol w:w="1414"/>
        <w:gridCol w:w="2745"/>
        <w:gridCol w:w="1441"/>
        <w:gridCol w:w="2725"/>
      </w:tblGrid>
      <w:tr w14:paraId="17F07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90" w:hRule="atLeast"/>
        </w:trPr>
        <w:tc>
          <w:tcPr>
            <w:tcW w:w="849" w:type="pct"/>
            <w:vAlign w:val="center"/>
          </w:tcPr>
          <w:p w14:paraId="03A5D14E">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甲方（公章）：</w:t>
            </w:r>
          </w:p>
        </w:tc>
        <w:tc>
          <w:tcPr>
            <w:tcW w:w="1648" w:type="pct"/>
            <w:vAlign w:val="center"/>
          </w:tcPr>
          <w:p w14:paraId="33E7B2B7">
            <w:pPr>
              <w:spacing w:line="400" w:lineRule="exact"/>
              <w:jc w:val="center"/>
              <w:rPr>
                <w:rFonts w:ascii="仿宋" w:hAnsi="仿宋" w:eastAsia="仿宋" w:cs="仿宋"/>
                <w:szCs w:val="21"/>
                <w:highlight w:val="none"/>
              </w:rPr>
            </w:pPr>
          </w:p>
        </w:tc>
        <w:tc>
          <w:tcPr>
            <w:tcW w:w="865" w:type="pct"/>
            <w:vAlign w:val="center"/>
          </w:tcPr>
          <w:p w14:paraId="61165ECB">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乙方：（公章）</w:t>
            </w:r>
          </w:p>
        </w:tc>
        <w:tc>
          <w:tcPr>
            <w:tcW w:w="1636" w:type="pct"/>
            <w:vAlign w:val="center"/>
          </w:tcPr>
          <w:p w14:paraId="36F99B81">
            <w:pPr>
              <w:spacing w:line="400" w:lineRule="exact"/>
              <w:jc w:val="center"/>
              <w:rPr>
                <w:rFonts w:ascii="仿宋" w:hAnsi="仿宋" w:eastAsia="仿宋" w:cs="仿宋"/>
                <w:kern w:val="0"/>
                <w:szCs w:val="21"/>
                <w:highlight w:val="none"/>
                <w:u w:val="single"/>
              </w:rPr>
            </w:pPr>
          </w:p>
        </w:tc>
      </w:tr>
      <w:tr w14:paraId="6AF30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75" w:hRule="atLeast"/>
        </w:trPr>
        <w:tc>
          <w:tcPr>
            <w:tcW w:w="849" w:type="pct"/>
            <w:vAlign w:val="center"/>
          </w:tcPr>
          <w:p w14:paraId="7D7E4E42">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地址：</w:t>
            </w:r>
          </w:p>
        </w:tc>
        <w:tc>
          <w:tcPr>
            <w:tcW w:w="1648" w:type="pct"/>
            <w:vAlign w:val="center"/>
          </w:tcPr>
          <w:p w14:paraId="7FF0B672">
            <w:pPr>
              <w:spacing w:line="400" w:lineRule="exact"/>
              <w:jc w:val="center"/>
              <w:rPr>
                <w:rFonts w:ascii="仿宋" w:hAnsi="仿宋" w:eastAsia="仿宋" w:cs="仿宋"/>
                <w:szCs w:val="21"/>
                <w:highlight w:val="none"/>
              </w:rPr>
            </w:pPr>
          </w:p>
        </w:tc>
        <w:tc>
          <w:tcPr>
            <w:tcW w:w="865" w:type="pct"/>
            <w:vAlign w:val="center"/>
          </w:tcPr>
          <w:p w14:paraId="34EF5187">
            <w:pPr>
              <w:spacing w:line="400" w:lineRule="exact"/>
              <w:jc w:val="center"/>
              <w:rPr>
                <w:rFonts w:ascii="仿宋" w:hAnsi="仿宋" w:eastAsia="仿宋" w:cs="仿宋"/>
                <w:kern w:val="0"/>
                <w:szCs w:val="21"/>
                <w:highlight w:val="none"/>
                <w:u w:val="single"/>
              </w:rPr>
            </w:pPr>
            <w:r>
              <w:rPr>
                <w:rFonts w:hint="eastAsia" w:ascii="仿宋" w:hAnsi="仿宋" w:eastAsia="仿宋" w:cs="仿宋"/>
                <w:kern w:val="0"/>
                <w:szCs w:val="21"/>
                <w:highlight w:val="none"/>
              </w:rPr>
              <w:t>地址：</w:t>
            </w:r>
          </w:p>
        </w:tc>
        <w:tc>
          <w:tcPr>
            <w:tcW w:w="1636" w:type="pct"/>
            <w:vAlign w:val="center"/>
          </w:tcPr>
          <w:p w14:paraId="52BEF0DA">
            <w:pPr>
              <w:spacing w:line="400" w:lineRule="exact"/>
              <w:jc w:val="center"/>
              <w:rPr>
                <w:rFonts w:ascii="仿宋" w:hAnsi="仿宋" w:eastAsia="仿宋" w:cs="仿宋"/>
                <w:kern w:val="0"/>
                <w:szCs w:val="21"/>
                <w:highlight w:val="none"/>
                <w:u w:val="single"/>
              </w:rPr>
            </w:pPr>
          </w:p>
          <w:p w14:paraId="6BEC303A">
            <w:pPr>
              <w:spacing w:line="400" w:lineRule="exact"/>
              <w:jc w:val="center"/>
              <w:rPr>
                <w:rFonts w:ascii="仿宋" w:hAnsi="仿宋" w:eastAsia="仿宋" w:cs="仿宋"/>
                <w:kern w:val="0"/>
                <w:szCs w:val="21"/>
                <w:highlight w:val="none"/>
                <w:u w:val="single"/>
              </w:rPr>
            </w:pPr>
          </w:p>
        </w:tc>
      </w:tr>
      <w:tr w14:paraId="21CA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1CF54961">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法定代表人</w:t>
            </w:r>
          </w:p>
          <w:p w14:paraId="23805B86">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（委托代理人）：</w:t>
            </w:r>
          </w:p>
        </w:tc>
        <w:tc>
          <w:tcPr>
            <w:tcW w:w="1648" w:type="pct"/>
            <w:vAlign w:val="center"/>
          </w:tcPr>
          <w:p w14:paraId="402AC01C">
            <w:pPr>
              <w:spacing w:line="400" w:lineRule="exact"/>
              <w:jc w:val="center"/>
              <w:rPr>
                <w:rFonts w:ascii="仿宋" w:hAnsi="仿宋" w:eastAsia="仿宋" w:cs="仿宋"/>
                <w:szCs w:val="21"/>
                <w:highlight w:val="none"/>
              </w:rPr>
            </w:pPr>
          </w:p>
        </w:tc>
        <w:tc>
          <w:tcPr>
            <w:tcW w:w="865" w:type="pct"/>
            <w:vAlign w:val="center"/>
          </w:tcPr>
          <w:p w14:paraId="628C83D9">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法定代表人</w:t>
            </w:r>
          </w:p>
          <w:p w14:paraId="58595676">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（委托代理人）</w:t>
            </w:r>
          </w:p>
        </w:tc>
        <w:tc>
          <w:tcPr>
            <w:tcW w:w="1636" w:type="pct"/>
            <w:vAlign w:val="center"/>
          </w:tcPr>
          <w:p w14:paraId="18FC4D5B">
            <w:pPr>
              <w:spacing w:line="400" w:lineRule="exact"/>
              <w:jc w:val="center"/>
              <w:rPr>
                <w:rFonts w:ascii="仿宋" w:hAnsi="仿宋" w:eastAsia="仿宋" w:cs="仿宋"/>
                <w:szCs w:val="21"/>
                <w:highlight w:val="none"/>
              </w:rPr>
            </w:pPr>
          </w:p>
        </w:tc>
      </w:tr>
      <w:tr w14:paraId="6F230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6AB0CFD3">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联系电话：</w:t>
            </w:r>
          </w:p>
        </w:tc>
        <w:tc>
          <w:tcPr>
            <w:tcW w:w="1648" w:type="pct"/>
            <w:vAlign w:val="center"/>
          </w:tcPr>
          <w:p w14:paraId="58CB22AC">
            <w:pPr>
              <w:spacing w:line="400" w:lineRule="exact"/>
              <w:jc w:val="center"/>
              <w:rPr>
                <w:rFonts w:ascii="仿宋" w:hAnsi="仿宋" w:eastAsia="仿宋" w:cs="仿宋"/>
                <w:szCs w:val="21"/>
                <w:highlight w:val="none"/>
              </w:rPr>
            </w:pPr>
          </w:p>
        </w:tc>
        <w:tc>
          <w:tcPr>
            <w:tcW w:w="865" w:type="pct"/>
            <w:vAlign w:val="center"/>
          </w:tcPr>
          <w:p w14:paraId="227497EF">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联  系  人：</w:t>
            </w:r>
          </w:p>
        </w:tc>
        <w:tc>
          <w:tcPr>
            <w:tcW w:w="1636" w:type="pct"/>
            <w:vAlign w:val="center"/>
          </w:tcPr>
          <w:p w14:paraId="4C6D38D8">
            <w:pPr>
              <w:spacing w:line="400" w:lineRule="exact"/>
              <w:jc w:val="center"/>
              <w:rPr>
                <w:rFonts w:ascii="仿宋" w:hAnsi="仿宋" w:eastAsia="仿宋" w:cs="仿宋"/>
                <w:szCs w:val="21"/>
                <w:highlight w:val="none"/>
                <w:u w:val="single"/>
              </w:rPr>
            </w:pPr>
          </w:p>
        </w:tc>
      </w:tr>
      <w:tr w14:paraId="55AF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613DEA60">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传    真：</w:t>
            </w:r>
          </w:p>
        </w:tc>
        <w:tc>
          <w:tcPr>
            <w:tcW w:w="1648" w:type="pct"/>
            <w:vAlign w:val="center"/>
          </w:tcPr>
          <w:p w14:paraId="6E63DD04">
            <w:pPr>
              <w:spacing w:line="400" w:lineRule="exact"/>
              <w:jc w:val="center"/>
              <w:rPr>
                <w:rFonts w:ascii="仿宋" w:hAnsi="仿宋" w:eastAsia="仿宋" w:cs="仿宋"/>
                <w:szCs w:val="21"/>
                <w:highlight w:val="none"/>
              </w:rPr>
            </w:pPr>
          </w:p>
        </w:tc>
        <w:tc>
          <w:tcPr>
            <w:tcW w:w="865" w:type="pct"/>
            <w:vAlign w:val="center"/>
          </w:tcPr>
          <w:p w14:paraId="6B2647DC">
            <w:pPr>
              <w:spacing w:line="400" w:lineRule="exact"/>
              <w:jc w:val="center"/>
              <w:rPr>
                <w:rFonts w:ascii="仿宋" w:hAnsi="仿宋" w:eastAsia="仿宋" w:cs="仿宋"/>
                <w:spacing w:val="20"/>
                <w:szCs w:val="21"/>
                <w:highlight w:val="none"/>
              </w:rPr>
            </w:pPr>
            <w:r>
              <w:rPr>
                <w:rFonts w:hint="eastAsia" w:ascii="仿宋" w:hAnsi="仿宋" w:eastAsia="仿宋" w:cs="仿宋"/>
                <w:spacing w:val="20"/>
                <w:szCs w:val="21"/>
                <w:highlight w:val="none"/>
              </w:rPr>
              <w:t>座机电话：</w:t>
            </w:r>
          </w:p>
        </w:tc>
        <w:tc>
          <w:tcPr>
            <w:tcW w:w="1636" w:type="pct"/>
            <w:vAlign w:val="center"/>
          </w:tcPr>
          <w:p w14:paraId="409ECB33">
            <w:pPr>
              <w:spacing w:line="400" w:lineRule="exact"/>
              <w:jc w:val="center"/>
              <w:rPr>
                <w:rFonts w:ascii="仿宋" w:hAnsi="仿宋" w:eastAsia="仿宋" w:cs="仿宋"/>
                <w:bCs/>
                <w:szCs w:val="21"/>
                <w:highlight w:val="none"/>
                <w:u w:val="single"/>
              </w:rPr>
            </w:pPr>
          </w:p>
        </w:tc>
      </w:tr>
      <w:tr w14:paraId="03E1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20332EBC">
            <w:pPr>
              <w:spacing w:line="400" w:lineRule="exact"/>
              <w:jc w:val="center"/>
              <w:rPr>
                <w:rFonts w:ascii="仿宋" w:hAnsi="仿宋" w:eastAsia="仿宋" w:cs="仿宋"/>
                <w:szCs w:val="21"/>
                <w:highlight w:val="none"/>
              </w:rPr>
            </w:pPr>
          </w:p>
        </w:tc>
        <w:tc>
          <w:tcPr>
            <w:tcW w:w="1648" w:type="pct"/>
            <w:vAlign w:val="center"/>
          </w:tcPr>
          <w:p w14:paraId="2AE62F24">
            <w:pPr>
              <w:spacing w:line="400" w:lineRule="exact"/>
              <w:jc w:val="center"/>
              <w:rPr>
                <w:rFonts w:ascii="仿宋" w:hAnsi="仿宋" w:eastAsia="仿宋" w:cs="仿宋"/>
                <w:szCs w:val="21"/>
                <w:highlight w:val="none"/>
              </w:rPr>
            </w:pPr>
          </w:p>
        </w:tc>
        <w:tc>
          <w:tcPr>
            <w:tcW w:w="865" w:type="pct"/>
            <w:vAlign w:val="center"/>
          </w:tcPr>
          <w:p w14:paraId="41178571">
            <w:pPr>
              <w:spacing w:line="400" w:lineRule="exact"/>
              <w:jc w:val="center"/>
              <w:rPr>
                <w:rFonts w:ascii="仿宋" w:hAnsi="仿宋" w:eastAsia="仿宋" w:cs="仿宋"/>
                <w:szCs w:val="21"/>
                <w:highlight w:val="none"/>
              </w:rPr>
            </w:pPr>
            <w:r>
              <w:rPr>
                <w:rFonts w:hint="eastAsia" w:ascii="仿宋" w:hAnsi="仿宋" w:eastAsia="仿宋" w:cs="仿宋"/>
                <w:bCs/>
                <w:szCs w:val="21"/>
                <w:highlight w:val="none"/>
              </w:rPr>
              <w:t>联系人手机：</w:t>
            </w:r>
          </w:p>
        </w:tc>
        <w:tc>
          <w:tcPr>
            <w:tcW w:w="1636" w:type="pct"/>
            <w:vAlign w:val="center"/>
          </w:tcPr>
          <w:p w14:paraId="1CC1A135">
            <w:pPr>
              <w:spacing w:line="400" w:lineRule="exact"/>
              <w:jc w:val="center"/>
              <w:rPr>
                <w:rFonts w:ascii="仿宋" w:hAnsi="仿宋" w:eastAsia="仿宋" w:cs="仿宋"/>
                <w:szCs w:val="21"/>
                <w:highlight w:val="none"/>
                <w:u w:val="single"/>
              </w:rPr>
            </w:pPr>
          </w:p>
        </w:tc>
      </w:tr>
      <w:tr w14:paraId="1DBAE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31667FFA">
            <w:pPr>
              <w:spacing w:line="400" w:lineRule="exact"/>
              <w:jc w:val="center"/>
              <w:rPr>
                <w:rFonts w:ascii="仿宋" w:hAnsi="仿宋" w:eastAsia="仿宋" w:cs="仿宋"/>
                <w:szCs w:val="21"/>
                <w:highlight w:val="none"/>
              </w:rPr>
            </w:pPr>
          </w:p>
        </w:tc>
        <w:tc>
          <w:tcPr>
            <w:tcW w:w="1648" w:type="pct"/>
            <w:vAlign w:val="center"/>
          </w:tcPr>
          <w:p w14:paraId="55EBEACA">
            <w:pPr>
              <w:spacing w:line="400" w:lineRule="exact"/>
              <w:jc w:val="center"/>
              <w:rPr>
                <w:rFonts w:ascii="仿宋" w:hAnsi="仿宋" w:eastAsia="仿宋" w:cs="仿宋"/>
                <w:szCs w:val="21"/>
                <w:highlight w:val="none"/>
              </w:rPr>
            </w:pPr>
          </w:p>
        </w:tc>
        <w:tc>
          <w:tcPr>
            <w:tcW w:w="865" w:type="pct"/>
            <w:vAlign w:val="center"/>
          </w:tcPr>
          <w:p w14:paraId="1D13A6F1">
            <w:pPr>
              <w:spacing w:line="400" w:lineRule="exact"/>
              <w:jc w:val="center"/>
              <w:rPr>
                <w:rFonts w:ascii="仿宋" w:hAnsi="仿宋" w:eastAsia="仿宋" w:cs="仿宋"/>
                <w:szCs w:val="21"/>
                <w:highlight w:val="none"/>
              </w:rPr>
            </w:pPr>
            <w:r>
              <w:rPr>
                <w:rFonts w:hint="eastAsia" w:ascii="仿宋" w:hAnsi="仿宋" w:eastAsia="仿宋" w:cs="仿宋"/>
                <w:szCs w:val="21"/>
                <w:highlight w:val="none"/>
              </w:rPr>
              <w:t>开  户  行：</w:t>
            </w:r>
          </w:p>
        </w:tc>
        <w:tc>
          <w:tcPr>
            <w:tcW w:w="1636" w:type="pct"/>
            <w:vAlign w:val="center"/>
          </w:tcPr>
          <w:p w14:paraId="65F3C103">
            <w:pPr>
              <w:spacing w:line="400" w:lineRule="exact"/>
              <w:jc w:val="center"/>
              <w:rPr>
                <w:rFonts w:ascii="仿宋" w:hAnsi="仿宋" w:eastAsia="仿宋" w:cs="仿宋"/>
                <w:bCs/>
                <w:szCs w:val="21"/>
                <w:highlight w:val="none"/>
                <w:u w:val="single"/>
              </w:rPr>
            </w:pPr>
          </w:p>
        </w:tc>
      </w:tr>
      <w:tr w14:paraId="67A7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05128761">
            <w:pPr>
              <w:spacing w:line="400" w:lineRule="exact"/>
              <w:jc w:val="center"/>
              <w:rPr>
                <w:rFonts w:ascii="仿宋" w:hAnsi="仿宋" w:eastAsia="仿宋" w:cs="仿宋"/>
                <w:szCs w:val="21"/>
                <w:highlight w:val="none"/>
              </w:rPr>
            </w:pPr>
          </w:p>
        </w:tc>
        <w:tc>
          <w:tcPr>
            <w:tcW w:w="1648" w:type="pct"/>
            <w:vAlign w:val="center"/>
          </w:tcPr>
          <w:p w14:paraId="71954B61">
            <w:pPr>
              <w:spacing w:line="400" w:lineRule="exact"/>
              <w:jc w:val="center"/>
              <w:rPr>
                <w:rFonts w:ascii="仿宋" w:hAnsi="仿宋" w:eastAsia="仿宋" w:cs="仿宋"/>
                <w:szCs w:val="21"/>
                <w:highlight w:val="none"/>
              </w:rPr>
            </w:pPr>
          </w:p>
        </w:tc>
        <w:tc>
          <w:tcPr>
            <w:tcW w:w="865" w:type="pct"/>
            <w:vAlign w:val="center"/>
          </w:tcPr>
          <w:p w14:paraId="11C5D61D">
            <w:pPr>
              <w:spacing w:line="400" w:lineRule="exact"/>
              <w:jc w:val="center"/>
              <w:rPr>
                <w:rFonts w:ascii="仿宋" w:hAnsi="仿宋" w:eastAsia="仿宋" w:cs="仿宋"/>
                <w:szCs w:val="21"/>
                <w:highlight w:val="none"/>
              </w:rPr>
            </w:pPr>
            <w:r>
              <w:rPr>
                <w:rFonts w:hint="eastAsia" w:ascii="仿宋" w:hAnsi="仿宋" w:eastAsia="仿宋" w:cs="仿宋"/>
                <w:bCs/>
                <w:szCs w:val="21"/>
                <w:highlight w:val="none"/>
              </w:rPr>
              <w:t>帐      号：</w:t>
            </w:r>
          </w:p>
        </w:tc>
        <w:tc>
          <w:tcPr>
            <w:tcW w:w="1636" w:type="pct"/>
            <w:vAlign w:val="center"/>
          </w:tcPr>
          <w:p w14:paraId="03D168A1">
            <w:pPr>
              <w:spacing w:line="400" w:lineRule="exact"/>
              <w:jc w:val="center"/>
              <w:rPr>
                <w:rFonts w:ascii="仿宋" w:hAnsi="仿宋" w:eastAsia="仿宋" w:cs="仿宋"/>
                <w:bCs/>
                <w:szCs w:val="21"/>
                <w:highlight w:val="none"/>
                <w:u w:val="single"/>
              </w:rPr>
            </w:pPr>
          </w:p>
        </w:tc>
      </w:tr>
      <w:tr w14:paraId="59ED7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c>
          <w:tcPr>
            <w:tcW w:w="849" w:type="pct"/>
            <w:vAlign w:val="center"/>
          </w:tcPr>
          <w:p w14:paraId="5B9E602B">
            <w:pPr>
              <w:spacing w:line="400" w:lineRule="exact"/>
              <w:jc w:val="center"/>
              <w:rPr>
                <w:rFonts w:ascii="仿宋" w:hAnsi="仿宋" w:eastAsia="仿宋" w:cs="仿宋"/>
                <w:szCs w:val="21"/>
                <w:highlight w:val="none"/>
              </w:rPr>
            </w:pPr>
            <w:r>
              <w:rPr>
                <w:rFonts w:hint="eastAsia" w:ascii="仿宋" w:hAnsi="仿宋" w:eastAsia="仿宋" w:cs="仿宋"/>
                <w:bCs/>
                <w:szCs w:val="21"/>
                <w:highlight w:val="none"/>
              </w:rPr>
              <w:t>签订日期：</w:t>
            </w:r>
          </w:p>
        </w:tc>
        <w:tc>
          <w:tcPr>
            <w:tcW w:w="1648" w:type="pct"/>
            <w:vAlign w:val="center"/>
          </w:tcPr>
          <w:p w14:paraId="18FA0264">
            <w:pPr>
              <w:spacing w:line="400" w:lineRule="exact"/>
              <w:jc w:val="center"/>
              <w:rPr>
                <w:rFonts w:ascii="仿宋" w:hAnsi="仿宋" w:eastAsia="仿宋" w:cs="仿宋"/>
                <w:bCs/>
                <w:szCs w:val="21"/>
                <w:highlight w:val="none"/>
              </w:rPr>
            </w:pPr>
          </w:p>
        </w:tc>
        <w:tc>
          <w:tcPr>
            <w:tcW w:w="865" w:type="pct"/>
            <w:vAlign w:val="center"/>
          </w:tcPr>
          <w:p w14:paraId="7799C75C">
            <w:pPr>
              <w:spacing w:line="400" w:lineRule="exact"/>
              <w:jc w:val="center"/>
              <w:rPr>
                <w:rFonts w:ascii="仿宋" w:hAnsi="仿宋" w:eastAsia="仿宋" w:cs="仿宋"/>
                <w:bCs/>
                <w:spacing w:val="30"/>
                <w:szCs w:val="21"/>
                <w:highlight w:val="none"/>
              </w:rPr>
            </w:pPr>
            <w:r>
              <w:rPr>
                <w:rFonts w:hint="eastAsia" w:ascii="仿宋" w:hAnsi="仿宋" w:eastAsia="仿宋" w:cs="仿宋"/>
                <w:bCs/>
                <w:spacing w:val="30"/>
                <w:szCs w:val="21"/>
                <w:highlight w:val="none"/>
              </w:rPr>
              <w:t>签订日期：</w:t>
            </w:r>
          </w:p>
        </w:tc>
        <w:tc>
          <w:tcPr>
            <w:tcW w:w="1636" w:type="pct"/>
            <w:vAlign w:val="center"/>
          </w:tcPr>
          <w:p w14:paraId="7B19B8CD">
            <w:pPr>
              <w:spacing w:line="400" w:lineRule="exact"/>
              <w:jc w:val="center"/>
              <w:rPr>
                <w:rFonts w:ascii="仿宋" w:hAnsi="仿宋" w:eastAsia="仿宋" w:cs="仿宋"/>
                <w:bCs/>
                <w:szCs w:val="21"/>
                <w:highlight w:val="none"/>
              </w:rPr>
            </w:pPr>
          </w:p>
        </w:tc>
      </w:tr>
    </w:tbl>
    <w:p w14:paraId="1A942FA7">
      <w:pPr>
        <w:rPr>
          <w:sz w:val="22"/>
          <w:szCs w:val="28"/>
          <w:highlight w:val="none"/>
        </w:rPr>
      </w:pPr>
    </w:p>
    <w:p w14:paraId="7E8B1A12">
      <w:pPr>
        <w:rPr>
          <w:rFonts w:ascii="仿宋" w:hAnsi="仿宋" w:eastAsia="仿宋" w:cs="仿宋"/>
          <w:szCs w:val="21"/>
          <w:highlight w:val="none"/>
          <w:lang w:eastAsia="zh-Hans"/>
        </w:rPr>
      </w:pPr>
    </w:p>
    <w:p w14:paraId="0BA575BA">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D36A4">
    <w:pPr>
      <w:pStyle w:val="2"/>
      <w:spacing w:line="173" w:lineRule="auto"/>
      <w:ind w:left="4311"/>
      <w:rPr>
        <w:rFonts w:ascii="Lucida Sans Unicode" w:hAnsi="Lucida Sans Unicode" w:eastAsia="Lucida Sans Unicode" w:cs="Lucida Sans Unicode"/>
        <w:sz w:val="24"/>
        <w:szCs w:val="24"/>
      </w:rPr>
    </w:pPr>
    <w:r>
      <w:rPr>
        <w:sz w:val="24"/>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B2EDF4">
                          <w:pPr>
                            <w:pStyle w:val="3"/>
                          </w:pPr>
                          <w:r>
                            <w:fldChar w:fldCharType="begin"/>
                          </w:r>
                          <w:r>
                            <w:instrText xml:space="preserve"> PAGE  \* MERGEFORMAT </w:instrText>
                          </w:r>
                          <w:r>
                            <w:fldChar w:fldCharType="separate"/>
                          </w:r>
                          <w:r>
                            <w:t>- 26 -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FB2EDF4">
                    <w:pPr>
                      <w:pStyle w:val="3"/>
                    </w:pPr>
                    <w:r>
                      <w:fldChar w:fldCharType="begin"/>
                    </w:r>
                    <w:r>
                      <w:instrText xml:space="preserve"> PAGE  \* MERGEFORMAT </w:instrText>
                    </w:r>
                    <w:r>
                      <w:fldChar w:fldCharType="separate"/>
                    </w:r>
                    <w:r>
                      <w:t>- 26 -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7D5F21"/>
    <w:rsid w:val="627D5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cs="宋体"/>
      <w:sz w:val="20"/>
      <w:szCs w:val="20"/>
      <w:lang w:eastAsia="en-US"/>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2026-06-01T09:39:00Z</dcterms:created>
  <dc:creator>德仁招标</dc:creator>
  <cp:lastModifiedBy>德仁招标</cp:lastModifiedBy>
  <dcterms:modified xsi:type="dcterms:W3CDTF">2026-06-01T09:40:10Z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B83493AF24AC4E1EB36A7B9E2C47BD8B_11</vt:lpwstr>
  </property>
  <property fmtid="{D5CDD505-2E9C-101B-9397-08002B2CF9AE}" pid="4" name="KSOTemplateDocerSaveRecord">
    <vt:lpwstr>eyJoZGlkIjoiNzNmNDZlOGE4YzBiODhkNTY3NTdiYjNiMTljZmEwZTciLCJ1c2VySWQiOiIyNzQ5OTcwMTQifQ==</vt:lpwstr>
  </property>
</Properties>
</file>