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版本号：DRZB2026-ZC-13320260622002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陕西省2026年慰问驻陕部队慰问品采购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DRZB2026-ZC-133</w:t>
      </w:r>
      <w:r>
        <w:br/>
      </w:r>
      <w:r>
        <w:br/>
      </w:r>
      <w:r>
        <w:br/>
      </w:r>
    </w:p>
    <w:p>
      <w:pPr>
        <w:pStyle w:val="null3"/>
        <w:jc w:val="center"/>
        <w:outlineLvl w:val="2"/>
      </w:pPr>
      <w:r>
        <w:rPr>
          <w:rFonts w:ascii="仿宋_GB2312" w:hAnsi="仿宋_GB2312" w:cs="仿宋_GB2312" w:eastAsia="仿宋_GB2312"/>
          <w:sz w:val="28"/>
          <w:b/>
        </w:rPr>
        <w:t>陕西省退役军人事务厅机关</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陕西省退役军人事务厅机关</w:t>
      </w:r>
      <w:r>
        <w:rPr>
          <w:rFonts w:ascii="仿宋_GB2312" w:hAnsi="仿宋_GB2312" w:cs="仿宋_GB2312" w:eastAsia="仿宋_GB2312"/>
        </w:rPr>
        <w:t>委托，拟对</w:t>
      </w:r>
      <w:r>
        <w:rPr>
          <w:rFonts w:ascii="仿宋_GB2312" w:hAnsi="仿宋_GB2312" w:cs="仿宋_GB2312" w:eastAsia="仿宋_GB2312"/>
        </w:rPr>
        <w:t>陕西省2026年慰问驻陕部队慰问品采购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DRZB2026-ZC-133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陕西省2026年慰问驻陕部队慰问品采购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陕西省2026年慰问驻陕部队慰问品采购，具体内容详见技术要求。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7、法定代表人授权委托书：法定代表人直接参加投标的，须出具法定代表人身份证明书及身份证；授权代表参加投标的，须出具法定代表人授权书及授权代表身份证；</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陕西省退役军人事务厅机关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西安市新城区新城大院45号楼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029-63917416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采购包1保证金金额：21,133.00元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代理服务费收费标准：本项目招标代理服务费实行市场调节价，采用差额定率累进法计费，以中标金额为计费基数，由中标人在领取中标通知书前一次性支付。 货物招标具体费率如下： 100万元以下，按照1.5%计取，100-500万元，按照1.1%计取。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陕西省退役军人事务厅机关</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陕西省退役军人事务厅机关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陕西省退役军人事务厅机关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陕西省2026年慰问驻陕部队慰问品采购，具体内容详见技术要求。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陕西省2026年慰问驻陕部队慰问品采购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标的名称：陕西省2026年慰问驻陕部队慰问品采购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一、项目概况</w:t>
            </w:r>
          </w:p>
          <w:p>
            <w:pPr>
              <w:pStyle w:val="null3"/>
              <w:ind w:firstLine="480"/>
              <w:jc w:val="left"/>
            </w:pPr>
            <w:r>
              <w:rPr>
                <w:rFonts w:ascii="仿宋_GB2312" w:hAnsi="仿宋_GB2312" w:cs="仿宋_GB2312" w:eastAsia="仿宋_GB2312"/>
                <w:sz w:val="21"/>
              </w:rPr>
              <w:t>为更好的服务部队练兵备战，提升官兵生活品质，现进行陕西省2026年慰问驻陕部队慰问品采购。</w:t>
            </w:r>
          </w:p>
          <w:p>
            <w:pPr>
              <w:pStyle w:val="null3"/>
              <w:ind w:firstLine="480"/>
              <w:jc w:val="left"/>
            </w:pPr>
            <w:r>
              <w:rPr>
                <w:rFonts w:ascii="仿宋_GB2312" w:hAnsi="仿宋_GB2312" w:cs="仿宋_GB2312" w:eastAsia="仿宋_GB2312"/>
                <w:sz w:val="21"/>
              </w:rPr>
              <w:t>采购品类：包括耳机、充电宝、保温杯装等物品在内的“拥军礼包”。</w:t>
            </w:r>
          </w:p>
          <w:p>
            <w:pPr>
              <w:pStyle w:val="null3"/>
              <w:jc w:val="left"/>
            </w:pPr>
            <w:r>
              <w:rPr>
                <w:rFonts w:ascii="仿宋_GB2312" w:hAnsi="仿宋_GB2312" w:cs="仿宋_GB2312" w:eastAsia="仿宋_GB2312"/>
                <w:sz w:val="21"/>
                <w:b/>
              </w:rPr>
              <w:t>二、采购清单及技术要求</w:t>
            </w:r>
          </w:p>
          <w:tbl>
            <w:tblPr>
              <w:tblInd w:type="dxa" w:w="120"/>
              <w:tblBorders>
                <w:top w:val="none" w:color="000000" w:sz="4"/>
                <w:left w:val="none" w:color="000000" w:sz="4"/>
                <w:bottom w:val="none" w:color="000000" w:sz="4"/>
                <w:right w:val="none" w:color="000000" w:sz="4"/>
                <w:insideH w:val="none"/>
                <w:insideV w:val="none"/>
              </w:tblBorders>
            </w:tblPr>
            <w:tblGrid>
              <w:gridCol w:w="128"/>
              <w:gridCol w:w="287"/>
              <w:gridCol w:w="2137"/>
            </w:tblGrid>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耳机（核心产品）</w:t>
                  </w:r>
                </w:p>
              </w:tc>
              <w:tc>
                <w:tcPr>
                  <w:tcW w:type="dxa" w:w="2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1.佩戴方式：后挂式</w:t>
                  </w:r>
                </w:p>
                <w:p>
                  <w:pPr>
                    <w:pStyle w:val="null3"/>
                    <w:jc w:val="both"/>
                  </w:pPr>
                  <w:r>
                    <w:rPr>
                      <w:rFonts w:ascii="仿宋_GB2312" w:hAnsi="仿宋_GB2312" w:cs="仿宋_GB2312" w:eastAsia="仿宋_GB2312"/>
                      <w:sz w:val="21"/>
                    </w:rPr>
                    <w:t>2.发声原理：骨传导</w:t>
                  </w:r>
                </w:p>
                <w:p>
                  <w:pPr>
                    <w:pStyle w:val="null3"/>
                    <w:jc w:val="both"/>
                  </w:pPr>
                  <w:r>
                    <w:rPr>
                      <w:rFonts w:ascii="仿宋_GB2312" w:hAnsi="仿宋_GB2312" w:cs="仿宋_GB2312" w:eastAsia="仿宋_GB2312"/>
                      <w:sz w:val="21"/>
                    </w:rPr>
                    <w:t>3.连接方式：蓝牙</w:t>
                  </w:r>
                </w:p>
                <w:p>
                  <w:pPr>
                    <w:pStyle w:val="null3"/>
                    <w:jc w:val="both"/>
                  </w:pPr>
                  <w:r>
                    <w:rPr>
                      <w:rFonts w:ascii="仿宋_GB2312" w:hAnsi="仿宋_GB2312" w:cs="仿宋_GB2312" w:eastAsia="仿宋_GB2312"/>
                      <w:sz w:val="21"/>
                    </w:rPr>
                    <w:t>4.频响范围：20-20000Hz</w:t>
                  </w:r>
                </w:p>
                <w:p>
                  <w:pPr>
                    <w:pStyle w:val="null3"/>
                    <w:jc w:val="both"/>
                  </w:pPr>
                  <w:r>
                    <w:rPr>
                      <w:rFonts w:ascii="仿宋_GB2312" w:hAnsi="仿宋_GB2312" w:cs="仿宋_GB2312" w:eastAsia="仿宋_GB2312"/>
                      <w:sz w:val="21"/>
                    </w:rPr>
                    <w:t>5.充电接口：磁吸充电口</w:t>
                  </w:r>
                </w:p>
                <w:p>
                  <w:pPr>
                    <w:pStyle w:val="null3"/>
                    <w:jc w:val="both"/>
                  </w:pPr>
                  <w:r>
                    <w:rPr>
                      <w:rFonts w:ascii="仿宋_GB2312" w:hAnsi="仿宋_GB2312" w:cs="仿宋_GB2312" w:eastAsia="仿宋_GB2312"/>
                      <w:sz w:val="21"/>
                    </w:rPr>
                    <w:t>6.蓝牙距离：≥10米</w:t>
                  </w:r>
                </w:p>
                <w:p>
                  <w:pPr>
                    <w:pStyle w:val="null3"/>
                    <w:jc w:val="both"/>
                  </w:pPr>
                  <w:r>
                    <w:rPr>
                      <w:rFonts w:ascii="仿宋_GB2312" w:hAnsi="仿宋_GB2312" w:cs="仿宋_GB2312" w:eastAsia="仿宋_GB2312"/>
                      <w:sz w:val="21"/>
                    </w:rPr>
                    <w:t>7.支持协议：至少包括HFP、A2DP、AVRCP</w:t>
                  </w:r>
                </w:p>
                <w:p>
                  <w:pPr>
                    <w:pStyle w:val="null3"/>
                    <w:jc w:val="both"/>
                  </w:pPr>
                  <w:r>
                    <w:rPr>
                      <w:rFonts w:ascii="仿宋_GB2312" w:hAnsi="仿宋_GB2312" w:cs="仿宋_GB2312" w:eastAsia="仿宋_GB2312"/>
                      <w:sz w:val="21"/>
                    </w:rPr>
                    <w:t>8.支持格式：至少包括AAC/SBC</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 xml:space="preserve">防水等级：≥IPX 8 </w:t>
                  </w:r>
                </w:p>
                <w:p>
                  <w:pPr>
                    <w:pStyle w:val="null3"/>
                  </w:pPr>
                  <w:r>
                    <w:rPr>
                      <w:rFonts w:ascii="仿宋_GB2312" w:hAnsi="仿宋_GB2312" w:cs="仿宋_GB2312" w:eastAsia="仿宋_GB2312"/>
                      <w:sz w:val="21"/>
                    </w:rPr>
                    <w:t xml:space="preserve">10.防尘等级：≥IP6 X                          </w:t>
                  </w:r>
                </w:p>
                <w:p>
                  <w:pPr>
                    <w:pStyle w:val="null3"/>
                  </w:pPr>
                  <w:r>
                    <w:rPr>
                      <w:rFonts w:ascii="仿宋_GB2312" w:hAnsi="仿宋_GB2312" w:cs="仿宋_GB2312" w:eastAsia="仿宋_GB2312"/>
                      <w:sz w:val="21"/>
                    </w:rPr>
                    <w:t>11.电池容量：≥150mAh（电池符合国家强制CCC标准，并提供CCC证书及报告）</w:t>
                  </w:r>
                </w:p>
                <w:p>
                  <w:pPr>
                    <w:pStyle w:val="null3"/>
                    <w:jc w:val="both"/>
                  </w:pPr>
                  <w:r>
                    <w:rPr>
                      <w:rFonts w:ascii="仿宋_GB2312" w:hAnsi="仿宋_GB2312" w:cs="仿宋_GB2312" w:eastAsia="仿宋_GB2312"/>
                      <w:sz w:val="21"/>
                    </w:rPr>
                    <w:t>12.续航时间：≥6小时</w:t>
                  </w:r>
                </w:p>
                <w:p>
                  <w:pPr>
                    <w:pStyle w:val="null3"/>
                    <w:jc w:val="both"/>
                  </w:pPr>
                  <w:r>
                    <w:rPr>
                      <w:rFonts w:ascii="仿宋_GB2312" w:hAnsi="仿宋_GB2312" w:cs="仿宋_GB2312" w:eastAsia="仿宋_GB2312"/>
                      <w:sz w:val="21"/>
                    </w:rPr>
                    <w:t>13.充电时间：≤2小时</w:t>
                  </w:r>
                </w:p>
                <w:p>
                  <w:pPr>
                    <w:pStyle w:val="null3"/>
                    <w:jc w:val="both"/>
                  </w:pPr>
                  <w:r>
                    <w:rPr>
                      <w:rFonts w:ascii="仿宋_GB2312" w:hAnsi="仿宋_GB2312" w:cs="仿宋_GB2312" w:eastAsia="仿宋_GB2312"/>
                      <w:sz w:val="21"/>
                    </w:rPr>
                    <w:t>14.电池类型：锂电池</w:t>
                  </w:r>
                </w:p>
                <w:p>
                  <w:pPr>
                    <w:pStyle w:val="null3"/>
                    <w:jc w:val="both"/>
                  </w:pPr>
                  <w:r>
                    <w:rPr>
                      <w:rFonts w:ascii="仿宋_GB2312" w:hAnsi="仿宋_GB2312" w:cs="仿宋_GB2312" w:eastAsia="仿宋_GB2312"/>
                      <w:sz w:val="21"/>
                    </w:rPr>
                    <w:t>15.支持随机播放：是</w:t>
                  </w:r>
                </w:p>
                <w:p>
                  <w:pPr>
                    <w:pStyle w:val="null3"/>
                    <w:jc w:val="both"/>
                  </w:pPr>
                  <w:r>
                    <w:rPr>
                      <w:rFonts w:ascii="仿宋_GB2312" w:hAnsi="仿宋_GB2312" w:cs="仿宋_GB2312" w:eastAsia="仿宋_GB2312"/>
                      <w:sz w:val="21"/>
                    </w:rPr>
                    <w:t>16.包装箱内容：耳机/充电线/说明书</w:t>
                  </w:r>
                </w:p>
                <w:p>
                  <w:pPr>
                    <w:pStyle w:val="null3"/>
                    <w:jc w:val="both"/>
                  </w:pPr>
                  <w:r>
                    <w:rPr>
                      <w:rFonts w:ascii="仿宋_GB2312" w:hAnsi="仿宋_GB2312" w:cs="仿宋_GB2312" w:eastAsia="仿宋_GB2312"/>
                      <w:sz w:val="21"/>
                    </w:rPr>
                    <w:t>17.净重：≤30g</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充电宝</w:t>
                  </w:r>
                </w:p>
              </w:tc>
              <w:tc>
                <w:tcPr>
                  <w:tcW w:type="dxa" w:w="2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1.电池容量：≥20000mAh</w:t>
                  </w:r>
                </w:p>
                <w:p>
                  <w:pPr>
                    <w:pStyle w:val="null3"/>
                    <w:jc w:val="left"/>
                  </w:pPr>
                  <w:r>
                    <w:rPr>
                      <w:rFonts w:ascii="仿宋_GB2312" w:hAnsi="仿宋_GB2312" w:cs="仿宋_GB2312" w:eastAsia="仿宋_GB2312"/>
                      <w:sz w:val="21"/>
                    </w:rPr>
                    <w:t>2.电池类型：锂离子聚合物电池</w:t>
                  </w:r>
                </w:p>
                <w:p>
                  <w:pPr>
                    <w:pStyle w:val="null3"/>
                    <w:jc w:val="both"/>
                  </w:pPr>
                  <w:r>
                    <w:rPr>
                      <w:rFonts w:ascii="仿宋_GB2312" w:hAnsi="仿宋_GB2312" w:cs="仿宋_GB2312" w:eastAsia="仿宋_GB2312"/>
                      <w:sz w:val="21"/>
                    </w:rPr>
                    <w:t>3.电量显示：LED灯电量显示</w:t>
                  </w:r>
                </w:p>
                <w:p>
                  <w:pPr>
                    <w:pStyle w:val="null3"/>
                    <w:jc w:val="both"/>
                  </w:pPr>
                  <w:r>
                    <w:rPr>
                      <w:rFonts w:ascii="仿宋_GB2312" w:hAnsi="仿宋_GB2312" w:cs="仿宋_GB2312" w:eastAsia="仿宋_GB2312"/>
                      <w:sz w:val="21"/>
                    </w:rPr>
                    <w:t>4.材质：PC V0级防火料</w:t>
                  </w:r>
                </w:p>
                <w:p>
                  <w:pPr>
                    <w:pStyle w:val="null3"/>
                    <w:jc w:val="left"/>
                  </w:pPr>
                  <w:r>
                    <w:rPr>
                      <w:rFonts w:ascii="仿宋_GB2312" w:hAnsi="仿宋_GB2312" w:cs="仿宋_GB2312" w:eastAsia="仿宋_GB2312"/>
                      <w:sz w:val="21"/>
                    </w:rPr>
                    <w:t>5.电池能量：≥74Wh</w:t>
                  </w:r>
                </w:p>
                <w:p>
                  <w:pPr>
                    <w:pStyle w:val="null3"/>
                    <w:jc w:val="left"/>
                  </w:pPr>
                  <w:r>
                    <w:rPr>
                      <w:rFonts w:ascii="仿宋_GB2312" w:hAnsi="仿宋_GB2312" w:cs="仿宋_GB2312" w:eastAsia="仿宋_GB2312"/>
                      <w:sz w:val="21"/>
                    </w:rPr>
                    <w:t>6.额定容量：≥10000mAh</w:t>
                  </w:r>
                </w:p>
                <w:p>
                  <w:pPr>
                    <w:pStyle w:val="null3"/>
                    <w:jc w:val="left"/>
                  </w:pPr>
                  <w:r>
                    <w:rPr>
                      <w:rFonts w:ascii="仿宋_GB2312" w:hAnsi="仿宋_GB2312" w:cs="仿宋_GB2312" w:eastAsia="仿宋_GB2312"/>
                      <w:sz w:val="21"/>
                    </w:rPr>
                    <w:t>7.转换效率：≥70%</w:t>
                  </w:r>
                </w:p>
                <w:p>
                  <w:pPr>
                    <w:pStyle w:val="null3"/>
                    <w:jc w:val="left"/>
                  </w:pPr>
                  <w:r>
                    <w:rPr>
                      <w:rFonts w:ascii="仿宋_GB2312" w:hAnsi="仿宋_GB2312" w:cs="仿宋_GB2312" w:eastAsia="仿宋_GB2312"/>
                      <w:sz w:val="21"/>
                    </w:rPr>
                    <w:t>8.输入：Micro USB，Type-C线： 5V⎓2A</w:t>
                  </w:r>
                </w:p>
                <w:p>
                  <w:pPr>
                    <w:pStyle w:val="null3"/>
                    <w:jc w:val="both"/>
                  </w:pPr>
                  <w:r>
                    <w:rPr>
                      <w:rFonts w:ascii="仿宋_GB2312" w:hAnsi="仿宋_GB2312" w:cs="仿宋_GB2312" w:eastAsia="仿宋_GB2312"/>
                      <w:sz w:val="21"/>
                    </w:rPr>
                    <w:t>9.输出：Micro 线/Type-C 线/Lightning 线/USB： 5V⎓2A</w:t>
                  </w:r>
                </w:p>
                <w:p>
                  <w:pPr>
                    <w:pStyle w:val="null3"/>
                    <w:jc w:val="both"/>
                  </w:pPr>
                  <w:r>
                    <w:rPr>
                      <w:rFonts w:ascii="仿宋_GB2312" w:hAnsi="仿宋_GB2312" w:cs="仿宋_GB2312" w:eastAsia="仿宋_GB2312"/>
                      <w:sz w:val="21"/>
                    </w:rPr>
                    <w:t>10.3C认证：符合GB31241-2022，GB4943.1-2022标准（提供CCC证书及报告）</w:t>
                  </w:r>
                </w:p>
                <w:p>
                  <w:pPr>
                    <w:pStyle w:val="null3"/>
                    <w:jc w:val="both"/>
                  </w:pPr>
                  <w:r>
                    <w:rPr>
                      <w:rFonts w:ascii="仿宋_GB2312" w:hAnsi="仿宋_GB2312" w:cs="仿宋_GB2312" w:eastAsia="仿宋_GB2312"/>
                      <w:sz w:val="21"/>
                    </w:rPr>
                    <w:t>11.包装箱内容：移动电源/充电线/说明书</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保温杯</w:t>
                  </w:r>
                </w:p>
              </w:tc>
              <w:tc>
                <w:tcPr>
                  <w:tcW w:type="dxa" w:w="2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1.标称容量：500ml±50ml</w:t>
                  </w:r>
                </w:p>
                <w:p>
                  <w:pPr>
                    <w:pStyle w:val="null3"/>
                    <w:jc w:val="left"/>
                  </w:pPr>
                  <w:r>
                    <w:rPr>
                      <w:rFonts w:ascii="仿宋_GB2312" w:hAnsi="仿宋_GB2312" w:cs="仿宋_GB2312" w:eastAsia="仿宋_GB2312"/>
                      <w:sz w:val="21"/>
                      <w:color w:val="000000"/>
                    </w:rPr>
                    <w:t>2.内胆：食品级 SUS 316L 奥氏体不锈钢（06Cr17Ni12Mo2，低碳耐腐蚀，耐酸碱）</w:t>
                  </w:r>
                </w:p>
                <w:p>
                  <w:pPr>
                    <w:pStyle w:val="null3"/>
                    <w:jc w:val="left"/>
                  </w:pPr>
                  <w:r>
                    <w:rPr>
                      <w:rFonts w:ascii="仿宋_GB2312" w:hAnsi="仿宋_GB2312" w:cs="仿宋_GB2312" w:eastAsia="仿宋_GB2312"/>
                      <w:sz w:val="21"/>
                      <w:color w:val="000000"/>
                    </w:rPr>
                    <w:t>3.杯身外层：不锈钢（全钢无塑设计，一体成型）</w:t>
                  </w:r>
                </w:p>
                <w:p>
                  <w:pPr>
                    <w:pStyle w:val="null3"/>
                    <w:jc w:val="left"/>
                  </w:pPr>
                  <w:r>
                    <w:rPr>
                      <w:rFonts w:ascii="仿宋_GB2312" w:hAnsi="仿宋_GB2312" w:cs="仿宋_GB2312" w:eastAsia="仿宋_GB2312"/>
                      <w:sz w:val="21"/>
                      <w:color w:val="000000"/>
                    </w:rPr>
                    <w:t>4.杯盖：食品级 PP 内塞 + 304 不锈钢外壳 + 食品级硅胶密封圈</w:t>
                  </w:r>
                </w:p>
                <w:p>
                  <w:pPr>
                    <w:pStyle w:val="null3"/>
                    <w:jc w:val="left"/>
                  </w:pPr>
                  <w:r>
                    <w:rPr>
                      <w:rFonts w:ascii="仿宋_GB2312" w:hAnsi="仿宋_GB2312" w:cs="仿宋_GB2312" w:eastAsia="仿宋_GB2312"/>
                      <w:sz w:val="21"/>
                      <w:color w:val="000000"/>
                    </w:rPr>
                    <w:t>5.杯底：不锈钢+防滑硅胶垫</w:t>
                  </w:r>
                </w:p>
                <w:p>
                  <w:pPr>
                    <w:pStyle w:val="null3"/>
                    <w:jc w:val="left"/>
                  </w:pPr>
                  <w:r>
                    <w:rPr>
                      <w:rFonts w:ascii="仿宋_GB2312" w:hAnsi="仿宋_GB2312" w:cs="仿宋_GB2312" w:eastAsia="仿宋_GB2312"/>
                      <w:sz w:val="21"/>
                      <w:color w:val="000000"/>
                    </w:rPr>
                    <w:t>6.保温/保冷：</w:t>
                  </w:r>
                </w:p>
                <w:p>
                  <w:pPr>
                    <w:pStyle w:val="null3"/>
                    <w:jc w:val="left"/>
                  </w:pPr>
                  <w:r>
                    <w:rPr>
                      <w:rFonts w:ascii="仿宋_GB2312" w:hAnsi="仿宋_GB2312" w:cs="仿宋_GB2312" w:eastAsia="仿宋_GB2312"/>
                      <w:sz w:val="21"/>
                      <w:color w:val="000000"/>
                    </w:rPr>
                    <w:t>保温（100℃沸水，GB/T 29606-2013）：24 小时：≥40℃</w:t>
                  </w:r>
                </w:p>
                <w:p>
                  <w:pPr>
                    <w:pStyle w:val="null3"/>
                    <w:jc w:val="left"/>
                  </w:pPr>
                  <w:r>
                    <w:rPr>
                      <w:rFonts w:ascii="仿宋_GB2312" w:hAnsi="仿宋_GB2312" w:cs="仿宋_GB2312" w:eastAsia="仿宋_GB2312"/>
                      <w:sz w:val="21"/>
                      <w:color w:val="000000"/>
                    </w:rPr>
                    <w:t>保冷（4℃冰水，GB/T 29606-2013）：24 小时：≤20℃</w:t>
                  </w:r>
                </w:p>
                <w:p>
                  <w:pPr>
                    <w:pStyle w:val="null3"/>
                    <w:jc w:val="left"/>
                  </w:pPr>
                  <w:r>
                    <w:rPr>
                      <w:rFonts w:ascii="仿宋_GB2312" w:hAnsi="仿宋_GB2312" w:cs="仿宋_GB2312" w:eastAsia="仿宋_GB2312"/>
                      <w:sz w:val="21"/>
                      <w:color w:val="000000"/>
                    </w:rPr>
                    <w:t>7.表面处理：杯身采用磨砂/拉丝工艺，防指纹、耐刮擦</w:t>
                  </w:r>
                </w:p>
                <w:p>
                  <w:pPr>
                    <w:pStyle w:val="null3"/>
                    <w:jc w:val="left"/>
                  </w:pPr>
                  <w:r>
                    <w:rPr>
                      <w:rFonts w:ascii="仿宋_GB2312" w:hAnsi="仿宋_GB2312" w:cs="仿宋_GB2312" w:eastAsia="仿宋_GB2312"/>
                      <w:sz w:val="21"/>
                      <w:color w:val="000000"/>
                    </w:rPr>
                    <w:t>8.执行标准</w:t>
                  </w:r>
                </w:p>
                <w:p>
                  <w:pPr>
                    <w:pStyle w:val="null3"/>
                    <w:jc w:val="left"/>
                  </w:pPr>
                  <w:r>
                    <w:rPr>
                      <w:rFonts w:ascii="仿宋_GB2312" w:hAnsi="仿宋_GB2312" w:cs="仿宋_GB2312" w:eastAsia="仿宋_GB2312"/>
                      <w:sz w:val="21"/>
                      <w:color w:val="000000"/>
                    </w:rPr>
                    <w:t>食品安全：GB 4806.9-2016（食品接触用金属材料及制品）</w:t>
                  </w:r>
                  <w:r>
                    <w:br/>
                  </w:r>
                  <w:r>
                    <w:rPr>
                      <w:rFonts w:ascii="仿宋_GB2312" w:hAnsi="仿宋_GB2312" w:cs="仿宋_GB2312" w:eastAsia="仿宋_GB2312"/>
                      <w:sz w:val="21"/>
                      <w:color w:val="000000"/>
                    </w:rPr>
                    <w:t>产品标准：GB/T 29606-2013（不锈钢真空杯）</w:t>
                  </w:r>
                  <w:r>
                    <w:br/>
                  </w:r>
                  <w:r>
                    <w:rPr>
                      <w:rFonts w:ascii="仿宋_GB2312" w:hAnsi="仿宋_GB2312" w:cs="仿宋_GB2312" w:eastAsia="仿宋_GB2312"/>
                      <w:sz w:val="21"/>
                      <w:color w:val="000000"/>
                    </w:rPr>
                    <w:t>卫生标准：GB 4806.11-2016（食品接触用硅胶材料及制品）</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拥军礼包（即上述物品外包装）</w:t>
                  </w:r>
                </w:p>
              </w:tc>
              <w:tc>
                <w:tcPr>
                  <w:tcW w:type="dxa" w:w="2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1.尺寸：长×宽×高：30cm×22cm×18cm±2cm</w:t>
                  </w:r>
                </w:p>
                <w:p>
                  <w:pPr>
                    <w:pStyle w:val="null3"/>
                    <w:jc w:val="left"/>
                  </w:pPr>
                  <w:r>
                    <w:rPr>
                      <w:rFonts w:ascii="仿宋_GB2312" w:hAnsi="仿宋_GB2312" w:cs="仿宋_GB2312" w:eastAsia="仿宋_GB2312"/>
                      <w:sz w:val="21"/>
                      <w:color w:val="000000"/>
                    </w:rPr>
                    <w:t>2.材质：PC，防水耐磨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rPr>
                    <w:t>静态承重≥10kg</w:t>
                  </w:r>
                </w:p>
                <w:p>
                  <w:pPr>
                    <w:pStyle w:val="null3"/>
                    <w:jc w:val="left"/>
                  </w:pPr>
                  <w:r>
                    <w:rPr>
                      <w:rFonts w:ascii="仿宋_GB2312" w:hAnsi="仿宋_GB2312" w:cs="仿宋_GB2312" w:eastAsia="仿宋_GB2312"/>
                      <w:sz w:val="21"/>
                    </w:rPr>
                    <w:t>4.表面工艺：竖纹防刮设计</w:t>
                  </w:r>
                </w:p>
                <w:p>
                  <w:pPr>
                    <w:pStyle w:val="null3"/>
                    <w:jc w:val="left"/>
                  </w:pPr>
                  <w:r>
                    <w:rPr>
                      <w:rFonts w:ascii="仿宋_GB2312" w:hAnsi="仿宋_GB2312" w:cs="仿宋_GB2312" w:eastAsia="仿宋_GB2312"/>
                      <w:sz w:val="21"/>
                    </w:rPr>
                    <w:t>5.闭合方式：双轨防爆拉链</w:t>
                  </w:r>
                </w:p>
              </w:tc>
            </w:tr>
          </w:tbl>
          <w:p>
            <w:pPr>
              <w:pStyle w:val="null3"/>
              <w:ind w:firstLine="422"/>
            </w:pPr>
            <w:r>
              <w:rPr>
                <w:rFonts w:ascii="仿宋_GB2312" w:hAnsi="仿宋_GB2312" w:cs="仿宋_GB2312" w:eastAsia="仿宋_GB2312"/>
                <w:sz w:val="21"/>
                <w:b/>
              </w:rPr>
              <w:t>注：1、本项目核心产品：</w:t>
            </w:r>
            <w:r>
              <w:rPr>
                <w:rFonts w:ascii="仿宋_GB2312" w:hAnsi="仿宋_GB2312" w:cs="仿宋_GB2312" w:eastAsia="仿宋_GB2312"/>
                <w:sz w:val="21"/>
                <w:b/>
              </w:rPr>
              <w:t>耳机</w:t>
            </w:r>
            <w:r>
              <w:rPr>
                <w:rFonts w:ascii="仿宋_GB2312" w:hAnsi="仿宋_GB2312" w:cs="仿宋_GB2312" w:eastAsia="仿宋_GB2312"/>
                <w:sz w:val="21"/>
                <w:b/>
              </w:rPr>
              <w:t>；</w:t>
            </w:r>
          </w:p>
          <w:p>
            <w:pPr>
              <w:pStyle w:val="null3"/>
              <w:ind w:firstLine="843"/>
            </w:pPr>
            <w:r>
              <w:rPr>
                <w:rFonts w:ascii="仿宋_GB2312" w:hAnsi="仿宋_GB2312" w:cs="仿宋_GB2312" w:eastAsia="仿宋_GB2312"/>
                <w:sz w:val="21"/>
                <w:b/>
              </w:rPr>
              <w:t>2、</w:t>
            </w:r>
            <w:r>
              <w:rPr>
                <w:rFonts w:ascii="仿宋_GB2312" w:hAnsi="仿宋_GB2312" w:cs="仿宋_GB2312" w:eastAsia="仿宋_GB2312"/>
                <w:sz w:val="21"/>
                <w:b/>
              </w:rPr>
              <w:t>本项目单价合计最高限价为1000元（单价合计指耳机报价+保温杯报价+充电宝报价+拥军礼包报价）。</w:t>
            </w:r>
          </w:p>
          <w:p>
            <w:pPr>
              <w:pStyle w:val="null3"/>
              <w:jc w:val="both"/>
            </w:pPr>
            <w:r>
              <w:rPr>
                <w:rFonts w:ascii="仿宋_GB2312" w:hAnsi="仿宋_GB2312" w:cs="仿宋_GB2312" w:eastAsia="仿宋_GB2312"/>
                <w:sz w:val="21"/>
                <w:b/>
              </w:rPr>
              <w:t>（四）样品递交要求</w:t>
            </w:r>
          </w:p>
          <w:p>
            <w:pPr>
              <w:pStyle w:val="null3"/>
              <w:ind w:left="105"/>
              <w:jc w:val="left"/>
            </w:pPr>
            <w:r>
              <w:rPr>
                <w:rFonts w:ascii="仿宋_GB2312" w:hAnsi="仿宋_GB2312" w:cs="仿宋_GB2312" w:eastAsia="仿宋_GB2312"/>
                <w:sz w:val="21"/>
              </w:rPr>
              <w:t>1.开标现场需提供所投4类产品的样品。</w:t>
            </w:r>
          </w:p>
          <w:p>
            <w:pPr>
              <w:pStyle w:val="null3"/>
              <w:ind w:left="105"/>
              <w:jc w:val="left"/>
            </w:pPr>
            <w:r>
              <w:rPr>
                <w:rFonts w:ascii="仿宋_GB2312" w:hAnsi="仿宋_GB2312" w:cs="仿宋_GB2312" w:eastAsia="仿宋_GB2312"/>
                <w:sz w:val="21"/>
              </w:rPr>
              <w:t>2.样品递交要求：</w:t>
            </w:r>
          </w:p>
          <w:p>
            <w:pPr>
              <w:pStyle w:val="null3"/>
              <w:ind w:left="105"/>
              <w:jc w:val="left"/>
            </w:pPr>
            <w:r>
              <w:rPr>
                <w:rFonts w:ascii="仿宋_GB2312" w:hAnsi="仿宋_GB2312" w:cs="仿宋_GB2312" w:eastAsia="仿宋_GB2312"/>
                <w:sz w:val="21"/>
              </w:rPr>
              <w:t>（1）递交样品截止时间：同投标文件递交截止时间一致，逾期未交的，视为放弃递交样品；</w:t>
            </w:r>
          </w:p>
          <w:p>
            <w:pPr>
              <w:pStyle w:val="null3"/>
              <w:ind w:left="105"/>
              <w:jc w:val="left"/>
            </w:pPr>
            <w:r>
              <w:rPr>
                <w:rFonts w:ascii="仿宋_GB2312" w:hAnsi="仿宋_GB2312" w:cs="仿宋_GB2312" w:eastAsia="仿宋_GB2312"/>
                <w:sz w:val="21"/>
              </w:rPr>
              <w:t>（2）样品递交地点：西安市唐延路37号class公馆B栋1103室；</w:t>
            </w:r>
          </w:p>
          <w:p>
            <w:pPr>
              <w:pStyle w:val="null3"/>
              <w:ind w:left="105"/>
              <w:jc w:val="left"/>
            </w:pPr>
            <w:r>
              <w:rPr>
                <w:rFonts w:ascii="仿宋_GB2312" w:hAnsi="仿宋_GB2312" w:cs="仿宋_GB2312" w:eastAsia="仿宋_GB2312"/>
                <w:sz w:val="21"/>
              </w:rPr>
              <w:t>（3）样品需要统一密封，并注明投标人名称及产品清单。（格式见第六章投标文件格式）</w:t>
            </w:r>
          </w:p>
          <w:p>
            <w:pPr>
              <w:pStyle w:val="null3"/>
              <w:ind w:left="105"/>
              <w:jc w:val="left"/>
            </w:pPr>
            <w:r>
              <w:rPr>
                <w:rFonts w:ascii="仿宋_GB2312" w:hAnsi="仿宋_GB2312" w:cs="仿宋_GB2312" w:eastAsia="仿宋_GB2312"/>
                <w:sz w:val="21"/>
              </w:rPr>
              <w:t>（4）评审时需打开样品外包装，查看其材质、性能等是否符合采购需求，由此造成的损失由投标人自行承担；</w:t>
            </w:r>
          </w:p>
          <w:p>
            <w:pPr>
              <w:pStyle w:val="null3"/>
            </w:pPr>
            <w:r>
              <w:rPr>
                <w:rFonts w:ascii="仿宋_GB2312" w:hAnsi="仿宋_GB2312" w:cs="仿宋_GB2312" w:eastAsia="仿宋_GB2312"/>
                <w:sz w:val="21"/>
              </w:rPr>
              <w:t>（5）样品在招标大会结束后统一封存，公示期结束后，未中标人可领取样品，中标人的样品由采购人保存，作为供货验收的依据。如中标人所提供的产品与样品不一致时，采购人将予以追究该单位的违约责任和经济赔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交货期：自合同签订之日起10天内完成供货及验收。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进度款，合同签订后，货物到货且验收通过后10个工作日内，无任何质量问题，采购人向中标人一次性支付全部合同价款，达到付款条件起30个工作日内，支付合同总金额的100.0%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执行国家及相关行业标准规范、合同、招标文件及投标文件条款，达到验收合格标准。 1.采购产品满足技术及合同要求，功能及质量不低于国家、行业标准。 2.产品符合采购人使用要求，符合国家及行业标准。 3.如采购人发现产品有任何问题，投标人必须立即在采购人规定的时间内免费更换，确保其使用。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质保期：免费质保一年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本项目政府采购工作，投标人须在陕西省政府采购电子化交易平台上传电子版投标文件并完成签章、加密，同时，线下递交纸质版投标文件正本一份。若电子版投标文件与纸质版投标文件不一致的，以陕西省政府采购电子化交易平台上传的电子版投标文件为准。纸质版投标文件递交截止时间同开标截止时间，递交地点为西安市唐延路37号class公馆B栋1103室。 2、投标保证金注意事项：投标保证金须从供应商账户转账；以保函形式交纳投标保证金的，投标人应在投标截止时间前将保函扫描成清晰的PDF文件，发送至邮箱1172109359@qq.com（邮件命名：项目名称+项目编号），投标人应在投标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报价一览表.docx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报价一览表.docx 售后服务方案.docx 配送方案及运输车辆配备.docx 项目实施方案.docx 资格证明文件.docx 质量保障措施.docx 分项报价表.docx 投标函 标的清单 保证金缴纳凭证.docx 投标文件封面 货物简要说明一览表.docx 商务偏离表.docx 节能环保、环境标志产品明细表.docx 监狱企业的证明文件 投标人认为有必要说明的其他资料.docx 中小企业声明函 应急方案.docx 供货渠道证明.docx 人员配备方案.docx 样品.docx 技术偏离表.docx 残疾人福利性单位声明函 业绩统计表.docx 投标人承诺书.docx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开标一览表 报价一览表.docx 售后服务方案.docx 配送方案及运输车辆配备.docx 项目实施方案.docx 资格证明文件.docx 质量保障措施.docx 分项报价表.docx 投标函 标的清单 保证金缴纳凭证.docx 投标文件封面 货物简要说明一览表.docx 商务偏离表.docx 节能环保、环境标志产品明细表.docx 监狱企业的证明文件 投标人认为有必要说明的其他资料.docx 中小企业声明函 应急方案.docx 供货渠道证明.docx 人员配备方案.docx 样品.docx 技术偏离表.docx 残疾人福利性单位声明函 业绩统计表.docx 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投标人所投产品选型科学合理、技术先进，技术参数清晰明确，符合使用要求，技术指标和性能完全满足招标文件要求，计10分，每有一个技术指标和性能存在负偏离的扣0.25分，扣完为止。 备注：1.投标人应逐条对应技术参数进行应答，并提供相应的证明材料（包括但不限于投标人出具的产品技术说明书或产品彩页、官网功能截图、第三方出具的检验报告等）。 2.投标文件技术参数响应情况内容应与证明材料内容一致，不一致时，以投标人提供的证明材料为准进行评审。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货物简要说明一览表.docx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针对本项目提供完善的供货渠道证明材料，包括但不限于：①提供产品货源渠道正规，无假货、水货、翻新货且无产权纠纷的承诺函；②投标人所投产品的合法来源渠道证明文件（包括但不限于产品授权书、代理协议、销售协议等）； 评审标准：每提供一个计1分，满分2分，未提供不得分。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供货渠道证明.docx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开标现场需提供所投产品的样品，评标委员会评审仅对照招标文件载明的样品数量、制作工艺、产品材质、成品质量、气味、色彩款式6项需求逐项核查，6项中任意一项指标不满足采购需求，统一计1处瑕疵，分档计分规则如下： 样品数量齐全，6项要素全部符合采购需求、无任何瑕疵，得12分； 样品数量齐全，瑕疵总数量≤2 处，得9分； 样品数量齐全，瑕疵总数量 = 3 处，得 6分； 样品数量齐全，瑕疵总数量≥4 处，得3分； 提交的样品数量不全或未提交样品本项得0分。 注:样品须与所投产品一致，未提供样品的不计分。(开标现场须对各投标人的样品进行拆验，由此造成的损失由投标人自行承担)。</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样品.docx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针对本项目提供完善的项目实施方案，包括但不限于①项目实施流程及产品采购方案；②实施进度计划及安排；③产品验收标准及方案。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针对本项目提供完善的质量保障措施，包括但不限于：①产品质量保障措施；②运输过程中的安全保障措施。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配送方案及运输车辆配备</w:t>
            </w:r>
          </w:p>
        </w:tc>
        <w:tc>
          <w:tcPr>
            <w:tcW w:type="dxa" w:w="2492"/>
          </w:tcPr>
          <w:p>
            <w:pPr>
              <w:pStyle w:val="null3"/>
            </w:pPr>
            <w:r>
              <w:rPr>
                <w:rFonts w:ascii="仿宋_GB2312" w:hAnsi="仿宋_GB2312" w:cs="仿宋_GB2312" w:eastAsia="仿宋_GB2312"/>
              </w:rPr>
              <w:t>针对本项目提供完善的配送方案及运输车辆配备，包括但不限于①供货组织安排（包括仓储、运输、配送）；②产品配送方案；③专职配送人员、运输车辆配备方案（车辆类型、数量、用途、配置说明、使用年限、车况等）。 备注：提供证明材料，证明材料包括但不限于司机驾驶证、配送人员健康证、车辆购置合同或租赁合同，车辆行驶证，车辆照片等。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配送方案及运输车辆配备.docx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针对本项目提供人员配备方案，包括但不限于：①项目管理体系与人员管理制度；②人员安排方案、岗位分工及职责任务。 评审标准：方案各部分内容全面详细、阐述条理清晰详尽、符合本项目采购需求，能保障本项目实施得3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针对本项目提供应急方案，包括但不限于：①产品生产厂家断货应急保障方案；②产品运输过程紧急或突发事件处理方案。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善的售后服务及培训方案，包括但不限于：①售后响应时效、问题解决时效及不能完全履行售后服务时愿意接受相关处罚的承诺；②质保期内售后服务方案及健全的售后服务机构、配备专职售后人员；③退换货服务方案及备品、备件供应计划。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投标人提供自2023年1月1日至今类似供货业绩合同，以合同签订日期为准，每提供一份合同复印件得1分，满分4分。未提供不得分。 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满足招标文件实质性要求且投标总报价最低的价格为投标基准价，其价格分为30分。其他投标人的价格分统一按照下列公式计算：报价得分=（投标基准价/投标总报价）×30分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详见附件：供货渠道证明.docx</w:t>
      </w:r>
    </w:p>
    <w:p>
      <w:pPr>
        <w:pStyle w:val="null3"/>
        <w:ind w:firstLine="960"/>
      </w:pPr>
      <w:r>
        <w:rPr>
          <w:rFonts w:ascii="仿宋_GB2312" w:hAnsi="仿宋_GB2312" w:cs="仿宋_GB2312" w:eastAsia="仿宋_GB2312"/>
        </w:rPr>
        <w:t>详见附件：样品.docx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详见附件：配送方案及运输车辆配备.docx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