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版本号：QHY-2026-ZB-01520260528001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西安市未央区张家堡2026年老旧小区燃气管道改造项目施工图设计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QHY-2026-ZB-015</w:t>
      </w:r>
      <w:r>
        <w:br/>
      </w:r>
      <w:r>
        <w:br/>
      </w:r>
      <w:r>
        <w:br/>
      </w:r>
    </w:p>
    <w:p>
      <w:pPr>
        <w:pStyle w:val="null3"/>
        <w:jc w:val="center"/>
        <w:outlineLvl w:val="2"/>
      </w:pPr>
      <w:r>
        <w:rPr>
          <w:rFonts w:ascii="仿宋_GB2312" w:hAnsi="仿宋_GB2312" w:cs="仿宋_GB2312" w:eastAsia="仿宋_GB2312"/>
          <w:sz w:val="28"/>
          <w:b/>
        </w:rPr>
        <w:t>西安市未央区城市管理和综合执法局</w:t>
      </w:r>
    </w:p>
    <w:p>
      <w:pPr>
        <w:pStyle w:val="null3"/>
        <w:jc w:val="center"/>
        <w:outlineLvl w:val="2"/>
      </w:pPr>
      <w:r>
        <w:rPr>
          <w:rFonts w:ascii="仿宋_GB2312" w:hAnsi="仿宋_GB2312" w:cs="仿宋_GB2312" w:eastAsia="仿宋_GB2312"/>
          <w:sz w:val="28"/>
          <w:b/>
        </w:rPr>
        <w:t>陕西齐海宇工程项目管理有限公司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陕西齐海宇工程项目管理有限公司</w:t>
      </w:r>
      <w:r>
        <w:rPr>
          <w:rFonts w:ascii="仿宋_GB2312" w:hAnsi="仿宋_GB2312" w:cs="仿宋_GB2312" w:eastAsia="仿宋_GB2312"/>
        </w:rPr>
        <w:t>（以下简称“代理机构”）受</w:t>
      </w:r>
      <w:r>
        <w:rPr>
          <w:rFonts w:ascii="仿宋_GB2312" w:hAnsi="仿宋_GB2312" w:cs="仿宋_GB2312" w:eastAsia="仿宋_GB2312"/>
        </w:rPr>
        <w:t>西安市未央区城市管理和综合执法局</w:t>
      </w:r>
      <w:r>
        <w:rPr>
          <w:rFonts w:ascii="仿宋_GB2312" w:hAnsi="仿宋_GB2312" w:cs="仿宋_GB2312" w:eastAsia="仿宋_GB2312"/>
        </w:rPr>
        <w:t>委托，拟对</w:t>
      </w:r>
      <w:r>
        <w:rPr>
          <w:rFonts w:ascii="仿宋_GB2312" w:hAnsi="仿宋_GB2312" w:cs="仿宋_GB2312" w:eastAsia="仿宋_GB2312"/>
        </w:rPr>
        <w:t>西安市未央区张家堡2026年老旧小区燃气管道改造项目施工图设计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QHY-2026-ZB-015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西安市未央区张家堡2026年老旧小区燃气管道改造项目施工图设计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西安市未央区张家堡2026年老旧小区燃气管道改造项目施工图设计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1、法定代表人授权书：法定代表人直接参加磋商的，须出具法定代表人身份证明。法定代表人委托代理人参加磋商的，须出具法定代表人授权书（附法定代表人、代理人身份证复印件）。</w:t>
      </w:r>
    </w:p>
    <w:p>
      <w:pPr>
        <w:pStyle w:val="null3"/>
      </w:pPr>
      <w:r>
        <w:rPr>
          <w:rFonts w:ascii="仿宋_GB2312" w:hAnsi="仿宋_GB2312" w:cs="仿宋_GB2312" w:eastAsia="仿宋_GB2312"/>
        </w:rPr>
        <w:t>2、供应商资质：供应商须具备工程设计综合甲级资质，或市政行业工程设计乙级及以上资质，或市政行业（城镇燃气工程）专业设计丙级及以上资质，并具有特种设备生产许可证（许可范围须包含GB1类压力管道设计）。</w:t>
      </w:r>
    </w:p>
    <w:p>
      <w:pPr>
        <w:pStyle w:val="null3"/>
      </w:pPr>
      <w:r>
        <w:rPr>
          <w:rFonts w:ascii="仿宋_GB2312" w:hAnsi="仿宋_GB2312" w:cs="仿宋_GB2312" w:eastAsia="仿宋_GB2312"/>
        </w:rPr>
        <w:t>3、项目负责人资质：拟派项目负责人须具备注册公用设备工程师（动力）执业资格（在本单位注册）。</w:t>
      </w:r>
    </w:p>
    <w:p>
      <w:pPr>
        <w:pStyle w:val="null3"/>
      </w:pPr>
      <w:r>
        <w:rPr>
          <w:rFonts w:ascii="仿宋_GB2312" w:hAnsi="仿宋_GB2312" w:cs="仿宋_GB2312" w:eastAsia="仿宋_GB2312"/>
        </w:rPr>
        <w:t>4、信用记录：供应商不得为“信用中国”网站（www.creditchina.gov.cn）中列入失信被执行人（页面跳转至“中国执行信息公开网”http://zxgk.court.gov.cn/shixin/）和重大税收违法案件当事人名单的供应商，不得为中国政府采购网（www.ccgp.gov.cn）政府采购严重违法失信行为记录名单中被财政部门禁止参加政府采购活动的供应商；（此项以采购代理机构现场查询为准，查询时限为响应文件递交截止之日）。</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西安市未央区城市管理和综合执法局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陕西省西安市未央区连心路51号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郝子瑄</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17795701962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陕西齐海宇工程项目管理有限公司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西安市未央区朱宏路8号保亿公元印12幢808室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马倩、史萌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029-89151632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西安市未央区政府采购管理股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西安市未央区财政局政府采购管理科</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029-86276259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采购包1：758,166.00元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国家计委颁发的《招标代理服务收费管理暂行办法》（计价格〔2002〕1980号）和国家发展和改革委员会办公厅颁发的《关于招标代理服务收费有关问题的通知》（发改办价格〔2003〕857号）的有关规定执行。成交供应商在领取成交通知书前，须向采购代理机构一次性支付招标代理服务费。 招标代理服务费账户： 户名：陕西齐海宇工程项目管理有限公司 开户行：中国建设银行股份有限公司西安文景小区支行 账号：61050110057800000789 请成交供应商按照要求将招标代理服务费转入以上指定账户，如因自身原因发生错误，产生的不利后果均由供应商自行承担。</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西安市未央区城市管理和综合执法局</w:t>
      </w:r>
      <w:r>
        <w:rPr>
          <w:rFonts w:ascii="仿宋_GB2312" w:hAnsi="仿宋_GB2312" w:cs="仿宋_GB2312" w:eastAsia="仿宋_GB2312"/>
        </w:rPr>
        <w:t>和</w:t>
      </w:r>
      <w:r>
        <w:rPr>
          <w:rFonts w:ascii="仿宋_GB2312" w:hAnsi="仿宋_GB2312" w:cs="仿宋_GB2312" w:eastAsia="仿宋_GB2312"/>
        </w:rPr>
        <w:t>陕西齐海宇工程项目管理有限公司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西安市未央区城市管理和综合执法局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陕西齐海宇工程项目管理有限公司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西安市未央区城市管理和综合执法局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陕西齐海宇工程项目管理有限公司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按合同要求、按标准完成。</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陕西齐海宇工程项目管理有限公司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陕西齐海宇工程项目管理有限公司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陕西齐海宇工程项目管理有限公司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联系人：马倩、史萌</w:t>
      </w:r>
    </w:p>
    <w:p>
      <w:pPr>
        <w:pStyle w:val="null3"/>
      </w:pPr>
      <w:r>
        <w:rPr>
          <w:rFonts w:ascii="仿宋_GB2312" w:hAnsi="仿宋_GB2312" w:cs="仿宋_GB2312" w:eastAsia="仿宋_GB2312"/>
        </w:rPr>
        <w:t>联系电话：029-89151632</w:t>
      </w:r>
    </w:p>
    <w:p>
      <w:pPr>
        <w:pStyle w:val="null3"/>
      </w:pPr>
      <w:r>
        <w:rPr>
          <w:rFonts w:ascii="仿宋_GB2312" w:hAnsi="仿宋_GB2312" w:cs="仿宋_GB2312" w:eastAsia="仿宋_GB2312"/>
        </w:rPr>
        <w:t>地址：西安市未央区朱宏路8号保亿公元印12幢808室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西安市未央区张家堡2026年老旧小区燃气管道改造项目施工图设计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758,166.00</w:t>
      </w:r>
    </w:p>
    <w:p>
      <w:pPr>
        <w:pStyle w:val="null3"/>
      </w:pPr>
      <w:r>
        <w:rPr>
          <w:rFonts w:ascii="仿宋_GB2312" w:hAnsi="仿宋_GB2312" w:cs="仿宋_GB2312" w:eastAsia="仿宋_GB2312"/>
        </w:rPr>
        <w:t>采购包最高限价（元）: 758,166.00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西安市未央区张家堡2026年老旧小区燃气管道改造项目施工图设计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758,166.00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标的名称：西安市未央区张家堡2026年老旧小区燃气管道改造项目施工图设计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50" w:after="150"/>
              <w:jc w:val="both"/>
            </w:pPr>
            <w:r>
              <w:rPr>
                <w:rFonts w:ascii="仿宋_GB2312" w:hAnsi="仿宋_GB2312" w:cs="仿宋_GB2312" w:eastAsia="仿宋_GB2312"/>
                <w:sz w:val="24"/>
                <w:b/>
              </w:rPr>
              <w:t>一、项目概况</w:t>
            </w:r>
          </w:p>
          <w:p>
            <w:pPr>
              <w:pStyle w:val="null3"/>
              <w:spacing w:before="150" w:after="150"/>
              <w:ind w:firstLine="480"/>
              <w:jc w:val="both"/>
            </w:pPr>
            <w:r>
              <w:rPr>
                <w:rFonts w:ascii="仿宋_GB2312" w:hAnsi="仿宋_GB2312" w:cs="仿宋_GB2312" w:eastAsia="仿宋_GB2312"/>
                <w:sz w:val="24"/>
              </w:rPr>
              <w:t>本项目为白桦林居、雅荷春天</w:t>
            </w:r>
            <w:r>
              <w:rPr>
                <w:rFonts w:ascii="仿宋_GB2312" w:hAnsi="仿宋_GB2312" w:cs="仿宋_GB2312" w:eastAsia="仿宋_GB2312"/>
                <w:sz w:val="24"/>
              </w:rPr>
              <w:t>(1期)、雅荷春天(2期)、雅荷春天(3期)、华油长庆、EE康城(西)、</w:t>
            </w:r>
            <w:r>
              <w:rPr>
                <w:rFonts w:ascii="仿宋_GB2312" w:hAnsi="仿宋_GB2312" w:cs="仿宋_GB2312" w:eastAsia="仿宋_GB2312"/>
                <w:sz w:val="24"/>
              </w:rPr>
              <w:t>EE</w:t>
            </w:r>
            <w:r>
              <w:rPr>
                <w:rFonts w:ascii="仿宋_GB2312" w:hAnsi="仿宋_GB2312" w:cs="仿宋_GB2312" w:eastAsia="仿宋_GB2312"/>
                <w:sz w:val="24"/>
              </w:rPr>
              <w:t>康城(东)、西海花园等8个小区燃气管道改造项目施工图设计。</w:t>
            </w:r>
          </w:p>
          <w:p>
            <w:pPr>
              <w:pStyle w:val="null3"/>
              <w:spacing w:before="150" w:after="150"/>
              <w:jc w:val="both"/>
            </w:pPr>
            <w:r>
              <w:rPr>
                <w:rFonts w:ascii="仿宋_GB2312" w:hAnsi="仿宋_GB2312" w:cs="仿宋_GB2312" w:eastAsia="仿宋_GB2312"/>
                <w:sz w:val="24"/>
                <w:b/>
              </w:rPr>
              <w:t>二、建设</w:t>
            </w:r>
            <w:r>
              <w:rPr>
                <w:rFonts w:ascii="仿宋_GB2312" w:hAnsi="仿宋_GB2312" w:cs="仿宋_GB2312" w:eastAsia="仿宋_GB2312"/>
                <w:sz w:val="24"/>
                <w:b/>
              </w:rPr>
              <w:t>规模</w:t>
            </w:r>
            <w:r>
              <w:rPr>
                <w:rFonts w:ascii="仿宋_GB2312" w:hAnsi="仿宋_GB2312" w:cs="仿宋_GB2312" w:eastAsia="仿宋_GB2312"/>
                <w:sz w:val="24"/>
                <w:b/>
              </w:rPr>
              <w:t>及内容</w:t>
            </w:r>
          </w:p>
          <w:p>
            <w:pPr>
              <w:pStyle w:val="null3"/>
              <w:spacing w:before="150" w:after="150"/>
              <w:ind w:firstLine="480"/>
              <w:jc w:val="both"/>
            </w:pPr>
            <w:r>
              <w:rPr>
                <w:rFonts w:ascii="仿宋_GB2312" w:hAnsi="仿宋_GB2312" w:cs="仿宋_GB2312" w:eastAsia="仿宋_GB2312"/>
                <w:sz w:val="24"/>
              </w:rPr>
              <w:t>本项目建设规模为白桦林居、雅荷春天等</w:t>
            </w:r>
            <w:r>
              <w:rPr>
                <w:rFonts w:ascii="仿宋_GB2312" w:hAnsi="仿宋_GB2312" w:cs="仿宋_GB2312" w:eastAsia="仿宋_GB2312"/>
                <w:sz w:val="24"/>
              </w:rPr>
              <w:t>8个小区燃气管道改造项目施工图设计。建设内容主要为：改造庭院燃气管网约20640米、立管约31182米、户内设施10394户。(庭院改造采用的管材有PE管、无缝钢管、焊接钢管、环氧涂覆管；其中PE管管径为DE63～DE200，长度约为5673米；无缝钢管管径为DN50,长度约为248米；焊接钢管管径为DN50</w:t>
            </w:r>
            <w:r>
              <w:rPr>
                <w:rFonts w:ascii="仿宋_GB2312" w:hAnsi="仿宋_GB2312" w:cs="仿宋_GB2312" w:eastAsia="仿宋_GB2312"/>
                <w:sz w:val="24"/>
              </w:rPr>
              <w:t>～</w:t>
            </w:r>
            <w:r>
              <w:rPr>
                <w:rFonts w:ascii="仿宋_GB2312" w:hAnsi="仿宋_GB2312" w:cs="仿宋_GB2312" w:eastAsia="仿宋_GB2312"/>
                <w:sz w:val="24"/>
              </w:rPr>
              <w:t>DN300，长度约为1397米；环氧涂覆管管径为DN15</w:t>
            </w:r>
            <w:r>
              <w:rPr>
                <w:rFonts w:ascii="仿宋_GB2312" w:hAnsi="仿宋_GB2312" w:cs="仿宋_GB2312" w:eastAsia="仿宋_GB2312"/>
                <w:sz w:val="24"/>
              </w:rPr>
              <w:t>～</w:t>
            </w:r>
            <w:r>
              <w:rPr>
                <w:rFonts w:ascii="仿宋_GB2312" w:hAnsi="仿宋_GB2312" w:cs="仿宋_GB2312" w:eastAsia="仿宋_GB2312"/>
                <w:sz w:val="24"/>
              </w:rPr>
              <w:t>DN80，长度约为13322米。)更新改造立管约31182米(立管管材选用环氧涂覆管，环氧涂覆管管径为DN15～DN50，长度约为31882米)，更新改造调压设施28个，更新改造埋地阀门19个，更换及加装户内设施10394户(包括更换镀锌管、新型自闭阀、智能物联网表，加装燃气用具连接用不锈钢波纹软管，加装电磁切断阀及燃气泄漏报警器)。</w:t>
            </w:r>
          </w:p>
          <w:p>
            <w:pPr>
              <w:pStyle w:val="null3"/>
              <w:spacing w:before="150" w:after="150"/>
              <w:ind w:firstLine="480"/>
              <w:jc w:val="both"/>
            </w:pPr>
            <w:r>
              <w:rPr>
                <w:rFonts w:ascii="仿宋_GB2312" w:hAnsi="仿宋_GB2312" w:cs="仿宋_GB2312" w:eastAsia="仿宋_GB2312"/>
                <w:sz w:val="24"/>
              </w:rPr>
              <w:t>具体工程内容如下：</w:t>
            </w:r>
          </w:p>
          <w:p>
            <w:pPr>
              <w:pStyle w:val="null3"/>
              <w:spacing w:before="150" w:after="150"/>
              <w:ind w:firstLine="480"/>
              <w:jc w:val="both"/>
            </w:pPr>
            <w:r>
              <w:rPr>
                <w:rFonts w:ascii="仿宋_GB2312" w:hAnsi="仿宋_GB2312" w:cs="仿宋_GB2312" w:eastAsia="仿宋_GB2312"/>
                <w:sz w:val="24"/>
              </w:rPr>
              <w:t>1.凤城九路白桦林居，改造庭院管道10924米，其中中低压埋地聚乙烯(PE)管2850米，焊接钢管782米低压架空环氧防腐漆涂覆钢管7292米；立管16986米，调压设施6台，用户设施5662户；</w:t>
            </w:r>
          </w:p>
          <w:p>
            <w:pPr>
              <w:pStyle w:val="null3"/>
              <w:spacing w:before="150" w:after="150"/>
              <w:ind w:firstLine="480"/>
              <w:jc w:val="both"/>
            </w:pPr>
            <w:r>
              <w:rPr>
                <w:rFonts w:ascii="仿宋_GB2312" w:hAnsi="仿宋_GB2312" w:cs="仿宋_GB2312" w:eastAsia="仿宋_GB2312"/>
                <w:sz w:val="24"/>
              </w:rPr>
              <w:t>2.凤城五路雅荷春天(1期)，改造庭院管道1272米，其中中低压埋地聚乙烯(PE)管507米，无缝钢管12米，焊接钢管93米低压架空环氧防腐漆涂覆钢管660米；立管1461米，调压设施6台，用户设施487户；</w:t>
            </w:r>
          </w:p>
          <w:p>
            <w:pPr>
              <w:pStyle w:val="null3"/>
              <w:spacing w:before="150" w:after="150"/>
              <w:ind w:firstLine="480"/>
              <w:jc w:val="both"/>
            </w:pPr>
            <w:r>
              <w:rPr>
                <w:rFonts w:ascii="仿宋_GB2312" w:hAnsi="仿宋_GB2312" w:cs="仿宋_GB2312" w:eastAsia="仿宋_GB2312"/>
                <w:sz w:val="24"/>
              </w:rPr>
              <w:t>3.凤城五路雅荷春天(2期)，改造庭院管道1753米，其中中低压埋地聚乙烯(PE)管423米，无缝钢管12米，焊接钢管75米低压架空环氧防腐漆涂覆钢管1243米；立管2583米，调压设施6台，用户设施861户；</w:t>
            </w:r>
          </w:p>
          <w:p>
            <w:pPr>
              <w:pStyle w:val="null3"/>
              <w:spacing w:before="150" w:after="150"/>
              <w:ind w:firstLine="480"/>
              <w:jc w:val="both"/>
            </w:pPr>
            <w:r>
              <w:rPr>
                <w:rFonts w:ascii="仿宋_GB2312" w:hAnsi="仿宋_GB2312" w:cs="仿宋_GB2312" w:eastAsia="仿宋_GB2312"/>
                <w:sz w:val="24"/>
              </w:rPr>
              <w:t>4.凤城五路雅荷春天(3期)，改造庭院管道1595米，其中中低压埋地聚乙烯(PE)管450米，无缝钢管12米，焊接钢管39米低压架空环氧防腐漆涂覆钢管1094米；立管3474米，调压设施6台，用户设施1158户；</w:t>
            </w:r>
          </w:p>
          <w:p>
            <w:pPr>
              <w:pStyle w:val="null3"/>
              <w:spacing w:before="150" w:after="150"/>
              <w:ind w:firstLine="480"/>
              <w:jc w:val="both"/>
            </w:pPr>
            <w:r>
              <w:rPr>
                <w:rFonts w:ascii="仿宋_GB2312" w:hAnsi="仿宋_GB2312" w:cs="仿宋_GB2312" w:eastAsia="仿宋_GB2312"/>
                <w:sz w:val="24"/>
              </w:rPr>
              <w:t>5.凤城十路华油长庆，改造庭院管道202米，其中中低压埋地聚乙烯(PE)管102米，低压架空环氧防腐漆涂覆钢管100米；立管225米，调压设施1台，用户设施75户；</w:t>
            </w:r>
          </w:p>
          <w:p>
            <w:pPr>
              <w:pStyle w:val="null3"/>
              <w:spacing w:before="150" w:after="150"/>
              <w:ind w:firstLine="480"/>
              <w:jc w:val="both"/>
            </w:pPr>
            <w:r>
              <w:rPr>
                <w:rFonts w:ascii="仿宋_GB2312" w:hAnsi="仿宋_GB2312" w:cs="仿宋_GB2312" w:eastAsia="仿宋_GB2312"/>
                <w:sz w:val="24"/>
              </w:rPr>
              <w:t>6.凤城八路EE康城(西)，改造庭院管道2640米，其中中低压埋地聚乙烯(PE)管355米，无缝钢管188米，焊接钢管390米低压架空环氧防腐漆涂覆钢管1707米；立管3909米，调压设施1台，用户设施1303户；</w:t>
            </w:r>
          </w:p>
          <w:p>
            <w:pPr>
              <w:pStyle w:val="null3"/>
              <w:spacing w:before="150" w:after="150"/>
              <w:ind w:firstLine="480"/>
              <w:jc w:val="both"/>
            </w:pPr>
            <w:r>
              <w:rPr>
                <w:rFonts w:ascii="仿宋_GB2312" w:hAnsi="仿宋_GB2312" w:cs="仿宋_GB2312" w:eastAsia="仿宋_GB2312"/>
                <w:sz w:val="24"/>
              </w:rPr>
              <w:t>7.凤城八路EE康城(东)，改造庭院管道1925米，其中中低压埋地聚乙烯(PE)管883米，无缝钢管24米，焊接钢管18米低压架空环氧防腐漆涂覆钢管1000米；立管2226米，调压设施1台，用户设施742户；</w:t>
            </w:r>
          </w:p>
          <w:p>
            <w:pPr>
              <w:pStyle w:val="null3"/>
              <w:spacing w:before="150" w:after="150"/>
              <w:ind w:firstLine="480"/>
              <w:jc w:val="both"/>
            </w:pPr>
            <w:r>
              <w:rPr>
                <w:rFonts w:ascii="仿宋_GB2312" w:hAnsi="仿宋_GB2312" w:cs="仿宋_GB2312" w:eastAsia="仿宋_GB2312"/>
                <w:sz w:val="24"/>
              </w:rPr>
              <w:t>8.凤城三路西海花园，改造庭院管道329米，其中中低压埋地聚乙烯(PE)管103米，低压架空环氧防腐漆涂覆钢管226米；立管318米，调压设施1台，用户设施106户。</w:t>
            </w:r>
          </w:p>
          <w:p>
            <w:pPr>
              <w:pStyle w:val="null3"/>
              <w:spacing w:before="150" w:after="150"/>
              <w:jc w:val="both"/>
            </w:pPr>
            <w:r>
              <w:rPr>
                <w:rFonts w:ascii="仿宋_GB2312" w:hAnsi="仿宋_GB2312" w:cs="仿宋_GB2312" w:eastAsia="仿宋_GB2312"/>
                <w:sz w:val="24"/>
                <w:b/>
              </w:rPr>
              <w:t>三、其他要求</w:t>
            </w:r>
          </w:p>
          <w:p>
            <w:pPr>
              <w:pStyle w:val="null3"/>
              <w:spacing w:before="150" w:after="150"/>
              <w:ind w:firstLine="480"/>
              <w:jc w:val="both"/>
            </w:pPr>
            <w:r>
              <w:rPr>
                <w:rFonts w:ascii="仿宋_GB2312" w:hAnsi="仿宋_GB2312" w:cs="仿宋_GB2312" w:eastAsia="仿宋_GB2312"/>
                <w:sz w:val="24"/>
                <w:b/>
              </w:rPr>
              <w:t>1.设计原则</w:t>
            </w:r>
          </w:p>
          <w:p>
            <w:pPr>
              <w:pStyle w:val="null3"/>
              <w:spacing w:before="150" w:after="150"/>
              <w:ind w:firstLine="480"/>
              <w:jc w:val="both"/>
            </w:pPr>
            <w:r>
              <w:rPr>
                <w:rFonts w:ascii="仿宋_GB2312" w:hAnsi="仿宋_GB2312" w:cs="仿宋_GB2312" w:eastAsia="仿宋_GB2312"/>
                <w:sz w:val="24"/>
              </w:rPr>
              <w:t>主要功能或目标</w:t>
            </w:r>
            <w:r>
              <w:rPr>
                <w:rFonts w:ascii="仿宋_GB2312" w:hAnsi="仿宋_GB2312" w:cs="仿宋_GB2312" w:eastAsia="仿宋_GB2312"/>
                <w:sz w:val="24"/>
              </w:rPr>
              <w:t>:设计科学、安全、简约、符合相关规范；需满足管道和入户设施符合规范并能安全正常使用。</w:t>
            </w:r>
          </w:p>
          <w:p>
            <w:pPr>
              <w:pStyle w:val="null3"/>
              <w:spacing w:before="150" w:after="150"/>
              <w:ind w:firstLine="480"/>
              <w:jc w:val="both"/>
            </w:pPr>
            <w:r>
              <w:rPr>
                <w:rFonts w:ascii="仿宋_GB2312" w:hAnsi="仿宋_GB2312" w:cs="仿宋_GB2312" w:eastAsia="仿宋_GB2312"/>
                <w:sz w:val="24"/>
                <w:b/>
              </w:rPr>
              <w:t>2.设计依据</w:t>
            </w:r>
          </w:p>
          <w:p>
            <w:pPr>
              <w:pStyle w:val="null3"/>
              <w:spacing w:before="150" w:after="150"/>
              <w:ind w:firstLine="480"/>
              <w:jc w:val="both"/>
            </w:pPr>
            <w:r>
              <w:rPr>
                <w:rFonts w:ascii="仿宋_GB2312" w:hAnsi="仿宋_GB2312" w:cs="仿宋_GB2312" w:eastAsia="仿宋_GB2312"/>
                <w:sz w:val="24"/>
              </w:rPr>
              <w:t>(1)《建筑设计防火规范》GB50016-2014（2018年版）；</w:t>
            </w:r>
          </w:p>
          <w:p>
            <w:pPr>
              <w:pStyle w:val="null3"/>
              <w:spacing w:before="150" w:after="150"/>
              <w:ind w:firstLine="480"/>
              <w:jc w:val="both"/>
            </w:pPr>
            <w:r>
              <w:rPr>
                <w:rFonts w:ascii="仿宋_GB2312" w:hAnsi="仿宋_GB2312" w:cs="仿宋_GB2312" w:eastAsia="仿宋_GB2312"/>
                <w:sz w:val="24"/>
              </w:rPr>
              <w:t>(2)《城镇燃气技术规范》GB50494-2009；</w:t>
            </w:r>
          </w:p>
          <w:p>
            <w:pPr>
              <w:pStyle w:val="null3"/>
              <w:spacing w:before="150" w:after="150"/>
              <w:ind w:firstLine="480"/>
              <w:jc w:val="both"/>
            </w:pPr>
            <w:r>
              <w:rPr>
                <w:rFonts w:ascii="仿宋_GB2312" w:hAnsi="仿宋_GB2312" w:cs="仿宋_GB2312" w:eastAsia="仿宋_GB2312"/>
                <w:sz w:val="24"/>
              </w:rPr>
              <w:t>(3)《城镇燃气设计规范》GB50028-2006；</w:t>
            </w:r>
          </w:p>
          <w:p>
            <w:pPr>
              <w:pStyle w:val="null3"/>
              <w:spacing w:before="150" w:after="150"/>
              <w:ind w:firstLine="480"/>
              <w:jc w:val="both"/>
            </w:pPr>
            <w:r>
              <w:rPr>
                <w:rFonts w:ascii="仿宋_GB2312" w:hAnsi="仿宋_GB2312" w:cs="仿宋_GB2312" w:eastAsia="仿宋_GB2312"/>
                <w:sz w:val="24"/>
              </w:rPr>
              <w:t>(4)《聚乙烯燃气管道工程技术标准》CJJ63-2018；</w:t>
            </w:r>
          </w:p>
          <w:p>
            <w:pPr>
              <w:pStyle w:val="null3"/>
              <w:spacing w:before="150" w:after="150"/>
              <w:ind w:firstLine="480"/>
              <w:jc w:val="both"/>
            </w:pPr>
            <w:r>
              <w:rPr>
                <w:rFonts w:ascii="仿宋_GB2312" w:hAnsi="仿宋_GB2312" w:cs="仿宋_GB2312" w:eastAsia="仿宋_GB2312"/>
                <w:sz w:val="24"/>
              </w:rPr>
              <w:t>(5)《城镇燃气输配工程施工及验收规范》CJJ33-2005；</w:t>
            </w:r>
          </w:p>
          <w:p>
            <w:pPr>
              <w:pStyle w:val="null3"/>
              <w:spacing w:before="150" w:after="150"/>
              <w:ind w:firstLine="480"/>
              <w:jc w:val="both"/>
            </w:pPr>
            <w:r>
              <w:rPr>
                <w:rFonts w:ascii="仿宋_GB2312" w:hAnsi="仿宋_GB2312" w:cs="仿宋_GB2312" w:eastAsia="仿宋_GB2312"/>
                <w:sz w:val="24"/>
              </w:rPr>
              <w:t>(6)《城镇燃气室内工程施工与验收规范》CJJ94-2009；</w:t>
            </w:r>
          </w:p>
          <w:p>
            <w:pPr>
              <w:pStyle w:val="null3"/>
              <w:spacing w:before="150" w:after="150"/>
              <w:ind w:firstLine="480"/>
              <w:jc w:val="both"/>
            </w:pPr>
            <w:r>
              <w:rPr>
                <w:rFonts w:ascii="仿宋_GB2312" w:hAnsi="仿宋_GB2312" w:cs="仿宋_GB2312" w:eastAsia="仿宋_GB2312"/>
                <w:sz w:val="24"/>
              </w:rPr>
              <w:t>(7)《钢制管道管体腐蚀损伤评价方法》SY/T6151-2009；</w:t>
            </w:r>
          </w:p>
          <w:p>
            <w:pPr>
              <w:pStyle w:val="null3"/>
              <w:spacing w:before="150" w:after="150"/>
              <w:ind w:firstLine="480"/>
              <w:jc w:val="both"/>
            </w:pPr>
            <w:r>
              <w:rPr>
                <w:rFonts w:ascii="仿宋_GB2312" w:hAnsi="仿宋_GB2312" w:cs="仿宋_GB2312" w:eastAsia="仿宋_GB2312"/>
                <w:sz w:val="24"/>
              </w:rPr>
              <w:t>(8)《宽边管件连接涂覆燃气管道技术规程》CGAS001-2016；</w:t>
            </w:r>
          </w:p>
          <w:p>
            <w:pPr>
              <w:pStyle w:val="null3"/>
              <w:spacing w:before="150" w:after="150"/>
              <w:ind w:firstLine="480"/>
              <w:jc w:val="both"/>
            </w:pPr>
            <w:r>
              <w:rPr>
                <w:rFonts w:ascii="仿宋_GB2312" w:hAnsi="仿宋_GB2312" w:cs="仿宋_GB2312" w:eastAsia="仿宋_GB2312"/>
                <w:sz w:val="24"/>
              </w:rPr>
              <w:t>(9)本项目前期可行性研究报告、初步设计及相关批复文件。</w:t>
            </w:r>
          </w:p>
          <w:p>
            <w:pPr>
              <w:pStyle w:val="null3"/>
              <w:spacing w:before="150" w:after="150"/>
              <w:ind w:firstLine="480"/>
              <w:jc w:val="both"/>
            </w:pPr>
            <w:r>
              <w:rPr>
                <w:rFonts w:ascii="仿宋_GB2312" w:hAnsi="仿宋_GB2312" w:cs="仿宋_GB2312" w:eastAsia="仿宋_GB2312"/>
                <w:sz w:val="24"/>
              </w:rPr>
              <w:t>仅列出以上规范作为参考，具体标准参照国家或者行业最新标准执行。</w:t>
            </w:r>
          </w:p>
          <w:p>
            <w:pPr>
              <w:pStyle w:val="null3"/>
              <w:spacing w:before="150" w:after="150"/>
              <w:ind w:firstLine="480"/>
              <w:jc w:val="both"/>
            </w:pPr>
            <w:r>
              <w:rPr>
                <w:rFonts w:ascii="仿宋_GB2312" w:hAnsi="仿宋_GB2312" w:cs="仿宋_GB2312" w:eastAsia="仿宋_GB2312"/>
                <w:sz w:val="24"/>
                <w:b/>
              </w:rPr>
              <w:t>3.设计成果</w:t>
            </w:r>
          </w:p>
          <w:p>
            <w:pPr>
              <w:pStyle w:val="null3"/>
              <w:spacing w:before="150" w:after="150"/>
              <w:ind w:firstLine="480"/>
              <w:jc w:val="both"/>
            </w:pPr>
            <w:r>
              <w:rPr>
                <w:rFonts w:ascii="仿宋_GB2312" w:hAnsi="仿宋_GB2312" w:cs="仿宋_GB2312" w:eastAsia="仿宋_GB2312"/>
                <w:sz w:val="24"/>
              </w:rPr>
              <w:t>质量满足国家设计规范标准及施工的要求。</w:t>
            </w:r>
          </w:p>
          <w:p>
            <w:pPr>
              <w:pStyle w:val="null3"/>
              <w:spacing w:before="150" w:after="150"/>
              <w:ind w:firstLine="480"/>
              <w:jc w:val="both"/>
            </w:pPr>
            <w:r>
              <w:rPr>
                <w:rFonts w:ascii="仿宋_GB2312" w:hAnsi="仿宋_GB2312" w:cs="仿宋_GB2312" w:eastAsia="仿宋_GB2312"/>
                <w:sz w:val="24"/>
              </w:rPr>
              <w:t>施工图设计：施工图</w:t>
            </w:r>
            <w:r>
              <w:rPr>
                <w:rFonts w:ascii="仿宋_GB2312" w:hAnsi="仿宋_GB2312" w:cs="仿宋_GB2312" w:eastAsia="仿宋_GB2312"/>
                <w:sz w:val="24"/>
              </w:rPr>
              <w:t>8套（含精装2套），设计成果光盘2份。</w:t>
            </w:r>
          </w:p>
          <w:p>
            <w:pPr>
              <w:pStyle w:val="null3"/>
              <w:spacing w:before="150" w:after="150"/>
              <w:jc w:val="both"/>
            </w:pPr>
            <w:r>
              <w:rPr>
                <w:rFonts w:ascii="仿宋_GB2312" w:hAnsi="仿宋_GB2312" w:cs="仿宋_GB2312" w:eastAsia="仿宋_GB2312"/>
                <w:sz w:val="24"/>
                <w:b/>
              </w:rPr>
              <w:t>四</w:t>
            </w:r>
            <w:r>
              <w:rPr>
                <w:rFonts w:ascii="仿宋_GB2312" w:hAnsi="仿宋_GB2312" w:cs="仿宋_GB2312" w:eastAsia="仿宋_GB2312"/>
                <w:sz w:val="24"/>
                <w:b/>
              </w:rPr>
              <w:t>、商务要求</w:t>
            </w:r>
          </w:p>
          <w:p>
            <w:pPr>
              <w:pStyle w:val="null3"/>
              <w:spacing w:before="150" w:after="150"/>
              <w:ind w:firstLine="480"/>
              <w:jc w:val="both"/>
            </w:pPr>
            <w:r>
              <w:rPr>
                <w:rFonts w:ascii="仿宋_GB2312" w:hAnsi="仿宋_GB2312" w:cs="仿宋_GB2312" w:eastAsia="仿宋_GB2312"/>
                <w:sz w:val="24"/>
              </w:rPr>
              <w:t>1、服务期限：30日历天，实际以采购人委托单为准。</w:t>
            </w:r>
          </w:p>
          <w:p>
            <w:pPr>
              <w:pStyle w:val="null3"/>
              <w:spacing w:before="150" w:after="150"/>
              <w:ind w:firstLine="480"/>
              <w:jc w:val="both"/>
            </w:pPr>
            <w:r>
              <w:rPr>
                <w:rFonts w:ascii="仿宋_GB2312" w:hAnsi="仿宋_GB2312" w:cs="仿宋_GB2312" w:eastAsia="仿宋_GB2312"/>
                <w:sz w:val="24"/>
              </w:rPr>
              <w:t>2、质量要求：满足国家设计规范标准及施工的要求。</w:t>
            </w:r>
          </w:p>
          <w:p>
            <w:pPr>
              <w:pStyle w:val="null3"/>
              <w:spacing w:before="150" w:after="150"/>
              <w:ind w:firstLine="480"/>
              <w:jc w:val="both"/>
            </w:pPr>
            <w:r>
              <w:rPr>
                <w:rFonts w:ascii="仿宋_GB2312" w:hAnsi="仿宋_GB2312" w:cs="仿宋_GB2312" w:eastAsia="仿宋_GB2312"/>
                <w:sz w:val="24"/>
              </w:rPr>
              <w:t>3、付款方式：提供施工图设计成果并经采购人确认后，达到付款条件起30日内，支付合同总金额的60%；工程竣工验收后且发包人财政资金具备支付条件后，达到付款条件起30日内，支付合同总金额的40%（具体以最终签订的设计合同为准）。</w:t>
            </w:r>
          </w:p>
          <w:p>
            <w:pPr>
              <w:pStyle w:val="null3"/>
            </w:pPr>
            <w:r>
              <w:rPr>
                <w:rFonts w:ascii="仿宋_GB2312" w:hAnsi="仿宋_GB2312" w:cs="仿宋_GB2312" w:eastAsia="仿宋_GB2312"/>
                <w:sz w:val="24"/>
              </w:rPr>
              <w:t xml:space="preserve">  4、合同承包方式：固定总价承包，在合同执行过程中，合同总价不作调整。合同价格为含税价，乙方提供服务所发生的一切费用（包括增值税等相关税费）等都已包含于合同价款中。</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详见采购内容及要求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详见采购内容及要求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详见采购内容及要求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30日历天，实际以采购人委托单为准。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进度款，提供施工图设计成果并经采购人确认后，达到付款条件起30个工作日内，支付合同总金额的60.0%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进度款，工程竣工验收后且发包人财政资金具备支付条件后，达到付款条件起30个工作日内，支付合同总金额的40.0%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合同执行过程中如发生争议，双方应及时协商解决，协商不成，双方均可向甲方所在地人民法院起诉。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供应商需在项目电子化交易系统中按要求填写《投标函》完成承诺，同时提供以下资料并进行电子签章： 1.有效的主体资格证明：具有独立承担民事责任能力的法人、其他组织或自然人并出具合法有效的营业执照或事业单位法人证书等国家规定的相关证明，自然人参与的提供其身份证明。2.基本资格条件：提供《基本资格条件承诺函》，供应商应对承诺内容的真实性、合法性、有效性负责。若虚假承诺的，视同为“提供虚假材料谋取中标、成交”的违法行为，根据《中华人民共和国政府采购法》等法律法规追究相应责任。备注：不提供《基本资格条件承诺函》的供应商需提交如下证明材料：a.财务状况证明：提供2024年度或2025年度经审计的财务报告（成立时间至提交磋商响应文件截止时间不足一年的可提供成立后任意时段的资产负债表），或其基本存款账户开户银行出具的资信证明及基本存款账户开户许可证（基本账户信息表）。b.社会保障资金缴纳证明：提供磋商响应文件递交截止时间前一年内已缴存的至少一个月的社会保障资金缴存单据或社保机构开具的社会保险参保缴费情况证明，依法不需要缴纳社会保障资金的单位应提供相关证明材料。c.税收缴纳证明：提供磋商响应文件递交截止时间前一年内已缴纳的至少一个月的纳税证明或完税证明，依法免税的单位应提供相关证明材料。d.参加政府采购活动前三年内，在经营活动中没有重大违法记录的书面声明。e.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财务状况证明或《基本资格条件承诺函》。供应商需在项目电子化交易系统中按要求上传相应证明文件并进行电子签章。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法定代表人直接参加磋商的，须出具法定代表人身份证明。法定代表人委托代理人参加磋商的，须出具法定代表人授权书（附法定代表人、代理人身份证复印件）。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供应商须具备工程设计综合甲级资质，或市政行业工程设计乙级及以上资质，或市政行业（城镇燃气工程）专业设计丙级及以上资质，并具有特种设备生产许可证（许可范围须包含GB1类压力管道设计）。</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项目负责人资质</w:t>
            </w:r>
          </w:p>
        </w:tc>
        <w:tc>
          <w:tcPr>
            <w:tcW w:type="dxa" w:w="3322"/>
          </w:tcPr>
          <w:p>
            <w:pPr>
              <w:pStyle w:val="null3"/>
            </w:pPr>
            <w:r>
              <w:rPr>
                <w:rFonts w:ascii="仿宋_GB2312" w:hAnsi="仿宋_GB2312" w:cs="仿宋_GB2312" w:eastAsia="仿宋_GB2312"/>
              </w:rPr>
              <w:t>拟派项目负责人须具备注册公用设备工程师（动力）执业资格（在本单位注册）。</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页面跳转至“中国执行信息公开网”http://zxgk.court.gov.cn/shixin/）和重大税收违法案件当事人名单的供应商，不得为中国政府采购网（www.ccgp.gov.cn）政府采购严重违法失信行为记录名单中被财政部门禁止参加政府采购活动的供应商；（此项以采购代理机构现场查询为准，查询时限为响应文件递交截止之日）。</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与营业执照、资质证书一致。</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法定代表人或被授权人的签字齐全并加盖公章。</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符合“磋商响应文件格式”的规定。</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供应商认为有必要说明的其它内容或资料.docx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对竞争性磋商文件响应程度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响应文件封面 商务应答表 服务内容及服务要求应答表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应满足磋商文件中要求的合同履行期限。</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不存在法律、法规和采购文件规定的其他无效投标情形。</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总体理解及认识</w:t>
            </w:r>
          </w:p>
        </w:tc>
        <w:tc>
          <w:tcPr>
            <w:tcW w:type="dxa" w:w="2492"/>
          </w:tcPr>
          <w:p>
            <w:pPr>
              <w:pStyle w:val="null3"/>
            </w:pPr>
            <w:r>
              <w:rPr>
                <w:rFonts w:ascii="仿宋_GB2312" w:hAnsi="仿宋_GB2312" w:cs="仿宋_GB2312" w:eastAsia="仿宋_GB2312"/>
              </w:rPr>
              <w:t>根据供应商提供的①项目总体理解；②项目背景分析与服务标准；③项目重难点分析及应对措施等方面进行综合评分。 评审依据：每一项内容描述详细，切实可行符合项目实际内容得3分，合计得9分。内容①～③项任意一项缺项扣3分，扣完为止；内容①～③项每出现一项内容缺陷（缺陷是指：内容不详细具体、条理不清晰、描述过于简单、与项目特点不匹配、凭空编造、出现常识性错误、不可能实现的夸大情形、存在不适用项目实际情况的情形等）扣0.5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总体设计思路及方案</w:t>
            </w:r>
          </w:p>
        </w:tc>
        <w:tc>
          <w:tcPr>
            <w:tcW w:type="dxa" w:w="2492"/>
          </w:tcPr>
          <w:p>
            <w:pPr>
              <w:pStyle w:val="null3"/>
            </w:pPr>
            <w:r>
              <w:rPr>
                <w:rFonts w:ascii="仿宋_GB2312" w:hAnsi="仿宋_GB2312" w:cs="仿宋_GB2312" w:eastAsia="仿宋_GB2312"/>
              </w:rPr>
              <w:t>根据供应商提供的①总体设计思路与技术路线；②项目基础资料收集与核实方案；③设计文件编制组织与质量控制方案；④技术成果交付、校审及后续完善方案；⑤配套技术服务与配合保障方案等方面进行综合评分。 评审依据：每一项内容描述详细，切实可行符合项目实际内容得3分，合计得15分。内容①～⑤项任意一项缺项扣3分，扣完为止；内容①～⑤项每出现一项内容缺陷（缺陷是指：内容不详细具体、条理不清晰、描述过于简单、与项目特点不匹配、凭空编造、出现常识性错误、不可能实现的夸大情形、存在不适用项目实际情况的情形等）扣0.5分；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根据供应商提供的①业务质量控制制度；②项目档案管理制度；③执业风险控制制度；④数据资料安全管理制度；⑤保密管理制度（保密手段、人员保密管理、保密承诺等）等方面进行综合评分。 评审依据：每一项内容描述详细，切实可行符合项目实际内容得3分，合计得15分。内容①～⑤项任意一项缺项扣3分，扣完为止；内容①～⑤项每出现一项内容缺陷（缺陷是指：内容不详细具体、条理不清晰、描述过于简单、与项目特点不匹配、凭空编造、出现常识性错误、不可能实现的夸大情形、存在不适用项目实际情况的情形等）扣0.5分；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项目实施保障措施</w:t>
            </w:r>
          </w:p>
        </w:tc>
        <w:tc>
          <w:tcPr>
            <w:tcW w:type="dxa" w:w="2492"/>
          </w:tcPr>
          <w:p>
            <w:pPr>
              <w:pStyle w:val="null3"/>
            </w:pPr>
            <w:r>
              <w:rPr>
                <w:rFonts w:ascii="仿宋_GB2312" w:hAnsi="仿宋_GB2312" w:cs="仿宋_GB2312" w:eastAsia="仿宋_GB2312"/>
              </w:rPr>
              <w:t>根据供应商提供的①进度计划与工期保障措施；②设计质量全过程管控措施；③成果文件合规性与交付保障措施等方面进行综合评分。 评审依据：每一项内容描述详细，切实可行符合项目实际内容得3分，合计得9分。内容①～③项任意一项缺项扣3分，扣完为止；内容①～③项每出现一项内容缺陷（缺陷是指：内容不详细具体、条理不清晰、描述过于简单、与项目特点不匹配、凭空编造、出现常识性错误、不可能实现的夸大情形、存在不适用项目实际情况的情形等）扣0.5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拟投入人员配备方案</w:t>
            </w:r>
          </w:p>
        </w:tc>
        <w:tc>
          <w:tcPr>
            <w:tcW w:type="dxa" w:w="2492"/>
          </w:tcPr>
          <w:p>
            <w:pPr>
              <w:pStyle w:val="null3"/>
            </w:pPr>
            <w:r>
              <w:rPr>
                <w:rFonts w:ascii="仿宋_GB2312" w:hAnsi="仿宋_GB2312" w:cs="仿宋_GB2312" w:eastAsia="仿宋_GB2312"/>
              </w:rPr>
              <w:t>根据供应商提供的①团队配置清单；②项目人员岗位职责与管理制度；③各专业岗位分工协作方案；④配置人员资格、职称及工作经验等方面进行综合评分。 评审依据：每一项内容描述详细，切实可行符合项目实际内容得3分，合计得12分。内容①～④项任意一项缺项扣3分，扣完为止；内容①～④项每出现一项内容缺陷（缺陷是指：内容不详细具体、条理不清晰、描述过于简单、与项目特点不匹配、凭空编造、出现常识性错误、不可能实现的夸大情形、存在不适用项目实际情况的情形等）扣0.5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设计阶段工程造价控制措施</w:t>
            </w:r>
          </w:p>
        </w:tc>
        <w:tc>
          <w:tcPr>
            <w:tcW w:type="dxa" w:w="2492"/>
          </w:tcPr>
          <w:p>
            <w:pPr>
              <w:pStyle w:val="null3"/>
            </w:pPr>
            <w:r>
              <w:rPr>
                <w:rFonts w:ascii="仿宋_GB2312" w:hAnsi="仿宋_GB2312" w:cs="仿宋_GB2312" w:eastAsia="仿宋_GB2312"/>
              </w:rPr>
              <w:t>根据供应商提供的①设计阶段造价影响因素及常见风险梳理；②限额设计、方案比选及优化控制措施等方面进行综合评分。 评审依据：每一项内容描述详细，切实可行符合项目实际内容得2分，合计得4分。内容①～②项任意一项缺项扣2分，扣完为止；内容①～②项每出现一项内容缺陷（缺陷是指：内容不详细具体、条理不清晰、描述过于简单、与项目特点不匹配、凭空编造、出现常识性错误、不可能实现的夸大情形、存在不适用项目实际情况的情形等）扣0.25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根据供应商提供的①设计成果质量承诺；②现场配合、答疑及响应时效承诺；③成果交付进度与合规性承诺；④服务期内项目团队稳定性承诺等方面进行综合评分。 评审依据：每一项内容描述详细，切实可行符合项目实际内容得1分，合计得4分。内容①～④项任意一项缺项扣1分，扣完为止；内容①～④项每出现一项内容缺陷（缺陷是指：内容不详细具体、条理不清晰、描述过于简单、与项目特点不匹配、凭空编造、出现常识性错误、不可能实现的夸大情形、存在不适用项目实际情况的情形等）扣0.25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供应商提供自2023年1月1日以来类似项目业绩（业绩证明以合同的复印件或中标通知书复印件加盖公章为准）。每提供一份得0.5分，满分2分。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2、满足磋商文件实质性要求且最终报价最低的供应商的价格为磋商基准价，其价格分为满分30分。3、磋商报价得分=（磋商基准价/最终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详见附件：供应商认为有必要说明的其它内容或资料.docx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