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版本号：XBMH2026-07620260429001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2026年高速公路监督检查配合检测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XBMH2026-076</w:t>
      </w:r>
      <w:r>
        <w:br/>
      </w:r>
      <w:r>
        <w:br/>
      </w:r>
      <w:r>
        <w:br/>
      </w:r>
    </w:p>
    <w:p>
      <w:pPr>
        <w:pStyle w:val="null3"/>
        <w:jc w:val="center"/>
        <w:outlineLvl w:val="2"/>
      </w:pPr>
      <w:r>
        <w:rPr>
          <w:rFonts w:ascii="仿宋_GB2312" w:hAnsi="仿宋_GB2312" w:cs="仿宋_GB2312" w:eastAsia="仿宋_GB2312"/>
          <w:sz w:val="28"/>
          <w:b/>
        </w:rPr>
        <w:t>陕西省交通运输工程质量监测鉴定站</w:t>
      </w:r>
    </w:p>
    <w:p>
      <w:pPr>
        <w:pStyle w:val="null3"/>
        <w:jc w:val="center"/>
        <w:outlineLvl w:val="2"/>
      </w:pPr>
      <w:r>
        <w:rPr>
          <w:rFonts w:ascii="仿宋_GB2312" w:hAnsi="仿宋_GB2312" w:cs="仿宋_GB2312" w:eastAsia="仿宋_GB2312"/>
          <w:sz w:val="28"/>
          <w:b/>
        </w:rPr>
        <w:t>陕西西北民航工程咨询有限公司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陕西西北民航工程咨询有限公司</w:t>
      </w:r>
      <w:r>
        <w:rPr>
          <w:rFonts w:ascii="仿宋_GB2312" w:hAnsi="仿宋_GB2312" w:cs="仿宋_GB2312" w:eastAsia="仿宋_GB2312"/>
        </w:rPr>
        <w:t>（以下简称“代理机构”）受</w:t>
      </w:r>
      <w:r>
        <w:rPr>
          <w:rFonts w:ascii="仿宋_GB2312" w:hAnsi="仿宋_GB2312" w:cs="仿宋_GB2312" w:eastAsia="仿宋_GB2312"/>
        </w:rPr>
        <w:t>陕西省交通运输工程质量监测鉴定站</w:t>
      </w:r>
      <w:r>
        <w:rPr>
          <w:rFonts w:ascii="仿宋_GB2312" w:hAnsi="仿宋_GB2312" w:cs="仿宋_GB2312" w:eastAsia="仿宋_GB2312"/>
        </w:rPr>
        <w:t>委托，拟对</w:t>
      </w:r>
      <w:r>
        <w:rPr>
          <w:rFonts w:ascii="仿宋_GB2312" w:hAnsi="仿宋_GB2312" w:cs="仿宋_GB2312" w:eastAsia="仿宋_GB2312"/>
        </w:rPr>
        <w:t>2026年高速公路监督检查配合检测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XBMH2026-076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2026年高速公路监督检查配合检测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陕西省交通运输工程质量检测鉴定站2026年高速公路监督检查配合检测，1批。 采购包1：鄠周眉高速等若干高速公路监督检查配合检测、外观质量检查和内业资料审查（鄠周眉高速；京昆改扩建-合蒲段；西永改扩建；耀州立交；柞水南立交；阜寨立交；周乾高速；乾富高速；临潼经高陵至机场）。 采购包2：洋西；镇川等若干高速公路监督检查配合检测、外观质量检查和内业资料审查（陕川界、陕鄂界韧性提升；洋西；镇川；关环；韩黄；洛卢；吴华；大锦；宝鸡北；海则滩立交；镇安北立交；安子）。 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采购包1（1包鄠周眉等若干高速公路监督检查配合检测）：属于专门面向中小企业采购。</w:t>
      </w:r>
    </w:p>
    <w:p>
      <w:pPr>
        <w:pStyle w:val="null3"/>
      </w:pPr>
      <w:r>
        <w:rPr>
          <w:rFonts w:ascii="仿宋_GB2312" w:hAnsi="仿宋_GB2312" w:cs="仿宋_GB2312" w:eastAsia="仿宋_GB2312"/>
        </w:rPr>
        <w:t>采购包2（2包洋西、镇川等若干高速公路监督检查配合检测）：属于专门面向中小企业采购。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1、主体资格证明文件：供应商合法注册的法人或其他组织的营业执照等证明文件或自然人的身份证明。</w:t>
      </w:r>
    </w:p>
    <w:p>
      <w:pPr>
        <w:pStyle w:val="null3"/>
      </w:pPr>
      <w:r>
        <w:rPr>
          <w:rFonts w:ascii="仿宋_GB2312" w:hAnsi="仿宋_GB2312" w:cs="仿宋_GB2312" w:eastAsia="仿宋_GB2312"/>
        </w:rPr>
        <w:t>2、财务状况报告：提供具有经审计资质单位出具的2024年度财务报告或供应商开标日前6个月内基本存款账户银行出具的资信证明（附基本存款账户开户许可证或加盖银行章的基本存款账户信息）。</w:t>
      </w:r>
    </w:p>
    <w:p>
      <w:pPr>
        <w:pStyle w:val="null3"/>
      </w:pPr>
      <w:r>
        <w:rPr>
          <w:rFonts w:ascii="仿宋_GB2312" w:hAnsi="仿宋_GB2312" w:cs="仿宋_GB2312" w:eastAsia="仿宋_GB2312"/>
        </w:rPr>
        <w:t>3、依法缴纳税收和社会保障资金：提供磋商截止时间前6个月内任意时段已缴纳的纳税证明或完税证明和已缴存的社会保障资金缴费证明或参保证明</w:t>
      </w:r>
    </w:p>
    <w:p>
      <w:pPr>
        <w:pStyle w:val="null3"/>
      </w:pPr>
      <w:r>
        <w:rPr>
          <w:rFonts w:ascii="仿宋_GB2312" w:hAnsi="仿宋_GB2312" w:cs="仿宋_GB2312" w:eastAsia="仿宋_GB2312"/>
        </w:rPr>
        <w:t>4、具有履行本合同所必需的设备和专业技术能力的书面声明：提供具有履行本合同所必需的设备和专业技术能力的书面声明。</w:t>
      </w:r>
    </w:p>
    <w:p>
      <w:pPr>
        <w:pStyle w:val="null3"/>
      </w:pPr>
      <w:r>
        <w:rPr>
          <w:rFonts w:ascii="仿宋_GB2312" w:hAnsi="仿宋_GB2312" w:cs="仿宋_GB2312" w:eastAsia="仿宋_GB2312"/>
        </w:rPr>
        <w:t>5、无重大违法记录的书面声明：提供参加政府采购活动前3年内在经营活动中没有重大违法记录的书面声明。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委托书：法定代表人直接参加磋商的，须提供法定代表人身份证明（法人身份证原件备查）；法定代表人授权代表参加磋商的，须提供法定代表人授权委托书（授权代表身份证原件备查）。</w:t>
      </w:r>
    </w:p>
    <w:p>
      <w:pPr>
        <w:pStyle w:val="null3"/>
      </w:pPr>
      <w:r>
        <w:rPr>
          <w:rFonts w:ascii="仿宋_GB2312" w:hAnsi="仿宋_GB2312" w:cs="仿宋_GB2312" w:eastAsia="仿宋_GB2312"/>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p>
      <w:pPr>
        <w:pStyle w:val="null3"/>
      </w:pPr>
      <w:r>
        <w:rPr>
          <w:rFonts w:ascii="仿宋_GB2312" w:hAnsi="仿宋_GB2312" w:cs="仿宋_GB2312" w:eastAsia="仿宋_GB2312"/>
        </w:rPr>
        <w:t>8、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p>
      <w:pPr>
        <w:pStyle w:val="null3"/>
      </w:pPr>
      <w:r>
        <w:rPr>
          <w:rFonts w:ascii="仿宋_GB2312" w:hAnsi="仿宋_GB2312" w:cs="仿宋_GB2312" w:eastAsia="仿宋_GB2312"/>
        </w:rPr>
        <w:t>9、供应商资质：具备公路工程甲级资质证书或公路工程综合甲级等级证书</w:t>
      </w:r>
    </w:p>
    <w:p>
      <w:pPr>
        <w:pStyle w:val="null3"/>
      </w:pPr>
      <w:r>
        <w:rPr>
          <w:rFonts w:ascii="仿宋_GB2312" w:hAnsi="仿宋_GB2312" w:cs="仿宋_GB2312" w:eastAsia="仿宋_GB2312"/>
        </w:rPr>
        <w:t>10、项目负责人：具有相关专业高级或以上技术职称；持有交通运输部颁发的试验检测工程师证书；担任过新建或改扩建高速公路项目监督检查配合检测服务项目的项目负责人</w:t>
      </w:r>
    </w:p>
    <w:p>
      <w:pPr>
        <w:pStyle w:val="null3"/>
      </w:pPr>
      <w:r>
        <w:rPr>
          <w:rFonts w:ascii="仿宋_GB2312" w:hAnsi="仿宋_GB2312" w:cs="仿宋_GB2312" w:eastAsia="仿宋_GB2312"/>
        </w:rPr>
        <w:t>11、技术负责人：具有相关专业高级或以上技术职称；持有交通运输部颁发的试验检测工程师证书（应满足道路工程、桥梁隧道工程、交通工程三项中任意两项）；担任过新建或改扩建高速公路项目监督检查配合检测服务项目的技术负责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1、主体资格证明文件：供应商合法注册的法人或其他组织的营业执照等证明文件或自然人的身份证明。</w:t>
      </w:r>
    </w:p>
    <w:p>
      <w:pPr>
        <w:pStyle w:val="null3"/>
      </w:pPr>
      <w:r>
        <w:rPr>
          <w:rFonts w:ascii="仿宋_GB2312" w:hAnsi="仿宋_GB2312" w:cs="仿宋_GB2312" w:eastAsia="仿宋_GB2312"/>
        </w:rPr>
        <w:t>2、财务状况报告：提供具有经审计资质单位出具的2024年度财务报告或供应商开标日前6个月内基本存款账户银行出具的资信证明（附基本存款账户开户许可证或加盖银行章的基本存款账户信息）。</w:t>
      </w:r>
    </w:p>
    <w:p>
      <w:pPr>
        <w:pStyle w:val="null3"/>
      </w:pPr>
      <w:r>
        <w:rPr>
          <w:rFonts w:ascii="仿宋_GB2312" w:hAnsi="仿宋_GB2312" w:cs="仿宋_GB2312" w:eastAsia="仿宋_GB2312"/>
        </w:rPr>
        <w:t>3、依法缴纳税收和社会保障资金：提供磋商截止时间前6个月内任意时段已缴纳的纳税证明或完税证明和已缴存的社会保障资金缴费证明或参保证明</w:t>
      </w:r>
    </w:p>
    <w:p>
      <w:pPr>
        <w:pStyle w:val="null3"/>
      </w:pPr>
      <w:r>
        <w:rPr>
          <w:rFonts w:ascii="仿宋_GB2312" w:hAnsi="仿宋_GB2312" w:cs="仿宋_GB2312" w:eastAsia="仿宋_GB2312"/>
        </w:rPr>
        <w:t>4、具有履行本合同所必需的设备和专业技术能力的书面声明：提供具有履行本合同所必需的设备和专业技术能力的书面声明。</w:t>
      </w:r>
    </w:p>
    <w:p>
      <w:pPr>
        <w:pStyle w:val="null3"/>
      </w:pPr>
      <w:r>
        <w:rPr>
          <w:rFonts w:ascii="仿宋_GB2312" w:hAnsi="仿宋_GB2312" w:cs="仿宋_GB2312" w:eastAsia="仿宋_GB2312"/>
        </w:rPr>
        <w:t>5、无重大违法记录的书面声明：提供参加政府采购活动前3年内在经营活动中没有重大违法记录的书面声明。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委托书：法定代表人直接参加磋商的，须提供法定代表人身份证明（法人身份证原件备查）；法定代表人授权代表参加磋商的，须提供法定代表人授权委托书（授权代表身份证原件备查）</w:t>
      </w:r>
    </w:p>
    <w:p>
      <w:pPr>
        <w:pStyle w:val="null3"/>
      </w:pPr>
      <w:r>
        <w:rPr>
          <w:rFonts w:ascii="仿宋_GB2312" w:hAnsi="仿宋_GB2312" w:cs="仿宋_GB2312" w:eastAsia="仿宋_GB2312"/>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p>
      <w:pPr>
        <w:pStyle w:val="null3"/>
      </w:pPr>
      <w:r>
        <w:rPr>
          <w:rFonts w:ascii="仿宋_GB2312" w:hAnsi="仿宋_GB2312" w:cs="仿宋_GB2312" w:eastAsia="仿宋_GB2312"/>
        </w:rPr>
        <w:t>8、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p>
      <w:pPr>
        <w:pStyle w:val="null3"/>
      </w:pPr>
      <w:r>
        <w:rPr>
          <w:rFonts w:ascii="仿宋_GB2312" w:hAnsi="仿宋_GB2312" w:cs="仿宋_GB2312" w:eastAsia="仿宋_GB2312"/>
        </w:rPr>
        <w:t>9、供应商资质：具备公路工程甲级资质证书或公路工程综合甲级等级证书</w:t>
      </w:r>
    </w:p>
    <w:p>
      <w:pPr>
        <w:pStyle w:val="null3"/>
      </w:pPr>
      <w:r>
        <w:rPr>
          <w:rFonts w:ascii="仿宋_GB2312" w:hAnsi="仿宋_GB2312" w:cs="仿宋_GB2312" w:eastAsia="仿宋_GB2312"/>
        </w:rPr>
        <w:t>10、项目负责人：具有相关专业高级或以上技术职称；持有交通运输部颁发的试验检测工程师证书；担任过新建或改扩建高速公路项目监督检查配合检测服务项目的项目负责人</w:t>
      </w:r>
    </w:p>
    <w:p>
      <w:pPr>
        <w:pStyle w:val="null3"/>
      </w:pPr>
      <w:r>
        <w:rPr>
          <w:rFonts w:ascii="仿宋_GB2312" w:hAnsi="仿宋_GB2312" w:cs="仿宋_GB2312" w:eastAsia="仿宋_GB2312"/>
        </w:rPr>
        <w:t>11、技术负责人：具有相关专业高级或以上技术职称；持有交通运输部颁发的试验检测工程师证书（应满足道路工程、桥梁隧道工程、交通工程三项中任意两项）；担任过新建或改扩建高速公路项目监督检查配合检测服务项目的技术负责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陕西省交通运输工程质量监测鉴定站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029-88869241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陕西西北民航工程咨询有限公司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陕西省西安市高新区唐延路3号唐延国际中心AB座8层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佘冰霞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029-88347987-8046/029-88347987-8034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采购包1：923,167.00元</w:t>
            </w:r>
          </w:p>
          <w:p>
            <w:pPr>
              <w:pStyle w:val="null3"/>
            </w:pPr>
            <w:r>
              <w:rPr>
                <w:rFonts w:ascii="仿宋_GB2312" w:hAnsi="仿宋_GB2312" w:cs="仿宋_GB2312" w:eastAsia="仿宋_GB2312"/>
              </w:rPr>
              <w:t>采购包2：929,911.00元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1.参照《国家计委关于印发&lt;招标代理服务收费管理暂行办法&gt;的通知》 （计价格【2002】1980号）及《国家发改委关于降低部分建设项目收费标准规范收费行为等有关问题的通知》（发改价格[2011]534号）规定标准的 80% 收取，不足5000.00元的按5000.00元收取。取费基数为各标包成交金额。 2.采购人指定的代理服务费缴纳账户信息如下： 银行户名：陕西西北民航工程咨询有限公司 开户行名称：中国建设银行股份有限公司西安高新科技支行 账 号：61001925700052502533 行 号：105791011313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踏勘时间：2026-05-12 10:00:00</w:t>
            </w:r>
          </w:p>
          <w:p>
            <w:pPr>
              <w:pStyle w:val="null3"/>
              <w:ind w:firstLine="975"/>
            </w:pPr>
            <w:r>
              <w:rPr>
                <w:rFonts w:ascii="仿宋_GB2312" w:hAnsi="仿宋_GB2312" w:cs="仿宋_GB2312" w:eastAsia="仿宋_GB2312"/>
              </w:rPr>
              <w:t>踏勘地点：因本项目情况复杂，供应商如需进行考察现场请联系代理机构，如因未参加现场考察，导致本项目在后期实施过程中产生的不良后果，由供应商自行承担 。</w:t>
            </w:r>
          </w:p>
          <w:p>
            <w:pPr>
              <w:pStyle w:val="null3"/>
              <w:ind w:firstLine="975"/>
            </w:pPr>
            <w:r>
              <w:rPr>
                <w:rFonts w:ascii="仿宋_GB2312" w:hAnsi="仿宋_GB2312" w:cs="仿宋_GB2312" w:eastAsia="仿宋_GB2312"/>
              </w:rPr>
              <w:t>联系人：佘冰霞</w:t>
            </w:r>
          </w:p>
          <w:p>
            <w:pPr>
              <w:pStyle w:val="null3"/>
              <w:ind w:firstLine="975"/>
            </w:pPr>
            <w:r>
              <w:rPr>
                <w:rFonts w:ascii="仿宋_GB2312" w:hAnsi="仿宋_GB2312" w:cs="仿宋_GB2312" w:eastAsia="仿宋_GB2312"/>
              </w:rPr>
              <w:t>联系电话号码：029-88347987-8046/8039</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踏勘时间：2026-05-12 10:00:00</w:t>
            </w:r>
          </w:p>
          <w:p>
            <w:pPr>
              <w:pStyle w:val="null3"/>
              <w:ind w:firstLine="975"/>
            </w:pPr>
            <w:r>
              <w:rPr>
                <w:rFonts w:ascii="仿宋_GB2312" w:hAnsi="仿宋_GB2312" w:cs="仿宋_GB2312" w:eastAsia="仿宋_GB2312"/>
              </w:rPr>
              <w:t>踏勘地点：因本项目情况复杂，供应商如需进行考察现场请联系代理机构，如因未参加现场考察，导致本项目在后期实施过程中产生的不良后果，由供应商自行承担 。</w:t>
            </w:r>
          </w:p>
          <w:p>
            <w:pPr>
              <w:pStyle w:val="null3"/>
              <w:ind w:firstLine="975"/>
            </w:pPr>
            <w:r>
              <w:rPr>
                <w:rFonts w:ascii="仿宋_GB2312" w:hAnsi="仿宋_GB2312" w:cs="仿宋_GB2312" w:eastAsia="仿宋_GB2312"/>
              </w:rPr>
              <w:t>联系人：佘冰霞</w:t>
            </w:r>
          </w:p>
          <w:p>
            <w:pPr>
              <w:pStyle w:val="null3"/>
              <w:ind w:firstLine="975"/>
            </w:pPr>
            <w:r>
              <w:rPr>
                <w:rFonts w:ascii="仿宋_GB2312" w:hAnsi="仿宋_GB2312" w:cs="仿宋_GB2312" w:eastAsia="仿宋_GB2312"/>
              </w:rPr>
              <w:t>联系电话号码：029-88347987-8046/8039</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陕西省交通运输工程质量监测鉴定站</w:t>
      </w:r>
      <w:r>
        <w:rPr>
          <w:rFonts w:ascii="仿宋_GB2312" w:hAnsi="仿宋_GB2312" w:cs="仿宋_GB2312" w:eastAsia="仿宋_GB2312"/>
        </w:rPr>
        <w:t>和</w:t>
      </w:r>
      <w:r>
        <w:rPr>
          <w:rFonts w:ascii="仿宋_GB2312" w:hAnsi="仿宋_GB2312" w:cs="仿宋_GB2312" w:eastAsia="仿宋_GB2312"/>
        </w:rPr>
        <w:t>陕西西北民航工程咨询有限公司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陕西省交通运输工程质量监测鉴定站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陕西西北民航工程咨询有限公司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陕西省交通运输工程质量监测鉴定站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陕西西北民航工程咨询有限公司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联系人：佘冰霞</w:t>
      </w:r>
    </w:p>
    <w:p>
      <w:pPr>
        <w:pStyle w:val="null3"/>
      </w:pPr>
      <w:r>
        <w:rPr>
          <w:rFonts w:ascii="仿宋_GB2312" w:hAnsi="仿宋_GB2312" w:cs="仿宋_GB2312" w:eastAsia="仿宋_GB2312"/>
        </w:rPr>
        <w:t>联系电话：029-88347987-8046</w:t>
      </w:r>
    </w:p>
    <w:p>
      <w:pPr>
        <w:pStyle w:val="null3"/>
      </w:pPr>
      <w:r>
        <w:rPr>
          <w:rFonts w:ascii="仿宋_GB2312" w:hAnsi="仿宋_GB2312" w:cs="仿宋_GB2312" w:eastAsia="仿宋_GB2312"/>
        </w:rPr>
        <w:t>地址：陕西省西安市高新区唐延路3号唐延国际中心AB区8楼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陕西省交通运输工程质量检测鉴定站2026年高速公路监督检查配合检测，1批。 采购包1：鄠周眉高速等若干高速公路监督检查配合检测、外观质量检查和内业资料审查（鄠周眉高速；京昆改扩建-合蒲段；西永改扩建；耀州立交；柞水南立交；阜寨立交；周乾高速；乾富高速；临潼经高陵至机场）。 采购包2：洋西；镇川等若干高速公路监督检查配合检测、外观质量检查和内业资料审查（陕川界、陕鄂界韧性提升；洋西；镇川；关环；韩黄；洛卢；吴华；大锦；宝鸡北；海则滩立交；镇安北立交；安子）。 具体内容详见第三章。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923,167.00</w:t>
      </w:r>
    </w:p>
    <w:p>
      <w:pPr>
        <w:pStyle w:val="null3"/>
      </w:pPr>
      <w:r>
        <w:rPr>
          <w:rFonts w:ascii="仿宋_GB2312" w:hAnsi="仿宋_GB2312" w:cs="仿宋_GB2312" w:eastAsia="仿宋_GB2312"/>
        </w:rPr>
        <w:t>采购包最高限价（元）: 923,167.00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1包鄠周眉高速-京昆改扩建合蒲段等若干高速监督检查配合检测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923,167.00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929,911.00</w:t>
      </w:r>
    </w:p>
    <w:p>
      <w:pPr>
        <w:pStyle w:val="null3"/>
      </w:pPr>
      <w:r>
        <w:rPr>
          <w:rFonts w:ascii="仿宋_GB2312" w:hAnsi="仿宋_GB2312" w:cs="仿宋_GB2312" w:eastAsia="仿宋_GB2312"/>
        </w:rPr>
        <w:t>采购包最高限价（元）: 929,911.00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2包洋西-镇川等若干高速公路监督检查配合检测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929,911.00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标的名称：1包鄠周眉高速-京昆改扩建合蒲段等若干高速监督检查配合检测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项目概况</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鄠周眉高速（鄠邑经周至至眉县高速公路）：</w:t>
            </w:r>
          </w:p>
          <w:p>
            <w:pPr>
              <w:pStyle w:val="null3"/>
              <w:jc w:val="both"/>
            </w:pPr>
            <w:r>
              <w:rPr>
                <w:rFonts w:ascii="仿宋_GB2312" w:hAnsi="仿宋_GB2312" w:cs="仿宋_GB2312" w:eastAsia="仿宋_GB2312"/>
                <w:sz w:val="20"/>
              </w:rPr>
              <w:t>鄠周眉高速公路项目是陕西省</w:t>
            </w:r>
            <w:r>
              <w:rPr>
                <w:rFonts w:ascii="仿宋_GB2312" w:hAnsi="仿宋_GB2312" w:cs="仿宋_GB2312" w:eastAsia="仿宋_GB2312"/>
                <w:sz w:val="20"/>
              </w:rPr>
              <w:t>“2367”高速公路网规划中的西安大环高速和周凤高速的重要组成路段，路线全长71.465公里，全线设水寨（枢纽）、鄠邑西、集贤、楼观、周至、哑柏、横渠、太白山8处互通立交、监控分中心1处、服务区1处、匝道收费站7处，全线征用土地8756亩，概算投资96.17亿元。是“十四五”期间陕西省重点基础设施建设项目，项目建成通车后将彻底结束周至不通高速公路的历史，对完善渭河南部高速公路网布局，分流京昆高速西安以南路段交通压力，改善区域交通运输条件，带动关中平原城市群发展，加快陕西省综合交通运输体系建设等具有十分重要的作用。</w:t>
            </w:r>
          </w:p>
          <w:p>
            <w:pPr>
              <w:pStyle w:val="null3"/>
              <w:jc w:val="both"/>
            </w:pPr>
            <w:r>
              <w:rPr>
                <w:rFonts w:ascii="仿宋_GB2312" w:hAnsi="仿宋_GB2312" w:cs="仿宋_GB2312" w:eastAsia="仿宋_GB2312"/>
                <w:sz w:val="21"/>
                <w:b/>
              </w:rPr>
              <w:t>2、京昆改扩建-合蒲段：</w:t>
            </w:r>
          </w:p>
          <w:p>
            <w:pPr>
              <w:pStyle w:val="null3"/>
              <w:ind w:firstLine="400"/>
              <w:jc w:val="both"/>
            </w:pPr>
            <w:r>
              <w:rPr>
                <w:rFonts w:ascii="仿宋_GB2312" w:hAnsi="仿宋_GB2312" w:cs="仿宋_GB2312" w:eastAsia="仿宋_GB2312"/>
                <w:sz w:val="20"/>
              </w:rPr>
              <w:t>京昆高速公路蒲城至涝峪段改扩建工程为</w:t>
            </w:r>
            <w:r>
              <w:rPr>
                <w:rFonts w:ascii="仿宋_GB2312" w:hAnsi="仿宋_GB2312" w:cs="仿宋_GB2312" w:eastAsia="仿宋_GB2312"/>
                <w:sz w:val="20"/>
              </w:rPr>
              <w:t>“十三五”规划拟新开工项目，全线共设互通立交18处，项目起自京昆高速 (G5)与榆蓝高速(G6521)相交的东杨枢纽互通立交，向南沿既有道路以两侧加宽为主进行改扩建，经蒲城、荆姚、富平东、富平、阎良、航空城、高陵北（枢纽）、高陵、西安港、港务区至谢王枢纽互通立交，利用既有西安绕城高速(G3002) 至河池寨枢纽互通立交，再由河池寨枢纽互通立交继续向南沿既有道路改扩建，经三星、鄠邑东（枢纽）、鄠邑、鄠邑南互通立交，止于京昆高速 ( G5 ) 涝峪互通立交，其中新建互通立交5处，分别为富平东、阎良、航空城、西安港和鄠邑南。全长164.3公里，其中改扩建路段长度为125.87公里。采用双侧加宽至双向八车道高速公路技术标准，路基宽度为42m，设计时速120km/h。</w:t>
            </w:r>
          </w:p>
          <w:p>
            <w:pPr>
              <w:pStyle w:val="null3"/>
              <w:jc w:val="both"/>
            </w:pPr>
            <w:r>
              <w:rPr>
                <w:rFonts w:ascii="仿宋_GB2312" w:hAnsi="仿宋_GB2312" w:cs="仿宋_GB2312" w:eastAsia="仿宋_GB2312"/>
                <w:sz w:val="21"/>
                <w:b/>
              </w:rPr>
              <w:t>3、西永改扩建：</w:t>
            </w:r>
          </w:p>
          <w:p>
            <w:pPr>
              <w:pStyle w:val="null3"/>
              <w:ind w:firstLine="400"/>
              <w:jc w:val="both"/>
            </w:pPr>
            <w:r>
              <w:rPr>
                <w:rFonts w:ascii="仿宋_GB2312" w:hAnsi="仿宋_GB2312" w:cs="仿宋_GB2312" w:eastAsia="仿宋_GB2312"/>
                <w:sz w:val="20"/>
              </w:rPr>
              <w:t>福银高速公路西安至永寿段改扩建工程路线起于福银高速与西安绕城高速相交的既有六村堡枢纽互通，经渭城、周陵、机场、咸阳北、礼泉、乾县、阳峪、永寿、止于既有福银高速永寿南互通立交，全长</w:t>
            </w:r>
            <w:r>
              <w:rPr>
                <w:rFonts w:ascii="仿宋_GB2312" w:hAnsi="仿宋_GB2312" w:cs="仿宋_GB2312" w:eastAsia="仿宋_GB2312"/>
                <w:sz w:val="20"/>
              </w:rPr>
              <w:t>79.099公里。全线改扩建六村堡（枢纽）、咸阳东、机场西、咸阳北（枢纽）、马庄西（枢纽）、西张堡、礼泉、乾县北、乾陵、永寿南10处互通式立交，新增沣泾、咸阳经开2处互通式立交。主线采用高速公路标准改扩建，设计速度120公里/小时。其中，六村堡至咸阳北段20.185公里，采用双向十车道标准，路基宽度54米；咸阳北至乾县东段28.304公里，采用双向八车道标准，路基宽度43.5米；乾县东至永寿南段30.610公里，采用双向八车道标准，路基宽度42米。新建和拼宽桥涵设计汽车荷载等级采用公路-I级，利用既有桥涵沿用原荷载标准。同步建设乾县北互通连接线，长2.806公里，采用双向六车道一级公路标准改扩建，设计速度60公里/小时，路基宽度26米。项目预算总金额125.89亿元，总工期三年。</w:t>
            </w:r>
          </w:p>
          <w:p>
            <w:pPr>
              <w:pStyle w:val="null3"/>
              <w:jc w:val="both"/>
            </w:pPr>
            <w:r>
              <w:rPr>
                <w:rFonts w:ascii="仿宋_GB2312" w:hAnsi="仿宋_GB2312" w:cs="仿宋_GB2312" w:eastAsia="仿宋_GB2312"/>
                <w:sz w:val="21"/>
                <w:b/>
              </w:rPr>
              <w:t>4、耀州立交：</w:t>
            </w:r>
          </w:p>
          <w:p>
            <w:pPr>
              <w:pStyle w:val="null3"/>
              <w:ind w:firstLine="400"/>
              <w:jc w:val="both"/>
            </w:pPr>
            <w:r>
              <w:rPr>
                <w:rFonts w:ascii="仿宋_GB2312" w:hAnsi="仿宋_GB2312" w:cs="仿宋_GB2312" w:eastAsia="仿宋_GB2312"/>
                <w:sz w:val="20"/>
              </w:rPr>
              <w:t>G6522延西高速耀州互通式立交工程已纳入《陕西省交通运输厅 陕西省发展和改革委员会 关于印发陕西省“十四五”综合交通运输发展规划中期调整项目清单的通知》（陕交发〔2024〕12号）规划中。</w:t>
            </w:r>
            <w:r>
              <w:rPr>
                <w:rFonts w:ascii="仿宋_GB2312" w:hAnsi="仿宋_GB2312" w:cs="仿宋_GB2312" w:eastAsia="仿宋_GB2312"/>
                <w:sz w:val="20"/>
              </w:rPr>
              <w:t>根据工可报告的批复意见，</w:t>
            </w:r>
            <w:r>
              <w:rPr>
                <w:rFonts w:ascii="仿宋_GB2312" w:hAnsi="仿宋_GB2312" w:cs="仿宋_GB2312" w:eastAsia="仿宋_GB2312"/>
                <w:sz w:val="20"/>
              </w:rPr>
              <w:t>项目的实施分为立交工程和</w:t>
            </w:r>
            <w:r>
              <w:rPr>
                <w:rFonts w:ascii="仿宋_GB2312" w:hAnsi="仿宋_GB2312" w:cs="仿宋_GB2312" w:eastAsia="仿宋_GB2312"/>
                <w:sz w:val="20"/>
              </w:rPr>
              <w:t>立交工程（二期）两</w:t>
            </w:r>
            <w:r>
              <w:rPr>
                <w:rFonts w:ascii="仿宋_GB2312" w:hAnsi="仿宋_GB2312" w:cs="仿宋_GB2312" w:eastAsia="仿宋_GB2312"/>
                <w:sz w:val="20"/>
              </w:rPr>
              <w:t>部分。</w:t>
            </w:r>
            <w:r>
              <w:rPr>
                <w:rFonts w:ascii="仿宋_GB2312" w:hAnsi="仿宋_GB2312" w:cs="仿宋_GB2312" w:eastAsia="仿宋_GB2312"/>
                <w:sz w:val="20"/>
              </w:rPr>
              <w:t>（备注：耀州立交二期工程以下简称</w:t>
            </w:r>
            <w:r>
              <w:rPr>
                <w:rFonts w:ascii="仿宋_GB2312" w:hAnsi="仿宋_GB2312" w:cs="仿宋_GB2312" w:eastAsia="仿宋_GB2312"/>
                <w:sz w:val="20"/>
              </w:rPr>
              <w:t>“连接线工程”）</w:t>
            </w:r>
          </w:p>
          <w:p>
            <w:pPr>
              <w:pStyle w:val="null3"/>
              <w:ind w:firstLine="400"/>
              <w:jc w:val="both"/>
            </w:pPr>
            <w:r>
              <w:rPr>
                <w:rFonts w:ascii="仿宋_GB2312" w:hAnsi="仿宋_GB2312" w:cs="仿宋_GB2312" w:eastAsia="仿宋_GB2312"/>
                <w:sz w:val="20"/>
              </w:rPr>
              <w:t>立交工程位于耀州区董家河镇，采用梨形互通方案。</w:t>
            </w:r>
            <w:r>
              <w:rPr>
                <w:rFonts w:ascii="仿宋_GB2312" w:hAnsi="仿宋_GB2312" w:cs="仿宋_GB2312" w:eastAsia="仿宋_GB2312"/>
                <w:sz w:val="20"/>
              </w:rPr>
              <w:t>项目桥梁</w:t>
            </w:r>
            <w:r>
              <w:rPr>
                <w:rFonts w:ascii="仿宋_GB2312" w:hAnsi="仿宋_GB2312" w:cs="仿宋_GB2312" w:eastAsia="仿宋_GB2312"/>
                <w:sz w:val="20"/>
              </w:rPr>
              <w:t>291m/3座（其中243/2座为钢箱梁结构形式，48m/1座为钢筋混凝土现浇箱梁结构形式），通道59.02m/4道，涵洞43m/3道，填方94209m3，挖方105136m3。</w:t>
            </w:r>
            <w:r>
              <w:rPr>
                <w:rFonts w:ascii="仿宋_GB2312" w:hAnsi="仿宋_GB2312" w:cs="仿宋_GB2312" w:eastAsia="仿宋_GB2312"/>
                <w:sz w:val="20"/>
              </w:rPr>
              <w:t>立交匝道设计速度采用</w:t>
            </w:r>
            <w:r>
              <w:rPr>
                <w:rFonts w:ascii="仿宋_GB2312" w:hAnsi="仿宋_GB2312" w:cs="仿宋_GB2312" w:eastAsia="仿宋_GB2312"/>
                <w:sz w:val="20"/>
              </w:rPr>
              <w:t>40</w:t>
            </w:r>
            <w:r>
              <w:rPr>
                <w:rFonts w:ascii="仿宋_GB2312" w:hAnsi="仿宋_GB2312" w:cs="仿宋_GB2312" w:eastAsia="仿宋_GB2312"/>
                <w:sz w:val="20"/>
              </w:rPr>
              <w:t>km/h</w:t>
            </w:r>
            <w:r>
              <w:rPr>
                <w:rFonts w:ascii="仿宋_GB2312" w:hAnsi="仿宋_GB2312" w:cs="仿宋_GB2312" w:eastAsia="仿宋_GB2312"/>
                <w:sz w:val="20"/>
              </w:rPr>
              <w:t>，单向单车道匝道路基宽度采用</w:t>
            </w:r>
            <w:r>
              <w:rPr>
                <w:rFonts w:ascii="仿宋_GB2312" w:hAnsi="仿宋_GB2312" w:cs="仿宋_GB2312" w:eastAsia="仿宋_GB2312"/>
                <w:sz w:val="20"/>
              </w:rPr>
              <w:t>9</w:t>
            </w:r>
            <w:r>
              <w:rPr>
                <w:rFonts w:ascii="仿宋_GB2312" w:hAnsi="仿宋_GB2312" w:cs="仿宋_GB2312" w:eastAsia="仿宋_GB2312"/>
                <w:sz w:val="20"/>
              </w:rPr>
              <w:t>m</w:t>
            </w:r>
            <w:r>
              <w:rPr>
                <w:rFonts w:ascii="仿宋_GB2312" w:hAnsi="仿宋_GB2312" w:cs="仿宋_GB2312" w:eastAsia="仿宋_GB2312"/>
                <w:sz w:val="20"/>
              </w:rPr>
              <w:t>，单向双车道路基宽度采用</w:t>
            </w:r>
            <w:r>
              <w:rPr>
                <w:rFonts w:ascii="仿宋_GB2312" w:hAnsi="仿宋_GB2312" w:cs="仿宋_GB2312" w:eastAsia="仿宋_GB2312"/>
                <w:sz w:val="20"/>
              </w:rPr>
              <w:t>10.5</w:t>
            </w:r>
            <w:r>
              <w:rPr>
                <w:rFonts w:ascii="仿宋_GB2312" w:hAnsi="仿宋_GB2312" w:cs="仿宋_GB2312" w:eastAsia="仿宋_GB2312"/>
                <w:sz w:val="20"/>
              </w:rPr>
              <w:t>m</w:t>
            </w:r>
            <w:r>
              <w:rPr>
                <w:rFonts w:ascii="仿宋_GB2312" w:hAnsi="仿宋_GB2312" w:cs="仿宋_GB2312" w:eastAsia="仿宋_GB2312"/>
                <w:sz w:val="20"/>
              </w:rPr>
              <w:t>，设匝道收费站</w:t>
            </w:r>
            <w:r>
              <w:rPr>
                <w:rFonts w:ascii="仿宋_GB2312" w:hAnsi="仿宋_GB2312" w:cs="仿宋_GB2312" w:eastAsia="仿宋_GB2312"/>
                <w:sz w:val="20"/>
              </w:rPr>
              <w:t>1处，收费车道数为4入4出（进出口各设2个ETC，2个混合车道)。桥涵设计汽车荷载等级采用公路-I级</w:t>
            </w:r>
            <w:r>
              <w:rPr>
                <w:rFonts w:ascii="仿宋_GB2312" w:hAnsi="仿宋_GB2312" w:cs="仿宋_GB2312" w:eastAsia="仿宋_GB2312"/>
                <w:sz w:val="20"/>
              </w:rPr>
              <w:t>，</w:t>
            </w:r>
            <w:r>
              <w:rPr>
                <w:rFonts w:ascii="仿宋_GB2312" w:hAnsi="仿宋_GB2312" w:cs="仿宋_GB2312" w:eastAsia="仿宋_GB2312"/>
                <w:sz w:val="20"/>
              </w:rPr>
              <w:t>其他技术指标按国家现行有关规范、规定执行。同步建设必要的收费管理及相关附属设施，拆除既有耀州南、耀州北两处半互通式立交。</w:t>
            </w:r>
          </w:p>
          <w:p>
            <w:pPr>
              <w:pStyle w:val="null3"/>
              <w:ind w:firstLine="400"/>
              <w:jc w:val="both"/>
            </w:pPr>
            <w:r>
              <w:rPr>
                <w:rFonts w:ascii="仿宋_GB2312" w:hAnsi="仿宋_GB2312" w:cs="仿宋_GB2312" w:eastAsia="仿宋_GB2312"/>
                <w:sz w:val="20"/>
              </w:rPr>
              <w:t>连接线工程起点接迎宾南路与莲湖大街（国道</w:t>
            </w:r>
            <w:r>
              <w:rPr>
                <w:rFonts w:ascii="仿宋_GB2312" w:hAnsi="仿宋_GB2312" w:cs="仿宋_GB2312" w:eastAsia="仿宋_GB2312"/>
                <w:sz w:val="20"/>
              </w:rPr>
              <w:t>G210）平交口，往南降坡后下穿延西高速主线往东与匝道设置平交口后接现状道路，按城镇化地区二级公路标准，</w:t>
            </w:r>
            <w:r>
              <w:rPr>
                <w:rFonts w:ascii="仿宋_GB2312" w:hAnsi="仿宋_GB2312" w:cs="仿宋_GB2312" w:eastAsia="仿宋_GB2312"/>
                <w:sz w:val="20"/>
              </w:rPr>
              <w:t>全长</w:t>
            </w:r>
            <w:r>
              <w:rPr>
                <w:rFonts w:ascii="仿宋_GB2312" w:hAnsi="仿宋_GB2312" w:cs="仿宋_GB2312" w:eastAsia="仿宋_GB2312"/>
                <w:sz w:val="20"/>
              </w:rPr>
              <w:t>775</w:t>
            </w:r>
            <w:r>
              <w:rPr>
                <w:rFonts w:ascii="仿宋_GB2312" w:hAnsi="仿宋_GB2312" w:cs="仿宋_GB2312" w:eastAsia="仿宋_GB2312"/>
                <w:sz w:val="20"/>
              </w:rPr>
              <w:t>m，</w:t>
            </w:r>
            <w:r>
              <w:rPr>
                <w:rFonts w:ascii="仿宋_GB2312" w:hAnsi="仿宋_GB2312" w:cs="仿宋_GB2312" w:eastAsia="仿宋_GB2312"/>
                <w:sz w:val="20"/>
              </w:rPr>
              <w:t>路基宽度</w:t>
            </w:r>
            <w:r>
              <w:rPr>
                <w:rFonts w:ascii="仿宋_GB2312" w:hAnsi="仿宋_GB2312" w:cs="仿宋_GB2312" w:eastAsia="仿宋_GB2312"/>
                <w:sz w:val="20"/>
              </w:rPr>
              <w:t>22.5</w:t>
            </w:r>
            <w:r>
              <w:rPr>
                <w:rFonts w:ascii="仿宋_GB2312" w:hAnsi="仿宋_GB2312" w:cs="仿宋_GB2312" w:eastAsia="仿宋_GB2312"/>
                <w:sz w:val="20"/>
              </w:rPr>
              <w:t>m</w:t>
            </w:r>
            <w:r>
              <w:rPr>
                <w:rFonts w:ascii="仿宋_GB2312" w:hAnsi="仿宋_GB2312" w:cs="仿宋_GB2312" w:eastAsia="仿宋_GB2312"/>
                <w:sz w:val="20"/>
              </w:rPr>
              <w:t>，双向四车道</w:t>
            </w:r>
            <w:r>
              <w:rPr>
                <w:rFonts w:ascii="仿宋_GB2312" w:hAnsi="仿宋_GB2312" w:cs="仿宋_GB2312" w:eastAsia="仿宋_GB2312"/>
                <w:sz w:val="20"/>
              </w:rPr>
              <w:t>，</w:t>
            </w:r>
            <w:r>
              <w:rPr>
                <w:rFonts w:ascii="仿宋_GB2312" w:hAnsi="仿宋_GB2312" w:cs="仿宋_GB2312" w:eastAsia="仿宋_GB2312"/>
                <w:sz w:val="20"/>
              </w:rPr>
              <w:t>设计速度</w:t>
            </w:r>
            <w:r>
              <w:rPr>
                <w:rFonts w:ascii="仿宋_GB2312" w:hAnsi="仿宋_GB2312" w:cs="仿宋_GB2312" w:eastAsia="仿宋_GB2312"/>
                <w:sz w:val="20"/>
              </w:rPr>
              <w:t>40</w:t>
            </w:r>
            <w:r>
              <w:rPr>
                <w:rFonts w:ascii="仿宋_GB2312" w:hAnsi="仿宋_GB2312" w:cs="仿宋_GB2312" w:eastAsia="仿宋_GB2312"/>
                <w:sz w:val="20"/>
              </w:rPr>
              <w:t>km/h。填方为7740m3，挖方为37138m3，无桥梁和涵洞</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项目建成后有利于国道</w:t>
            </w:r>
            <w:r>
              <w:rPr>
                <w:rFonts w:ascii="仿宋_GB2312" w:hAnsi="仿宋_GB2312" w:cs="仿宋_GB2312" w:eastAsia="仿宋_GB2312"/>
                <w:sz w:val="20"/>
              </w:rPr>
              <w:t>G210、铜黄高速公路、咸铜铁路孝北堡站实现互联互通，对打造公铁联动的综合交通枢纽，改善项目区域对外交通条件</w:t>
            </w:r>
            <w:r>
              <w:rPr>
                <w:rFonts w:ascii="仿宋_GB2312" w:hAnsi="仿宋_GB2312" w:cs="仿宋_GB2312" w:eastAsia="仿宋_GB2312"/>
                <w:sz w:val="20"/>
              </w:rPr>
              <w:t>具有关键作用。作为</w:t>
            </w:r>
            <w:r>
              <w:rPr>
                <w:rFonts w:ascii="仿宋_GB2312" w:hAnsi="仿宋_GB2312" w:cs="仿宋_GB2312" w:eastAsia="仿宋_GB2312"/>
                <w:sz w:val="20"/>
              </w:rPr>
              <w:t>董家河循环经济产业园的主要对外道路，项目实施后可极大提高区域道路的通行能力和服务水平，提</w:t>
            </w:r>
            <w:r>
              <w:rPr>
                <w:rFonts w:ascii="仿宋_GB2312" w:hAnsi="仿宋_GB2312" w:cs="仿宋_GB2312" w:eastAsia="仿宋_GB2312"/>
                <w:sz w:val="20"/>
              </w:rPr>
              <w:t>升</w:t>
            </w:r>
            <w:r>
              <w:rPr>
                <w:rFonts w:ascii="仿宋_GB2312" w:hAnsi="仿宋_GB2312" w:cs="仿宋_GB2312" w:eastAsia="仿宋_GB2312"/>
                <w:sz w:val="20"/>
              </w:rPr>
              <w:t>区域物流运输效率，大幅降低物流成本</w:t>
            </w:r>
            <w:r>
              <w:rPr>
                <w:rFonts w:ascii="仿宋_GB2312" w:hAnsi="仿宋_GB2312" w:cs="仿宋_GB2312" w:eastAsia="仿宋_GB2312"/>
                <w:sz w:val="20"/>
              </w:rPr>
              <w:t>，增强</w:t>
            </w:r>
            <w:r>
              <w:rPr>
                <w:rFonts w:ascii="仿宋_GB2312" w:hAnsi="仿宋_GB2312" w:cs="仿宋_GB2312" w:eastAsia="仿宋_GB2312"/>
                <w:sz w:val="20"/>
              </w:rPr>
              <w:t>项目区域核心竞争力，带动产业园区的加快发展，对进一步挖掘区域巨大的产业潜能，促进区域经济</w:t>
            </w:r>
            <w:r>
              <w:rPr>
                <w:rFonts w:ascii="仿宋_GB2312" w:hAnsi="仿宋_GB2312" w:cs="仿宋_GB2312" w:eastAsia="仿宋_GB2312"/>
                <w:sz w:val="20"/>
              </w:rPr>
              <w:t>高质量</w:t>
            </w:r>
            <w:r>
              <w:rPr>
                <w:rFonts w:ascii="仿宋_GB2312" w:hAnsi="仿宋_GB2312" w:cs="仿宋_GB2312" w:eastAsia="仿宋_GB2312"/>
                <w:sz w:val="20"/>
              </w:rPr>
              <w:t>协调快速发展具有重要意义。</w:t>
            </w:r>
          </w:p>
          <w:p>
            <w:pPr>
              <w:pStyle w:val="null3"/>
              <w:jc w:val="both"/>
            </w:pPr>
            <w:r>
              <w:rPr>
                <w:rFonts w:ascii="仿宋_GB2312" w:hAnsi="仿宋_GB2312" w:cs="仿宋_GB2312" w:eastAsia="仿宋_GB2312"/>
                <w:sz w:val="21"/>
                <w:b/>
              </w:rPr>
              <w:t>5、柞水南立交：</w:t>
            </w:r>
          </w:p>
          <w:p>
            <w:pPr>
              <w:pStyle w:val="null3"/>
              <w:ind w:firstLine="400"/>
              <w:jc w:val="both"/>
            </w:pPr>
            <w:r>
              <w:rPr>
                <w:rFonts w:ascii="仿宋_GB2312" w:hAnsi="仿宋_GB2312" w:cs="仿宋_GB2312" w:eastAsia="仿宋_GB2312"/>
                <w:sz w:val="20"/>
              </w:rPr>
              <w:t>柞水拟建立交为服务型立交，采用分离半互通方案，与</w:t>
            </w:r>
            <w:r>
              <w:rPr>
                <w:rFonts w:ascii="仿宋_GB2312" w:hAnsi="仿宋_GB2312" w:cs="仿宋_GB2312" w:eastAsia="仿宋_GB2312"/>
                <w:sz w:val="20"/>
              </w:rPr>
              <w:t>G211 相接，主要服务于柞水县、柞水溶洞、国道 G211 沿线叶家湾、磨沟峡等运输石料车辆及社会车辆上下高速公路往返西安方向。拟建立交作为接入包茂高速公路新的出入口，其建设可极大的方便运输石料上下高速公路，分流石料车辆与其他社会车辆，解决现柞水立交拥堵问题。</w:t>
            </w:r>
          </w:p>
          <w:p>
            <w:pPr>
              <w:pStyle w:val="null3"/>
              <w:ind w:firstLine="400"/>
              <w:jc w:val="both"/>
            </w:pPr>
            <w:r>
              <w:rPr>
                <w:rFonts w:ascii="仿宋_GB2312" w:hAnsi="仿宋_GB2312" w:cs="仿宋_GB2312" w:eastAsia="仿宋_GB2312"/>
                <w:sz w:val="20"/>
              </w:rPr>
              <w:t>依据交通量预测结果，立交的转换交通流分明，其中主流交通为西安往返柞水方向，次流交通为安康往返柞水方向，立交平交口处的交通流向以去往磨沟峡为主流。</w:t>
            </w:r>
          </w:p>
          <w:p>
            <w:pPr>
              <w:pStyle w:val="null3"/>
              <w:ind w:firstLine="400"/>
              <w:jc w:val="both"/>
            </w:pPr>
            <w:r>
              <w:rPr>
                <w:rFonts w:ascii="仿宋_GB2312" w:hAnsi="仿宋_GB2312" w:cs="仿宋_GB2312" w:eastAsia="仿宋_GB2312"/>
                <w:sz w:val="20"/>
              </w:rPr>
              <w:t>包茂高速设计速度为</w:t>
            </w:r>
            <w:r>
              <w:rPr>
                <w:rFonts w:ascii="仿宋_GB2312" w:hAnsi="仿宋_GB2312" w:cs="仿宋_GB2312" w:eastAsia="仿宋_GB2312"/>
                <w:sz w:val="20"/>
              </w:rPr>
              <w:t>80 公里/小时，路基宽度为双向四车道 24.5 米，拟建立交匝道设计速度 35～40 公里/小时，采用单向单车道，路基宽度 9.0 米，收费站至平交口段采用单向双车道，路基宽度 10.5 米，设匝道收费站 2 处（收费站 3 入 3 出）。</w:t>
            </w:r>
          </w:p>
          <w:p>
            <w:pPr>
              <w:pStyle w:val="null3"/>
              <w:jc w:val="both"/>
            </w:pPr>
            <w:r>
              <w:rPr>
                <w:rFonts w:ascii="仿宋_GB2312" w:hAnsi="仿宋_GB2312" w:cs="仿宋_GB2312" w:eastAsia="仿宋_GB2312"/>
                <w:sz w:val="21"/>
                <w:b/>
              </w:rPr>
              <w:t>6、阜寨立交：</w:t>
            </w:r>
          </w:p>
          <w:p>
            <w:pPr>
              <w:pStyle w:val="null3"/>
              <w:ind w:firstLine="400"/>
              <w:jc w:val="both"/>
            </w:pPr>
            <w:r>
              <w:rPr>
                <w:rFonts w:ascii="仿宋_GB2312" w:hAnsi="仿宋_GB2312" w:cs="仿宋_GB2312" w:eastAsia="仿宋_GB2312"/>
                <w:sz w:val="20"/>
              </w:rPr>
              <w:t>G30连霍高速阜寨互通式立交工程路线位于G30连霍高速渭河特大桥西侧桥头以西约600米，采用匝道上跨主线的A型单喇叭方案，与咸阳市高新区规划秦创路相接，新建匝道2023米。立交范围内主线设计速度120公里/小时，采用双向八车道技术标准，路基宽度42米。立交匝道设计速度40公里/小时。其中B、C匝道为单向单车道，路基宽度9.0米；A、D匝道为单向双车道，路基宽度10.5米；E匝道为双向四车道，路基宽地19.5米。桥涵设计汽车荷载采用公路-I级，设计洪水频率桥涵1/100、路基1/100，地震动峰值加速度0.20g。项目预算金额2.28亿元。</w:t>
            </w:r>
          </w:p>
          <w:p>
            <w:pPr>
              <w:pStyle w:val="null3"/>
              <w:jc w:val="both"/>
            </w:pPr>
            <w:r>
              <w:rPr>
                <w:rFonts w:ascii="仿宋_GB2312" w:hAnsi="仿宋_GB2312" w:cs="仿宋_GB2312" w:eastAsia="仿宋_GB2312"/>
                <w:sz w:val="21"/>
                <w:b/>
              </w:rPr>
              <w:t>7、周乾高速：</w:t>
            </w:r>
          </w:p>
          <w:p>
            <w:pPr>
              <w:pStyle w:val="null3"/>
              <w:ind w:firstLine="400"/>
              <w:jc w:val="both"/>
            </w:pPr>
            <w:r>
              <w:rPr>
                <w:rFonts w:ascii="仿宋_GB2312" w:hAnsi="仿宋_GB2312" w:cs="仿宋_GB2312" w:eastAsia="仿宋_GB2312"/>
                <w:sz w:val="20"/>
              </w:rPr>
              <w:t xml:space="preserve">G9908西安都市圈环线周至至乾县高速公路起于周至县西屯镇南与鄠周眉高速相接，终点位于乾县接福银高速，路线全长 </w:t>
            </w:r>
            <w:r>
              <w:rPr>
                <w:rFonts w:ascii="仿宋_GB2312" w:hAnsi="仿宋_GB2312" w:cs="仿宋_GB2312" w:eastAsia="仿宋_GB2312"/>
                <w:sz w:val="20"/>
              </w:rPr>
              <w:t xml:space="preserve">50.436 </w:t>
            </w:r>
            <w:r>
              <w:rPr>
                <w:rFonts w:ascii="仿宋_GB2312" w:hAnsi="仿宋_GB2312" w:cs="仿宋_GB2312" w:eastAsia="仿宋_GB2312"/>
                <w:sz w:val="20"/>
              </w:rPr>
              <w:t>公里。主要工程规模为：全线路基挖方</w:t>
            </w:r>
            <w:r>
              <w:rPr>
                <w:rFonts w:ascii="仿宋_GB2312" w:hAnsi="仿宋_GB2312" w:cs="仿宋_GB2312" w:eastAsia="仿宋_GB2312"/>
                <w:sz w:val="20"/>
              </w:rPr>
              <w:t>1480.3</w:t>
            </w:r>
            <w:r>
              <w:rPr>
                <w:rFonts w:ascii="仿宋_GB2312" w:hAnsi="仿宋_GB2312" w:cs="仿宋_GB2312" w:eastAsia="仿宋_GB2312"/>
                <w:sz w:val="20"/>
              </w:rPr>
              <w:t>千立方米，填方</w:t>
            </w:r>
            <w:r>
              <w:rPr>
                <w:rFonts w:ascii="仿宋_GB2312" w:hAnsi="仿宋_GB2312" w:cs="仿宋_GB2312" w:eastAsia="仿宋_GB2312"/>
                <w:sz w:val="20"/>
              </w:rPr>
              <w:t>5275.6</w:t>
            </w:r>
            <w:r>
              <w:rPr>
                <w:rFonts w:ascii="仿宋_GB2312" w:hAnsi="仿宋_GB2312" w:cs="仿宋_GB2312" w:eastAsia="仿宋_GB2312"/>
                <w:sz w:val="20"/>
              </w:rPr>
              <w:t>千立方米；全线设桥</w:t>
            </w:r>
            <w:r>
              <w:rPr>
                <w:rFonts w:ascii="仿宋_GB2312" w:hAnsi="仿宋_GB2312" w:cs="仿宋_GB2312" w:eastAsia="仿宋_GB2312"/>
                <w:sz w:val="20"/>
              </w:rPr>
              <w:t>6086.1</w:t>
            </w:r>
            <w:r>
              <w:rPr>
                <w:rFonts w:ascii="仿宋_GB2312" w:hAnsi="仿宋_GB2312" w:cs="仿宋_GB2312" w:eastAsia="仿宋_GB2312"/>
                <w:sz w:val="20"/>
              </w:rPr>
              <w:t>米</w:t>
            </w:r>
            <w:r>
              <w:rPr>
                <w:rFonts w:ascii="仿宋_GB2312" w:hAnsi="仿宋_GB2312" w:cs="仿宋_GB2312" w:eastAsia="仿宋_GB2312"/>
                <w:sz w:val="20"/>
              </w:rPr>
              <w:t>/32</w:t>
            </w:r>
            <w:r>
              <w:rPr>
                <w:rFonts w:ascii="仿宋_GB2312" w:hAnsi="仿宋_GB2312" w:cs="仿宋_GB2312" w:eastAsia="仿宋_GB2312"/>
                <w:sz w:val="20"/>
              </w:rPr>
              <w:t>座，其中特大桥</w:t>
            </w:r>
            <w:r>
              <w:rPr>
                <w:rFonts w:ascii="仿宋_GB2312" w:hAnsi="仿宋_GB2312" w:cs="仿宋_GB2312" w:eastAsia="仿宋_GB2312"/>
                <w:sz w:val="20"/>
              </w:rPr>
              <w:t>4540.9</w:t>
            </w:r>
            <w:r>
              <w:rPr>
                <w:rFonts w:ascii="仿宋_GB2312" w:hAnsi="仿宋_GB2312" w:cs="仿宋_GB2312" w:eastAsia="仿宋_GB2312"/>
                <w:sz w:val="20"/>
              </w:rPr>
              <w:t>米</w:t>
            </w:r>
            <w:r>
              <w:rPr>
                <w:rFonts w:ascii="仿宋_GB2312" w:hAnsi="仿宋_GB2312" w:cs="仿宋_GB2312" w:eastAsia="仿宋_GB2312"/>
                <w:sz w:val="20"/>
              </w:rPr>
              <w:t>/2</w:t>
            </w:r>
            <w:r>
              <w:rPr>
                <w:rFonts w:ascii="仿宋_GB2312" w:hAnsi="仿宋_GB2312" w:cs="仿宋_GB2312" w:eastAsia="仿宋_GB2312"/>
                <w:sz w:val="20"/>
              </w:rPr>
              <w:t>座、大桥</w:t>
            </w:r>
            <w:r>
              <w:rPr>
                <w:rFonts w:ascii="仿宋_GB2312" w:hAnsi="仿宋_GB2312" w:cs="仿宋_GB2312" w:eastAsia="仿宋_GB2312"/>
                <w:sz w:val="20"/>
              </w:rPr>
              <w:t>218</w:t>
            </w:r>
            <w:r>
              <w:rPr>
                <w:rFonts w:ascii="仿宋_GB2312" w:hAnsi="仿宋_GB2312" w:cs="仿宋_GB2312" w:eastAsia="仿宋_GB2312"/>
                <w:sz w:val="20"/>
              </w:rPr>
              <w:t>米</w:t>
            </w:r>
            <w:r>
              <w:rPr>
                <w:rFonts w:ascii="仿宋_GB2312" w:hAnsi="仿宋_GB2312" w:cs="仿宋_GB2312" w:eastAsia="仿宋_GB2312"/>
                <w:sz w:val="20"/>
              </w:rPr>
              <w:t>/3</w:t>
            </w:r>
            <w:r>
              <w:rPr>
                <w:rFonts w:ascii="仿宋_GB2312" w:hAnsi="仿宋_GB2312" w:cs="仿宋_GB2312" w:eastAsia="仿宋_GB2312"/>
                <w:sz w:val="20"/>
              </w:rPr>
              <w:t>座、中桥</w:t>
            </w:r>
            <w:r>
              <w:rPr>
                <w:rFonts w:ascii="仿宋_GB2312" w:hAnsi="仿宋_GB2312" w:cs="仿宋_GB2312" w:eastAsia="仿宋_GB2312"/>
                <w:sz w:val="20"/>
              </w:rPr>
              <w:t>1327.2</w:t>
            </w:r>
            <w:r>
              <w:rPr>
                <w:rFonts w:ascii="仿宋_GB2312" w:hAnsi="仿宋_GB2312" w:cs="仿宋_GB2312" w:eastAsia="仿宋_GB2312"/>
                <w:sz w:val="20"/>
              </w:rPr>
              <w:t>米</w:t>
            </w:r>
            <w:r>
              <w:rPr>
                <w:rFonts w:ascii="仿宋_GB2312" w:hAnsi="仿宋_GB2312" w:cs="仿宋_GB2312" w:eastAsia="仿宋_GB2312"/>
                <w:sz w:val="20"/>
              </w:rPr>
              <w:t>/27</w:t>
            </w:r>
            <w:r>
              <w:rPr>
                <w:rFonts w:ascii="仿宋_GB2312" w:hAnsi="仿宋_GB2312" w:cs="仿宋_GB2312" w:eastAsia="仿宋_GB2312"/>
                <w:sz w:val="20"/>
              </w:rPr>
              <w:t>座，桥梁占路线总长的</w:t>
            </w:r>
            <w:r>
              <w:rPr>
                <w:rFonts w:ascii="仿宋_GB2312" w:hAnsi="仿宋_GB2312" w:cs="仿宋_GB2312" w:eastAsia="仿宋_GB2312"/>
                <w:sz w:val="20"/>
              </w:rPr>
              <w:t>12.07%</w:t>
            </w:r>
            <w:r>
              <w:rPr>
                <w:rFonts w:ascii="仿宋_GB2312" w:hAnsi="仿宋_GB2312" w:cs="仿宋_GB2312" w:eastAsia="仿宋_GB2312"/>
                <w:sz w:val="20"/>
              </w:rPr>
              <w:t>；设分离式立交</w:t>
            </w:r>
            <w:r>
              <w:rPr>
                <w:rFonts w:ascii="仿宋_GB2312" w:hAnsi="仿宋_GB2312" w:cs="仿宋_GB2312" w:eastAsia="仿宋_GB2312"/>
                <w:sz w:val="20"/>
              </w:rPr>
              <w:t>31</w:t>
            </w:r>
            <w:r>
              <w:rPr>
                <w:rFonts w:ascii="仿宋_GB2312" w:hAnsi="仿宋_GB2312" w:cs="仿宋_GB2312" w:eastAsia="仿宋_GB2312"/>
                <w:sz w:val="20"/>
              </w:rPr>
              <w:t>座，天桥</w:t>
            </w:r>
            <w:r>
              <w:rPr>
                <w:rFonts w:ascii="仿宋_GB2312" w:hAnsi="仿宋_GB2312" w:cs="仿宋_GB2312" w:eastAsia="仿宋_GB2312"/>
                <w:sz w:val="20"/>
              </w:rPr>
              <w:t>16</w:t>
            </w:r>
            <w:r>
              <w:rPr>
                <w:rFonts w:ascii="仿宋_GB2312" w:hAnsi="仿宋_GB2312" w:cs="仿宋_GB2312" w:eastAsia="仿宋_GB2312"/>
                <w:sz w:val="20"/>
              </w:rPr>
              <w:t>座，涵洞</w:t>
            </w:r>
            <w:r>
              <w:rPr>
                <w:rFonts w:ascii="仿宋_GB2312" w:hAnsi="仿宋_GB2312" w:cs="仿宋_GB2312" w:eastAsia="仿宋_GB2312"/>
                <w:sz w:val="20"/>
              </w:rPr>
              <w:t>37</w:t>
            </w:r>
            <w:r>
              <w:rPr>
                <w:rFonts w:ascii="仿宋_GB2312" w:hAnsi="仿宋_GB2312" w:cs="仿宋_GB2312" w:eastAsia="仿宋_GB2312"/>
                <w:sz w:val="20"/>
              </w:rPr>
              <w:t>道，通道</w:t>
            </w:r>
            <w:r>
              <w:rPr>
                <w:rFonts w:ascii="仿宋_GB2312" w:hAnsi="仿宋_GB2312" w:cs="仿宋_GB2312" w:eastAsia="仿宋_GB2312"/>
                <w:sz w:val="20"/>
              </w:rPr>
              <w:t>83</w:t>
            </w:r>
            <w:r>
              <w:rPr>
                <w:rFonts w:ascii="仿宋_GB2312" w:hAnsi="仿宋_GB2312" w:cs="仿宋_GB2312" w:eastAsia="仿宋_GB2312"/>
                <w:sz w:val="20"/>
              </w:rPr>
              <w:t>处，渡槽</w:t>
            </w:r>
            <w:r>
              <w:rPr>
                <w:rFonts w:ascii="仿宋_GB2312" w:hAnsi="仿宋_GB2312" w:cs="仿宋_GB2312" w:eastAsia="仿宋_GB2312"/>
                <w:sz w:val="20"/>
              </w:rPr>
              <w:t>4</w:t>
            </w:r>
            <w:r>
              <w:rPr>
                <w:rFonts w:ascii="仿宋_GB2312" w:hAnsi="仿宋_GB2312" w:cs="仿宋_GB2312" w:eastAsia="仿宋_GB2312"/>
                <w:sz w:val="20"/>
              </w:rPr>
              <w:t>座。全线采用设计速度</w:t>
            </w:r>
            <w:r>
              <w:rPr>
                <w:rFonts w:ascii="仿宋_GB2312" w:hAnsi="仿宋_GB2312" w:cs="仿宋_GB2312" w:eastAsia="仿宋_GB2312"/>
                <w:sz w:val="20"/>
              </w:rPr>
              <w:t>120km/h标准双向六车道高速公路标准，路基宽度34.5m，桥梁宽度34.1m。</w:t>
            </w:r>
          </w:p>
          <w:p>
            <w:pPr>
              <w:pStyle w:val="null3"/>
              <w:jc w:val="both"/>
            </w:pPr>
            <w:r>
              <w:rPr>
                <w:rFonts w:ascii="仿宋_GB2312" w:hAnsi="仿宋_GB2312" w:cs="仿宋_GB2312" w:eastAsia="仿宋_GB2312"/>
                <w:sz w:val="21"/>
                <w:b/>
              </w:rPr>
              <w:t>8、乾富高速：</w:t>
            </w:r>
          </w:p>
          <w:p>
            <w:pPr>
              <w:pStyle w:val="null3"/>
              <w:ind w:firstLine="400"/>
              <w:jc w:val="both"/>
            </w:pPr>
            <w:r>
              <w:rPr>
                <w:rFonts w:ascii="仿宋_GB2312" w:hAnsi="仿宋_GB2312" w:cs="仿宋_GB2312" w:eastAsia="仿宋_GB2312"/>
                <w:sz w:val="20"/>
              </w:rPr>
              <w:t>G9908西安都市圈环线乾县至富平高速公路</w:t>
            </w:r>
            <w:r>
              <w:rPr>
                <w:rFonts w:ascii="仿宋_GB2312" w:hAnsi="仿宋_GB2312" w:cs="仿宋_GB2312" w:eastAsia="仿宋_GB2312"/>
                <w:sz w:val="20"/>
              </w:rPr>
              <w:t>西起乾县灵源镇西王村，与都市圈环线西段周至至乾县段相接，东至西安市阎良区振兴街道中王村，顺接都市圈环线富平至蓝田段，路线全长</w:t>
            </w:r>
            <w:r>
              <w:rPr>
                <w:rFonts w:ascii="仿宋_GB2312" w:hAnsi="仿宋_GB2312" w:cs="仿宋_GB2312" w:eastAsia="仿宋_GB2312"/>
                <w:sz w:val="20"/>
              </w:rPr>
              <w:t>80.2公里，与福银高速共线10.5公里，新建里程69.7公里。项目拟建桥梁 18169.6 米/31 座（全幅，下同），其中特大桥 11120 米/5 座；大桥 6507.6 米/19 座，中桥 542 米/7座，桥梁占路线的 26.1%。拟设礼泉东（枢纽）、烽火、兴隆（枢纽）、云阳、龙泉（枢纽）、鲁桥（预留枢纽）、西阳、阎良西（枢纽+落地）共 8 处互通式立交。服务区2 处，分别为：礼泉东服务区，位于礼泉县沿村东侧；安吴服务区，位于泾阳县安吴镇雒家堡南侧。分离式立交 20 处，天桥 20 处，通道 144 处（其中桥下带路 45 处），匝道收费站 5 处，养护工区 1 处，交警中队营房 1 处。采用双向六车道高速公路设计标准，新建路线全长69.7公里，设计速度采用120Km/h，路基宽度34.5米。</w:t>
            </w:r>
          </w:p>
          <w:p>
            <w:pPr>
              <w:pStyle w:val="null3"/>
              <w:ind w:firstLine="400"/>
              <w:jc w:val="both"/>
            </w:pPr>
            <w:r>
              <w:rPr>
                <w:rFonts w:ascii="仿宋_GB2312" w:hAnsi="仿宋_GB2312" w:cs="仿宋_GB2312" w:eastAsia="仿宋_GB2312"/>
                <w:sz w:val="20"/>
              </w:rPr>
              <w:t>路线全长</w:t>
            </w:r>
            <w:r>
              <w:rPr>
                <w:rFonts w:ascii="仿宋_GB2312" w:hAnsi="仿宋_GB2312" w:cs="仿宋_GB2312" w:eastAsia="仿宋_GB2312"/>
                <w:sz w:val="20"/>
              </w:rPr>
              <w:t>50.44公里，全线采用双向六车道高速公路标准，设计速度120km/h，路基宽度34.5米。全线共设7处互通式立交，其中枢纽3处，服务型立交4处，分别为四屯枢纽立交（枢纽）、周至西互通立交、大庄枢纽立交（枢纽）、武功西互通立交、贞元互通立交、乾县东互通立交、灵源枢纽立交（枢纽）。设王村服务区1处，收费站管理站5处。设养护工区一处，管理中心1处，交警营房1处，与乾县东管理站合建。项目总投资66.05亿元。</w:t>
            </w:r>
          </w:p>
          <w:p>
            <w:pPr>
              <w:pStyle w:val="null3"/>
              <w:jc w:val="both"/>
            </w:pPr>
            <w:r>
              <w:rPr>
                <w:rFonts w:ascii="仿宋_GB2312" w:hAnsi="仿宋_GB2312" w:cs="仿宋_GB2312" w:eastAsia="仿宋_GB2312"/>
                <w:sz w:val="21"/>
                <w:b/>
              </w:rPr>
              <w:t>9、临潼经高陵至机场：</w:t>
            </w:r>
          </w:p>
          <w:p>
            <w:pPr>
              <w:pStyle w:val="null3"/>
            </w:pPr>
            <w:r>
              <w:rPr>
                <w:rFonts w:ascii="仿宋_GB2312" w:hAnsi="仿宋_GB2312" w:cs="仿宋_GB2312" w:eastAsia="仿宋_GB2312"/>
                <w:sz w:val="20"/>
              </w:rPr>
              <w:t>项目路线全长</w:t>
            </w:r>
            <w:r>
              <w:rPr>
                <w:rFonts w:ascii="仿宋_GB2312" w:hAnsi="仿宋_GB2312" w:cs="仿宋_GB2312" w:eastAsia="仿宋_GB2312"/>
                <w:sz w:val="20"/>
              </w:rPr>
              <w:t>54.61公里，其中新建段长47.31公里（临潼至港务区段长11.57公里，高陵至机场段长35.74公里），港务区至高陵段与京昆高速共线（完全利用）长7.3公里，采用设计速度100公里/小时、路基宽33.5米的双向六车道高速公路标准建设。全线拟设兵马俑枢纽、渭北新城、西安港枢纽、高陵南枢纽、泾高、泾渭、泾河枢纽、泾河西、机场北、太平枢纽共10处互通式立交，设分离式立交2处，天桥12座，通道7道；全线设渭北新城立交连接线1处，长4.13公里（路基宽17米）；全线设养护工区1处，监控通讯分中心1处，设9处匝道收费站（其中新建6处，改建1处，利用2处）。项目总投资148.24亿元。</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人员要求：所有</w:t>
            </w:r>
            <w:r>
              <w:rPr>
                <w:rFonts w:ascii="仿宋_GB2312" w:hAnsi="仿宋_GB2312" w:cs="仿宋_GB2312" w:eastAsia="仿宋_GB2312"/>
                <w:sz w:val="20"/>
              </w:rPr>
              <w:t>项目组团队</w:t>
            </w:r>
            <w:r>
              <w:rPr>
                <w:rFonts w:ascii="仿宋_GB2312" w:hAnsi="仿宋_GB2312" w:cs="仿宋_GB2312" w:eastAsia="仿宋_GB2312"/>
                <w:sz w:val="20"/>
              </w:rPr>
              <w:t>人员均须在</w:t>
            </w:r>
            <w:r>
              <w:rPr>
                <w:rFonts w:ascii="仿宋_GB2312" w:hAnsi="仿宋_GB2312" w:cs="仿宋_GB2312" w:eastAsia="仿宋_GB2312"/>
                <w:sz w:val="20"/>
              </w:rPr>
              <w:t>1965年1月1日后出生；项目负责人和技术负责人所持有的资格证书专业应覆盖道路工程、桥梁隧道工程、交通工程。</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标的名称：2包洋西-镇川等若干高速公路监督检查配合检测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1、韧性提升（陕川界、陕鄂界）：</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1）京昆高速西安至陕川界段安全韧性提升工程（筒车湾至棋盘关段）</w:t>
            </w:r>
          </w:p>
          <w:p>
            <w:pPr>
              <w:pStyle w:val="null3"/>
              <w:ind w:firstLine="400"/>
              <w:jc w:val="both"/>
            </w:pPr>
            <w:r>
              <w:rPr>
                <w:rFonts w:ascii="仿宋_GB2312" w:hAnsi="仿宋_GB2312" w:cs="仿宋_GB2312" w:eastAsia="仿宋_GB2312"/>
                <w:sz w:val="20"/>
              </w:rPr>
              <w:t>G5京昆高速西安至陕川界段是国家高速网络中贯通南北、承东启西的重要大动脉，建设年代早，重载交通占比高，随着水文、地质、气象等外部环境发生较大的不利变化，存在重大自然灾害风险、突发事件风险、构造物性能衰减等风险隐患，亟需提升安全韧性保障运营安全。本项目实施安全韧性提升工程，是交通运行安全提升的需要，是稳定区域交通保障与促进经济发展的需要，对提高路段抵御灾害风险能力、增强区域交通韧性、促进区域经济高质量发展等具有重要意义。</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2）G70福银高速西安至陕鄂界段安全韧性提升工程</w:t>
            </w:r>
          </w:p>
          <w:p>
            <w:pPr>
              <w:pStyle w:val="null3"/>
              <w:ind w:firstLine="400"/>
              <w:jc w:val="both"/>
            </w:pPr>
            <w:r>
              <w:rPr>
                <w:rFonts w:ascii="仿宋_GB2312" w:hAnsi="仿宋_GB2312" w:cs="仿宋_GB2312" w:eastAsia="仿宋_GB2312"/>
                <w:sz w:val="20"/>
              </w:rPr>
              <w:t>G70福银高速西安至陕鄂界段作为连通我国东南、华中与西北地区的交通大动脉，兼具承东启西、贯穿南北的重要功能。本次安全韧性提升工程主要分布在陕西省西安市、商洛市境内，路线起于西安市蓝田县席家河（桩号K1632+285），途经蓝田县、商洛市商州区、山阳县等县（区），最终止于商洛市山阳县漫川关（陕鄂界，桩号K1474+000），全线总长157.48公里，工程造价18.37亿，合同工期24个月。</w:t>
            </w:r>
          </w:p>
          <w:p>
            <w:pPr>
              <w:pStyle w:val="null3"/>
              <w:jc w:val="both"/>
            </w:pPr>
            <w:r>
              <w:rPr>
                <w:rFonts w:ascii="仿宋_GB2312" w:hAnsi="仿宋_GB2312" w:cs="仿宋_GB2312" w:eastAsia="仿宋_GB2312"/>
                <w:sz w:val="20"/>
                <w:b/>
              </w:rPr>
              <w:t>2、洋西：</w:t>
            </w:r>
          </w:p>
          <w:p>
            <w:pPr>
              <w:pStyle w:val="null3"/>
              <w:ind w:firstLine="400"/>
              <w:jc w:val="both"/>
            </w:pPr>
            <w:r>
              <w:rPr>
                <w:rFonts w:ascii="仿宋_GB2312" w:hAnsi="仿宋_GB2312" w:cs="仿宋_GB2312" w:eastAsia="仿宋_GB2312"/>
                <w:sz w:val="20"/>
              </w:rPr>
              <w:t>S27 洋县至西乡高速公路是省级高速洋镇线的重要组成部分，是连接陕西与四川的重要省际通道，路线起于既有京昆高速龙亭互通式立交，改造其为枢纽互通立交后，向东南方向布线，经洋县龙亭镇至界牌村后进入西乡县境内，新建枢纽互通立交与既有十天高速相接。项目路线全长 30.197 公里，采用双向四车道高速公路技术标准，设计速度采用 100 公里/小时，路基宽度26 米；全线共设桥梁 13761.9 米/49 座，其中大桥 13505.9 米/44座，中小桥 256 米/5 座；涵洞 18 道；隧道 1875.5 米/2 座,其中长隧道 1062 米/1 座、中隧道 813.5 米/1 座；设互通式立交 3 座(枢纽立交 2 座、服务型立交 1 座)。</w:t>
            </w:r>
          </w:p>
          <w:p>
            <w:pPr>
              <w:pStyle w:val="null3"/>
              <w:jc w:val="both"/>
            </w:pPr>
            <w:r>
              <w:rPr>
                <w:rFonts w:ascii="仿宋_GB2312" w:hAnsi="仿宋_GB2312" w:cs="仿宋_GB2312" w:eastAsia="仿宋_GB2312"/>
                <w:sz w:val="20"/>
                <w:b/>
              </w:rPr>
              <w:t>3、镇川：</w:t>
            </w:r>
          </w:p>
          <w:p>
            <w:pPr>
              <w:pStyle w:val="null3"/>
              <w:ind w:firstLine="400"/>
              <w:jc w:val="both"/>
            </w:pPr>
            <w:r>
              <w:rPr>
                <w:rFonts w:ascii="仿宋_GB2312" w:hAnsi="仿宋_GB2312" w:cs="仿宋_GB2312" w:eastAsia="仿宋_GB2312"/>
                <w:sz w:val="20"/>
              </w:rPr>
              <w:t>S27 镇巴至陕川界高速公路是省级高速洋镇线的重要组成部分，是连接陕西与四川的重要省际通道，路线起于汉中市镇巴县城北侧泾洋镇小渡坝村，顺接西乡至镇巴高速公路，向西南设线，经长岭镇、黎坝镇，止于红星村，顺接四川省在建的镇巴(川陕界)至广安高速公路。本项目路线全长 32.632 公里，采用双向四车道高速公路技术标准，起点至陈家坡隧道南口段(K49+552.78-K53+120.5)设计速度 80 公里/小时，路基宽度 25.5 米；陈家坡隧道南口至终点段(K53+120.5-K82+18506)设计速度 100 公里/小时，路基宽度 26 米；全线共设桥梁 12557.85 米/30 座，其中特大桥 3202.5 米/2 座、大桥 9181.35 米/26 座、中桥 174 米/2 座;涵洞 8 道；隧道 15120.12 米/9 座，其中特长隧道 8254.85 米/2座、长隧道 4293.85 米/2 座、中隧道 2117.18 米/3 座、短隧道 454.24 米/2 座；设镇巴(A、D 匝道)、镇巴南互通式立交 2 处，新建黎坝服务区(设置出入口)1 处。</w:t>
            </w:r>
          </w:p>
          <w:p>
            <w:pPr>
              <w:pStyle w:val="null3"/>
              <w:jc w:val="both"/>
            </w:pPr>
            <w:r>
              <w:rPr>
                <w:rFonts w:ascii="仿宋_GB2312" w:hAnsi="仿宋_GB2312" w:cs="仿宋_GB2312" w:eastAsia="仿宋_GB2312"/>
                <w:sz w:val="20"/>
                <w:b/>
              </w:rPr>
              <w:t>4、关中环线眉县经岐山至凤翔公路：</w:t>
            </w:r>
          </w:p>
          <w:p>
            <w:pPr>
              <w:pStyle w:val="null3"/>
              <w:ind w:firstLine="400"/>
              <w:jc w:val="both"/>
            </w:pPr>
            <w:r>
              <w:rPr>
                <w:rFonts w:ascii="仿宋_GB2312" w:hAnsi="仿宋_GB2312" w:cs="仿宋_GB2312" w:eastAsia="仿宋_GB2312"/>
                <w:sz w:val="20"/>
              </w:rPr>
              <w:t>关中环线眉县经岐山至凤翔高速公路。关中环线眉县经岐山至凤翔公路工程路线起于眉县汤峪镇豆家河村，自东向西连接鄠周眉高速、眉太高速、连霍高速、合凤高速等区域国省干线高速公路，同时与</w:t>
            </w:r>
            <w:r>
              <w:rPr>
                <w:rFonts w:ascii="仿宋_GB2312" w:hAnsi="仿宋_GB2312" w:cs="仿宋_GB2312" w:eastAsia="仿宋_GB2312"/>
                <w:sz w:val="20"/>
              </w:rPr>
              <w:t>G342、G310、S104等国省道相接，关中环线的建设将加强宝鸡东部、北部与关中地区的联系，提高大西安国家中心城市的辐射作用，有效改善投资环境，对吸引外资和实施西部大开发的经济战略具有重要意义。关中环线眉县经岐山至凤翔公路路线全长73.74公里，设计速度100公里/小时，按双向四车道标准建设，路基宽26米。全线设9处互通立交,立交连接线1.36公里；全线设匝道收费站7处，服务区2处，管理中心1处，养护工区2处。设桥梁11725米/49座，其中特大桥3918米/1座、大桥5768米/16座，中小桥2038米/32座。设隧道1847米/1座。</w:t>
            </w:r>
          </w:p>
          <w:p>
            <w:pPr>
              <w:pStyle w:val="null3"/>
              <w:ind w:firstLine="400"/>
              <w:jc w:val="both"/>
            </w:pPr>
            <w:r>
              <w:rPr>
                <w:rFonts w:ascii="仿宋_GB2312" w:hAnsi="仿宋_GB2312" w:cs="仿宋_GB2312" w:eastAsia="仿宋_GB2312"/>
                <w:sz w:val="21"/>
              </w:rPr>
              <w:t>5、</w:t>
            </w:r>
            <w:r>
              <w:rPr>
                <w:rFonts w:ascii="仿宋_GB2312" w:hAnsi="仿宋_GB2312" w:cs="仿宋_GB2312" w:eastAsia="仿宋_GB2312"/>
                <w:sz w:val="21"/>
                <w:b/>
              </w:rPr>
              <w:t>韩黄：</w:t>
            </w:r>
          </w:p>
          <w:p>
            <w:pPr>
              <w:pStyle w:val="null3"/>
              <w:ind w:firstLine="400"/>
              <w:jc w:val="both"/>
            </w:pPr>
            <w:r>
              <w:rPr>
                <w:rFonts w:ascii="仿宋_GB2312" w:hAnsi="仿宋_GB2312" w:cs="仿宋_GB2312" w:eastAsia="仿宋_GB2312"/>
                <w:sz w:val="20"/>
              </w:rPr>
              <w:t>韩城至黄龙高速总里程</w:t>
            </w:r>
            <w:r>
              <w:rPr>
                <w:rFonts w:ascii="仿宋_GB2312" w:hAnsi="仿宋_GB2312" w:cs="仿宋_GB2312" w:eastAsia="仿宋_GB2312"/>
                <w:sz w:val="20"/>
              </w:rPr>
              <w:t>73.46公里，四车道高速公路标准。设计时速80公里/小时的，路基宽度25.5米。桥梁全长21482米，占总里程的29.24%，涵洞124道；隧道全长16382米，占总里程的22.30%，桥梁和隧道共占总里程的51.54%。项目路线起于韩城市北西庄镇薛庄村，设枢纽立交与京昆高速相接，向西沿当党家村、上干谷村、许庄村北侧设线，在许庄村北侧设寺庄河互通式立交与韩城市拟建的城市道路相接，路线至马沟渠沿山腰向南侧设线，在庙底村设板桥互通式立交与国道327相接，路线沿澽水河向西设线，经马家湾至白马滩镇，设白马滩互通式立交与国道327相接，路线向西南沿北川设线，在花石崖沟预留马场互通式立交，至沟头设3600米特长隧道穿越孟家山至二道窑，设枢纽立交与拟建的榆蓝高速相接。</w:t>
            </w:r>
          </w:p>
          <w:p>
            <w:pPr>
              <w:pStyle w:val="null3"/>
              <w:jc w:val="both"/>
            </w:pPr>
            <w:r>
              <w:rPr>
                <w:rFonts w:ascii="仿宋_GB2312" w:hAnsi="仿宋_GB2312" w:cs="仿宋_GB2312" w:eastAsia="仿宋_GB2312"/>
                <w:sz w:val="20"/>
                <w:b/>
              </w:rPr>
              <w:t>6、洛南至卢氏（陕豫界）高速公路：</w:t>
            </w:r>
          </w:p>
          <w:p>
            <w:pPr>
              <w:pStyle w:val="null3"/>
              <w:ind w:firstLine="400"/>
              <w:jc w:val="both"/>
            </w:pPr>
            <w:r>
              <w:rPr>
                <w:rFonts w:ascii="仿宋_GB2312" w:hAnsi="仿宋_GB2312" w:cs="仿宋_GB2312" w:eastAsia="仿宋_GB2312"/>
                <w:sz w:val="20"/>
              </w:rPr>
              <w:t>洛南至卢氏（陕豫界）高速公路路线起于商洛市洛南县永丰镇李村，与已建成的澄商高速公路商州至洛南段相接，止于洛南县灵口镇陕豫界，与在建的卢氏至洛南高速公路河南段相接，全长</w:t>
            </w:r>
            <w:r>
              <w:rPr>
                <w:rFonts w:ascii="仿宋_GB2312" w:hAnsi="仿宋_GB2312" w:cs="仿宋_GB2312" w:eastAsia="仿宋_GB2312"/>
                <w:sz w:val="20"/>
              </w:rPr>
              <w:t>54.371公里。主线采用双向四车道高速公路技术标准建设，设计速度100公里／小时，路基宽度26米。主要包括：桥梁21329.9米/68座，隧道1940.7米/3座，5处互通式立交（含预留1处），监控分中心1处，匝道收费站4处，养护工区1处，服务区1处，停车区1处。项目批复概算73.95亿元，建设工期3年，计划2025年建成通车。</w:t>
            </w:r>
          </w:p>
          <w:p>
            <w:pPr>
              <w:pStyle w:val="null3"/>
              <w:jc w:val="both"/>
            </w:pPr>
            <w:r>
              <w:rPr>
                <w:rFonts w:ascii="仿宋_GB2312" w:hAnsi="仿宋_GB2312" w:cs="仿宋_GB2312" w:eastAsia="仿宋_GB2312"/>
                <w:sz w:val="20"/>
                <w:b/>
              </w:rPr>
              <w:t>7、吴起至华池高速公路：</w:t>
            </w:r>
          </w:p>
          <w:p>
            <w:pPr>
              <w:pStyle w:val="null3"/>
              <w:ind w:firstLine="400"/>
              <w:jc w:val="both"/>
            </w:pPr>
            <w:r>
              <w:rPr>
                <w:rFonts w:ascii="仿宋_GB2312" w:hAnsi="仿宋_GB2312" w:cs="仿宋_GB2312" w:eastAsia="仿宋_GB2312"/>
                <w:sz w:val="20"/>
              </w:rPr>
              <w:t>吴华高速公路为省级高速公路定汉线吴定高速南延段，途经吴起、志丹两县，建成后将和甘肃境内打庆高速以及陕西建成的吴定高速、福银高速连通，成为陕西西部又一条南北高速大通道，项目建设里程</w:t>
            </w:r>
            <w:r>
              <w:rPr>
                <w:rFonts w:ascii="仿宋_GB2312" w:hAnsi="仿宋_GB2312" w:cs="仿宋_GB2312" w:eastAsia="仿宋_GB2312"/>
                <w:sz w:val="20"/>
              </w:rPr>
              <w:t>47.563公里，全线设吴起东（枢纽）、吴起南、白豹3处互通立交、设吴起南服务区1处，同步建设吴起南互通式立交连接线9.55公里。采用双向四车道高速公路标准，设计速度采用80公里/小时，预算投资52.3亿元。路基填方306万方、挖方1435万方，桥梁21.545km/76座（特大桥2461m/2座），隧道2232米/3座，桥隧比49.99%；全线设互通立交3处、分离式立交14处、天桥1座,设服务区1处、匝道收费站2处；吴起南互通连接线9.55km。</w:t>
            </w:r>
          </w:p>
          <w:p>
            <w:pPr>
              <w:pStyle w:val="null3"/>
              <w:jc w:val="both"/>
            </w:pPr>
            <w:r>
              <w:rPr>
                <w:rFonts w:ascii="仿宋_GB2312" w:hAnsi="仿宋_GB2312" w:cs="仿宋_GB2312" w:eastAsia="仿宋_GB2312"/>
                <w:sz w:val="20"/>
                <w:b/>
              </w:rPr>
              <w:t>8、大柳塔至锦界高速公路暨包茂联络线：</w:t>
            </w:r>
          </w:p>
          <w:p>
            <w:pPr>
              <w:pStyle w:val="null3"/>
              <w:ind w:firstLine="400"/>
              <w:jc w:val="both"/>
            </w:pPr>
            <w:r>
              <w:rPr>
                <w:rFonts w:ascii="仿宋_GB2312" w:hAnsi="仿宋_GB2312" w:cs="仿宋_GB2312" w:eastAsia="仿宋_GB2312"/>
                <w:sz w:val="20"/>
              </w:rPr>
              <w:t>项目路线总长</w:t>
            </w:r>
            <w:r>
              <w:rPr>
                <w:rFonts w:ascii="仿宋_GB2312" w:hAnsi="仿宋_GB2312" w:cs="仿宋_GB2312" w:eastAsia="仿宋_GB2312"/>
                <w:sz w:val="20"/>
              </w:rPr>
              <w:t>87.716公里。其中，大柳塔至锦界高速公路起自神木市大柳塔镇朱盖沟，止于锦界镇枣稍沟村，与神佳米高速锦界枢纽互通相接，路线长约62.057公里，同步建设大柳塔连接线1.6公里。全线设孙家岔、中鸡、神木西站、瑶镇、锦界北共5处互通式立交，大柳塔连接线设敏盖兔（枢纽）互通式立交1处，在补花兔南侧设置神木西服务区1处。包茂联络线起于神木市锦界镇活力害兔村，设枢纽互通与大柳塔至锦界高速公路相接，止于尔林兔镇葫芦素村，设枢纽互通与包茂高速公路相接，路线长25.659公里，全线设纳林采当（枢纽）、尔林兔、葫芦素（枢纽）互通式立交3处。</w:t>
            </w:r>
          </w:p>
          <w:p>
            <w:pPr>
              <w:pStyle w:val="null3"/>
              <w:ind w:firstLine="400"/>
              <w:jc w:val="both"/>
            </w:pPr>
            <w:r>
              <w:rPr>
                <w:rFonts w:ascii="仿宋_GB2312" w:hAnsi="仿宋_GB2312" w:cs="仿宋_GB2312" w:eastAsia="仿宋_GB2312"/>
                <w:sz w:val="20"/>
              </w:rPr>
              <w:t>全线采用双向四车道高速公路技术标准，其中起点至中鸡互通立交段（</w:t>
            </w:r>
            <w:r>
              <w:rPr>
                <w:rFonts w:ascii="仿宋_GB2312" w:hAnsi="仿宋_GB2312" w:cs="仿宋_GB2312" w:eastAsia="仿宋_GB2312"/>
                <w:sz w:val="20"/>
              </w:rPr>
              <w:t>K1+600～K22+800）设计速度采用100公里/小时、路基宽度26米；中鸡互通立交至终点段（K22+800～K63+462.051）及包茂联络线设计速度采用120公里/小时，路基宽度27米。全线采用沥青混凝土路面，桥涵设计汽车荷载采用公路-I级，设计洪水频率特大桥1/300，其余桥涵及路基1/100,地震动峰值加速度为0.05g，其他技术指标按《公路工程技术标准》（JTG B01-2014）执行。大柳塔连接线采用一级公路技术标准，设计速度60公里/小时，路基宽度24.5米。</w:t>
            </w:r>
          </w:p>
          <w:p>
            <w:pPr>
              <w:pStyle w:val="null3"/>
              <w:jc w:val="both"/>
            </w:pPr>
            <w:r>
              <w:rPr>
                <w:rFonts w:ascii="仿宋_GB2312" w:hAnsi="仿宋_GB2312" w:cs="仿宋_GB2312" w:eastAsia="仿宋_GB2312"/>
                <w:sz w:val="20"/>
                <w:b/>
              </w:rPr>
              <w:t>9、宝鸡北</w:t>
            </w:r>
            <w:r>
              <w:rPr>
                <w:rFonts w:ascii="仿宋_GB2312" w:hAnsi="仿宋_GB2312" w:cs="仿宋_GB2312" w:eastAsia="仿宋_GB2312"/>
                <w:sz w:val="20"/>
                <w:b/>
              </w:rPr>
              <w:t>麟游至法门寺高速公路</w:t>
            </w:r>
            <w:r>
              <w:rPr>
                <w:rFonts w:ascii="仿宋_GB2312" w:hAnsi="仿宋_GB2312" w:cs="仿宋_GB2312" w:eastAsia="仿宋_GB2312"/>
                <w:sz w:val="20"/>
                <w:b/>
              </w:rPr>
              <w:t>：</w:t>
            </w:r>
          </w:p>
          <w:p>
            <w:pPr>
              <w:pStyle w:val="null3"/>
              <w:ind w:firstLine="400"/>
              <w:jc w:val="both"/>
            </w:pPr>
            <w:r>
              <w:rPr>
                <w:rFonts w:ascii="仿宋_GB2312" w:hAnsi="仿宋_GB2312" w:cs="仿宋_GB2312" w:eastAsia="仿宋_GB2312"/>
                <w:sz w:val="20"/>
              </w:rPr>
              <w:t>麟游至法门寺高速公路是荷宝高速和连霍髙速的联络线，补充了银昆高速</w:t>
            </w:r>
            <w:r>
              <w:rPr>
                <w:rFonts w:ascii="仿宋_GB2312" w:hAnsi="仿宋_GB2312" w:cs="仿宋_GB2312" w:eastAsia="仿宋_GB2312"/>
                <w:sz w:val="20"/>
              </w:rPr>
              <w:t>(G85) 和福银高速(G70)之间南北向的高速路网，串联了法门寺、九成宫、太白山、彬县大佛寺等旅游胜地大环线，在宝鸡东北部地区形成新的南下运输大通道，对构建完善的区域高速公路网，打通麟游县交通运输瓶颈，早日实现“县县通高速”目标，进一步促进县域经济追赶超越、转型升级，打造关天副中心、建设最具幸福感城市具有十分重要的作用。本项目起于麟游县城东侧县北河老庄村，设石鼓峡枢纽互通式立交与在建国家高速荷宝线（G3511）旬邑至凤翔高速公路衔接，之后向南沿澄水河、漆水河设线，设石臼山长隧道和野河山特长隧道穿越安舒庄、野河两个自然保护区后向南经鲁马、南阳、柳村、西龙村，于建和村西侧上跨关中环线，向南下穿拟建西法城际铁路，经众和村后设桥梁跨过信邑水库，向南经过小留村，路线全长 46.333 公里。设计时速100公里/小时，路基宽度26米。全线设互通式立交5处，服务区1处，连接线1处。全线共设桥梁7570米/30座，其中特大桥1207米/3座，大桥5702.5米/18座，设隧道10967m/2座，占路线总长23.7%，其中特长隧道8128.5米/1座，长隧道2838.5米/1座。项目投资预算52.57亿元，计划建设工期四年。</w:t>
            </w:r>
          </w:p>
          <w:p>
            <w:pPr>
              <w:pStyle w:val="null3"/>
              <w:jc w:val="both"/>
            </w:pPr>
            <w:r>
              <w:rPr>
                <w:rFonts w:ascii="仿宋_GB2312" w:hAnsi="仿宋_GB2312" w:cs="仿宋_GB2312" w:eastAsia="仿宋_GB2312"/>
                <w:sz w:val="20"/>
                <w:b/>
              </w:rPr>
              <w:t>10、海则滩立交：</w:t>
            </w:r>
          </w:p>
          <w:p>
            <w:pPr>
              <w:pStyle w:val="null3"/>
              <w:ind w:firstLine="400"/>
              <w:jc w:val="both"/>
            </w:pPr>
            <w:r>
              <w:rPr>
                <w:rFonts w:ascii="仿宋_GB2312" w:hAnsi="仿宋_GB2312" w:cs="仿宋_GB2312" w:eastAsia="仿宋_GB2312"/>
                <w:sz w:val="20"/>
              </w:rPr>
              <w:t>G65包茂高速靖边海则滩互通式立交工程拟建于榆林市靖边县海则滩镇东侧，采用匝道下穿包茂高速A型单喇叭方案，立交范围内主线设计速度100km/h，双向四车道技术标准，路基宽度35米。立交匝道设计速度40公里/小时。新建桥梁84米/2座(全幅)，涵洞5道。新建匝道收费站1处(车道采用4入5出)，收费站房建区占地9亩，建筑面积为1775平方米。</w:t>
            </w:r>
          </w:p>
          <w:p>
            <w:pPr>
              <w:pStyle w:val="null3"/>
              <w:ind w:firstLine="400"/>
              <w:jc w:val="both"/>
            </w:pPr>
            <w:r>
              <w:rPr>
                <w:rFonts w:ascii="仿宋_GB2312" w:hAnsi="仿宋_GB2312" w:cs="仿宋_GB2312" w:eastAsia="仿宋_GB2312"/>
                <w:sz w:val="20"/>
              </w:rPr>
              <w:t>海则滩立交用地</w:t>
            </w:r>
            <w:r>
              <w:rPr>
                <w:rFonts w:ascii="仿宋_GB2312" w:hAnsi="仿宋_GB2312" w:cs="仿宋_GB2312" w:eastAsia="仿宋_GB2312"/>
                <w:sz w:val="20"/>
              </w:rPr>
              <w:t>216.2亩，批复建安费为10763.73万元。本次招标范围为 G65 包茂高速靖边海则滩互通式立交工程施工，主要工程内容包括路基、路面、桥涵、房建（含收费大棚）、机电、交安、绿化等所有工程施工及缺陷责任期修复。计划工期 18 个月，缺陷责任期 24 个月。实际开工时间、工期以发包人要求为准。</w:t>
            </w:r>
          </w:p>
          <w:p>
            <w:pPr>
              <w:pStyle w:val="null3"/>
              <w:jc w:val="both"/>
            </w:pPr>
            <w:r>
              <w:rPr>
                <w:rFonts w:ascii="仿宋_GB2312" w:hAnsi="仿宋_GB2312" w:cs="仿宋_GB2312" w:eastAsia="仿宋_GB2312"/>
                <w:sz w:val="20"/>
                <w:b/>
              </w:rPr>
              <w:t>11、镇安北立交：</w:t>
            </w:r>
          </w:p>
          <w:p>
            <w:pPr>
              <w:pStyle w:val="null3"/>
              <w:ind w:firstLine="400"/>
              <w:jc w:val="both"/>
            </w:pPr>
            <w:r>
              <w:rPr>
                <w:rFonts w:ascii="仿宋_GB2312" w:hAnsi="仿宋_GB2312" w:cs="仿宋_GB2312" w:eastAsia="仿宋_GB2312"/>
                <w:sz w:val="20"/>
              </w:rPr>
              <w:t>拟建镇安北立交布设于镇安县回龙镇青牛湾附近的乾佑河河漫滩上，沿河沟道狭窄，两侧均为陡峭山坡。为减少对乾佑河行洪的影响，立交于清坪隧道北侧采用两条半直连匝道，实现西安方向半互通功能，立交受水位限制，匝道上跨主线，出收费站后匝道顺应主流方向与</w:t>
            </w:r>
            <w:r>
              <w:rPr>
                <w:rFonts w:ascii="仿宋_GB2312" w:hAnsi="仿宋_GB2312" w:cs="仿宋_GB2312" w:eastAsia="仿宋_GB2312"/>
                <w:sz w:val="20"/>
              </w:rPr>
              <w:t>G211 成 T 型平面交叉，便于过境车辆、周边群众使用，缓解镇安县城交通拥堵。</w:t>
            </w:r>
          </w:p>
          <w:p>
            <w:pPr>
              <w:pStyle w:val="null3"/>
              <w:ind w:firstLine="400"/>
              <w:jc w:val="both"/>
            </w:pPr>
            <w:r>
              <w:rPr>
                <w:rFonts w:ascii="仿宋_GB2312" w:hAnsi="仿宋_GB2312" w:cs="仿宋_GB2312" w:eastAsia="仿宋_GB2312"/>
                <w:sz w:val="20"/>
              </w:rPr>
              <w:t>立交向南距规划的枣园枢纽立交（包茂高速</w:t>
            </w:r>
            <w:r>
              <w:rPr>
                <w:rFonts w:ascii="仿宋_GB2312" w:hAnsi="仿宋_GB2312" w:cs="仿宋_GB2312" w:eastAsia="仿宋_GB2312"/>
                <w:sz w:val="20"/>
              </w:rPr>
              <w:t>-丹宁高速）约 4 公里，距离既有镇安立交约 7 公里，向北距柞水东枢纽立交（包茂高速-柞山高速）15 公里。拟建立交采用半直连式西安方向半互通方案，匝道全长 1256 米，匝道桥 544 米。设匝道收费站 1 处（收费站 3 入 3 出，入口设置 ETC 车道 1 道，出口设置 ETC 车道 1道），项目占地 101.56 亩（新增占地 55.31 亩）。</w:t>
            </w:r>
          </w:p>
          <w:p>
            <w:pPr>
              <w:pStyle w:val="null3"/>
              <w:ind w:firstLine="400"/>
              <w:jc w:val="both"/>
            </w:pPr>
            <w:r>
              <w:rPr>
                <w:rFonts w:ascii="仿宋_GB2312" w:hAnsi="仿宋_GB2312" w:cs="仿宋_GB2312" w:eastAsia="仿宋_GB2312"/>
                <w:sz w:val="20"/>
                <w:b/>
              </w:rPr>
              <w:t>12、安子：</w:t>
            </w:r>
          </w:p>
          <w:p>
            <w:pPr>
              <w:pStyle w:val="null3"/>
            </w:pPr>
            <w:r>
              <w:rPr>
                <w:rFonts w:ascii="仿宋_GB2312" w:hAnsi="仿宋_GB2312" w:cs="仿宋_GB2312" w:eastAsia="仿宋_GB2312"/>
                <w:sz w:val="20"/>
              </w:rPr>
              <w:t>子长至安塞高速公路，路线全长</w:t>
            </w:r>
            <w:r>
              <w:rPr>
                <w:rFonts w:ascii="仿宋_GB2312" w:hAnsi="仿宋_GB2312" w:cs="仿宋_GB2312" w:eastAsia="仿宋_GB2312"/>
                <w:sz w:val="20"/>
              </w:rPr>
              <w:t>59.48公里，子长东至子长西段（14.77公里）采用设计速度80km/h、路基宽度25.5米的双向四车道高速公路标准，子长西至龙安段（44.71公里）采用设计速度100km/h、路基宽度26米的双向四车道高速公路标准。全线共设子长东、子长西、安定、寺湾、龙安（枢纽）5处互通式立交，服务区1处，匝道收费站3处。项目投资估算为91.42亿元。</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人员要求：所有</w:t>
            </w:r>
            <w:r>
              <w:rPr>
                <w:rFonts w:ascii="仿宋_GB2312" w:hAnsi="仿宋_GB2312" w:cs="仿宋_GB2312" w:eastAsia="仿宋_GB2312"/>
                <w:sz w:val="20"/>
              </w:rPr>
              <w:t>项目组团队</w:t>
            </w:r>
            <w:r>
              <w:rPr>
                <w:rFonts w:ascii="仿宋_GB2312" w:hAnsi="仿宋_GB2312" w:cs="仿宋_GB2312" w:eastAsia="仿宋_GB2312"/>
                <w:sz w:val="20"/>
              </w:rPr>
              <w:t>人员均须在</w:t>
            </w:r>
            <w:r>
              <w:rPr>
                <w:rFonts w:ascii="仿宋_GB2312" w:hAnsi="仿宋_GB2312" w:cs="仿宋_GB2312" w:eastAsia="仿宋_GB2312"/>
                <w:sz w:val="20"/>
              </w:rPr>
              <w:t>1965年1月1日后出生；项目负责人和技术负责人所持有的资格证书专业应覆盖道路工程、桥梁隧道工程、交通工程。</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自合同签订之日起至检验验收合格之日止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自合同签订之日起至检验验收合格之日止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服务期满经甲方验收合格后，确定项目完成。</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合同生效且乙方进场开展工作后10日，经双方协商甲方视工作开展具体情况和服务完成进度向乙方支付合同金额，支付前乙方应提供正式发票 ，达到付款条件起 10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合同生效且乙方进场开展工作后10日，经双方协商甲方视工作开展具体情况和服务完成进度向乙方支付合同金额，支付前乙方应提供正式发票 ，达到付款条件起 10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为保障政府采购电子化交易平台项目实施，供应商需要在线提交所有通过电子化交易平台实施的政府采购项目的响应文件，同时，成交单位在领取成交通知书时线下提交响应文件正本壹套、副本壹套、电子版贰套（U盘贰套标明供应商名称，单独密封）。且提供的响应文件纸质版与电子版必须与在陕西省政府采购综合管理平台项目电子化交易系统上提交的电子响应文件内容一致，若电子化响应文件与纸质响应文件不一致的，以电子化响应文件为准。线下递交文件地点：陕西省西安市唐延路3号唐延国际中心AB区8楼。 （2）如响应文件中融资相关内容与新政策要求有出入，按照最新要求执行。 （3）关于公路水运工程试验检测师证书说明：新版证书专业为道路工程、桥梁隧道工程、交通工程；旧版证书专业为材料、公路、桥梁、隧道、交通安全设施、机电工程， 其中新版道路工程专业等同于旧版公路、材料 2 个专业，新版桥梁隧道工程等同于旧版桥梁、隧道 2 个专业，新版交通工程专业等同于旧版交通安全设施、机电工程 2 个专业。 满足要求的旧版公路工程试验检测资格证书视为有效。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提供具有经审计资质单位出具的2024年度财务报告或供应商开标日前6个月内基本存款账户银行出具的资信证明（附基本存款账户开户许可证或加盖银行章的基本存款账户信息）。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提供磋商截止时间前6个月内任意时段已缴纳的纳税证明或完税证明和已缴存的社会保障资金缴费证明或参保证明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具有履行本合同所必需的设备和专业技术能力的书面声明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法定代表人直接参加磋商的，须提供法定代表人身份证明（法人身份证原件备查）；法定代表人授权代表参加磋商的，须提供法定代表人授权委托书（授权代表身份证原件备查）。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具备公路工程甲级资质证书或公路工程综合甲级等级证书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具有相关专业高级或以上技术职称；持有交通运输部颁发的试验检测工程师证书；担任过新建或改扩建高速公路项目监督检查配合检测服务项目的项目负责人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应满足道路工程、桥梁隧道工程、交通工程三项中任意两项）；担任过新建或改扩建高速公路项目监督检查配合检测服务项目的技术负责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提供具有经审计资质单位出具的2024年度财务报告或供应商开标日前6个月内基本存款账户银行出具的资信证明（附基本存款账户开户许可证或加盖银行章的基本存款账户信息）。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提供磋商截止时间前6个月内任意时段已缴纳的纳税证明或完税证明和已缴存的社会保障资金缴费证明或参保证明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具有履行本合同所必需的设备和专业技术能力的书面声明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法定代表人直接参加磋商的，须提供法定代表人身份证明（法人身份证原件备查）；法定代表人授权代表参加磋商的，须提供法定代表人授权委托书（授权代表身份证原件备查）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具备公路工程甲级资质证书或公路工程综合甲级等级证书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具有相关专业高级或以上技术职称；持有交通运输部颁发的试验检测工程师证书；担任过新建或改扩建高速公路项目监督检查配合检测服务项目的项目负责人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应满足道路工程、桥梁隧道工程、交通工程三项中任意两项）；担任过新建或改扩建高速公路项目监督检查配合检测服务项目的技术负责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费用组成明细表-1包.docx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 (2）不满足本磋商文件中“服务期限、服务地点、采购资金的支付方式及约定”的实质性条款要求的； (3）文件有效期不足的或无有效期的； (4）法律法规和磋商文件规定的其他无效情形。</w:t>
            </w:r>
          </w:p>
        </w:tc>
        <w:tc>
          <w:tcPr>
            <w:tcW w:type="dxa" w:w="1661"/>
          </w:tcPr>
          <w:p>
            <w:pPr>
              <w:pStyle w:val="null3"/>
            </w:pPr>
            <w:r>
              <w:rPr>
                <w:rFonts w:ascii="仿宋_GB2312" w:hAnsi="仿宋_GB2312" w:cs="仿宋_GB2312" w:eastAsia="仿宋_GB2312"/>
              </w:rPr>
              <w:t>响应文件封面 政府采购供应商拒绝政府采购领域商业贿赂承诺书.docx 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 费用组成明细表-2包.docx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 (2）不满足本磋商文件中“服务期限、服务地点、采购资金的支付方式及约定”的实质性条款要求的； (3）文件有效期不足的或无有效期的； (4）法律法规和磋商文件规定的其他无效情形。</w:t>
            </w:r>
          </w:p>
        </w:tc>
        <w:tc>
          <w:tcPr>
            <w:tcW w:type="dxa" w:w="1661"/>
          </w:tcPr>
          <w:p>
            <w:pPr>
              <w:pStyle w:val="null3"/>
            </w:pPr>
            <w:r>
              <w:rPr>
                <w:rFonts w:ascii="仿宋_GB2312" w:hAnsi="仿宋_GB2312" w:cs="仿宋_GB2312" w:eastAsia="仿宋_GB2312"/>
              </w:rPr>
              <w:t>响应文件封面 政府采购供应商拒绝政府采购领域商业贿赂承诺书.docx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每增加1个近5年（2021年至今），新建或改扩建高速公路项目监督检查配合检测服务项目业绩得3分，最高得9分。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每增加1个近5年（2021年至今），新建或改扩建高速公路项目监督检查配合检测服务项目业绩得3分，最高得9分。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参加本项目的检测工程师每人得1分，检测员每名得0.5分 ，最多得10分。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每提供1个近5年（2021年至今），独立完成过新建或改扩建高速公路项目监督检查配合检测服务的工作业绩得3分，业绩中含长度≥3000m隧道的监督检查配合检测得4分，最高得10分。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竣工验收质量鉴定服务总体计划</w:t>
            </w:r>
          </w:p>
        </w:tc>
        <w:tc>
          <w:tcPr>
            <w:tcW w:type="dxa" w:w="2492"/>
          </w:tcPr>
          <w:p>
            <w:pPr>
              <w:pStyle w:val="null3"/>
            </w:pPr>
            <w:r>
              <w:rPr>
                <w:rFonts w:ascii="仿宋_GB2312" w:hAnsi="仿宋_GB2312" w:cs="仿宋_GB2312" w:eastAsia="仿宋_GB2312"/>
              </w:rPr>
              <w:t>竣工验收质量鉴定服务总体计划0-7分：工作部署及时间安排清楚、详细，考虑周全完整、切实可行，完全满足项目实施需求的得（5-7]分；工作计划安排比较合理、详细，具有可行性得（3-5]分；工作安排计划欠缺，方案措施存在部分漏项或缺陷得（0-3]分；未提供不得分。 注：评审标准中“（、）”表示不包含此整数、“[、]”表示包含此整数。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竣工验收质量鉴定服务组织机构及管理措施</w:t>
            </w:r>
          </w:p>
        </w:tc>
        <w:tc>
          <w:tcPr>
            <w:tcW w:type="dxa" w:w="2492"/>
          </w:tcPr>
          <w:p>
            <w:pPr>
              <w:pStyle w:val="null3"/>
            </w:pPr>
            <w:r>
              <w:rPr>
                <w:rFonts w:ascii="仿宋_GB2312" w:hAnsi="仿宋_GB2312" w:cs="仿宋_GB2312" w:eastAsia="仿宋_GB2312"/>
              </w:rPr>
              <w:t>竣工验收质量鉴定服务组织机构及管理措施0-7分：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竣工验收质量鉴定服务目标、基本思路、方法和流程</w:t>
            </w:r>
          </w:p>
        </w:tc>
        <w:tc>
          <w:tcPr>
            <w:tcW w:type="dxa" w:w="2492"/>
          </w:tcPr>
          <w:p>
            <w:pPr>
              <w:pStyle w:val="null3"/>
            </w:pPr>
            <w:r>
              <w:rPr>
                <w:rFonts w:ascii="仿宋_GB2312" w:hAnsi="仿宋_GB2312" w:cs="仿宋_GB2312" w:eastAsia="仿宋_GB2312"/>
              </w:rPr>
              <w:t>竣工验收质量鉴定服务目标、基本思路、方法和流程0-7分： 总体思路表达清晰、严谨、合理，思路科学合理先进的得（5-7]分；思路表述比较清晰，不够严谨，思路比较科学合理的得（3-5]分； 思路内容混乱，计划理念差的得（0-3]分；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本工程竣工验收质量鉴定实施方案与技术措施</w:t>
            </w:r>
          </w:p>
        </w:tc>
        <w:tc>
          <w:tcPr>
            <w:tcW w:type="dxa" w:w="2492"/>
          </w:tcPr>
          <w:p>
            <w:pPr>
              <w:pStyle w:val="null3"/>
            </w:pPr>
            <w:r>
              <w:rPr>
                <w:rFonts w:ascii="仿宋_GB2312" w:hAnsi="仿宋_GB2312" w:cs="仿宋_GB2312" w:eastAsia="仿宋_GB2312"/>
              </w:rPr>
              <w:t>本工程竣工验收质量鉴定实施方案与技术措施0-7分：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竣工验收质量鉴定服务进度、质量、安全保证措施</w:t>
            </w:r>
          </w:p>
        </w:tc>
        <w:tc>
          <w:tcPr>
            <w:tcW w:type="dxa" w:w="2492"/>
          </w:tcPr>
          <w:p>
            <w:pPr>
              <w:pStyle w:val="null3"/>
            </w:pPr>
            <w:r>
              <w:rPr>
                <w:rFonts w:ascii="仿宋_GB2312" w:hAnsi="仿宋_GB2312" w:cs="仿宋_GB2312" w:eastAsia="仿宋_GB2312"/>
              </w:rPr>
              <w:t>竣工验收质量鉴定服务进度、质量、安全保证措施0-8分： 把握准确，提供的对策措施详细，可行性强得（6-8]分； 基本理解各专业工程技术咨询的特点，把握比较准确，有较为具体可行的对策措施得（3-6]分；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与采购人、施工、监理各方的配合、协调工作与措施</w:t>
            </w:r>
          </w:p>
        </w:tc>
        <w:tc>
          <w:tcPr>
            <w:tcW w:type="dxa" w:w="2492"/>
          </w:tcPr>
          <w:p>
            <w:pPr>
              <w:pStyle w:val="null3"/>
            </w:pPr>
            <w:r>
              <w:rPr>
                <w:rFonts w:ascii="仿宋_GB2312" w:hAnsi="仿宋_GB2312" w:cs="仿宋_GB2312" w:eastAsia="仿宋_GB2312"/>
              </w:rPr>
              <w:t>与采购人、施工、监理各方的配合、协调工作与措施0-8分： 把握准确，提供的对策措施详细，可行性强得（6-8]分； 基本理解各各方工工作配合的特点，把握比较准确，有较为具体可行的对策措施得（3-6]分；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本工程竣工验收质量鉴定服务工作重点、难点分析</w:t>
            </w:r>
          </w:p>
        </w:tc>
        <w:tc>
          <w:tcPr>
            <w:tcW w:type="dxa" w:w="2492"/>
          </w:tcPr>
          <w:p>
            <w:pPr>
              <w:pStyle w:val="null3"/>
            </w:pPr>
            <w:r>
              <w:rPr>
                <w:rFonts w:ascii="仿宋_GB2312" w:hAnsi="仿宋_GB2312" w:cs="仿宋_GB2312" w:eastAsia="仿宋_GB2312"/>
              </w:rPr>
              <w:t>工程竣工验收质量鉴定服务工作重点、难点分析0-8分： 重点、难点及关键技术问题分析全面、准确，措施具体，针对性强，对策措施有效、可行得（6-8]分； 重点、难点及关键技术问题分析比较全面、较准确，措施较具体，针对性较强，对策措施较有效、可行得（3-6]分； 重难点及关键技术问题分析不够全面，措施可行性差的得（0-3]分；未提供不得分。 注：评审标准中“（、）”表示不包含此整数、“[、]”表示包含此整数。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评标基准价=各投标供应商有效报价的最低值，投标报价等于评标基准价时得满分 报价得分=（评审基准价/投标报价）×价格权值（10%）×100%； 1、投标报价不完整的，不进入评标标准价的计算，本项得0分。 总计与分项计价合计不符的，以分项计价合计为准；总价小写与大写不符的，以大写为准。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费用组成明细表-1包.docx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每增加1个近5年（2021年至今），新建或改扩建高速公路项目监督检查配合检测项目业绩得3分，最高得9分。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每增加1个近5年（2021年至今），新建或改扩建高速公路项目监督检查配合检测业绩得3分，最高得9分。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参加本项目的检测工程师每人得1分，检测员每名得0.5分 ，最多得10分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每提供1个近5年（2021年至今），独立完成过新建或改扩建高速公路项目监督检查配合检测服务的工作业绩得3分，业绩中含长度≥3000m隧道的监督检查配合检测工作得4分，最高得10分。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竣工验收质量鉴定服务总体计划</w:t>
            </w:r>
          </w:p>
        </w:tc>
        <w:tc>
          <w:tcPr>
            <w:tcW w:type="dxa" w:w="2492"/>
          </w:tcPr>
          <w:p>
            <w:pPr>
              <w:pStyle w:val="null3"/>
            </w:pPr>
            <w:r>
              <w:rPr>
                <w:rFonts w:ascii="仿宋_GB2312" w:hAnsi="仿宋_GB2312" w:cs="仿宋_GB2312" w:eastAsia="仿宋_GB2312"/>
              </w:rPr>
              <w:t>竣工验收质量鉴定服务总体计划0-7分： 工作部署及时间安排清楚、详细，考虑周全完整、切实可行，完全满足项目实施需求的得（5-7]分； 工作计划安排比较合理、详细，具有可行性得（3-5]分； 工作安排计划欠缺，方案措施存在部分漏项或缺陷得（0-3]分；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竣工验收质量鉴定服务组织机构及管理措施</w:t>
            </w:r>
          </w:p>
        </w:tc>
        <w:tc>
          <w:tcPr>
            <w:tcW w:type="dxa" w:w="2492"/>
          </w:tcPr>
          <w:p>
            <w:pPr>
              <w:pStyle w:val="null3"/>
            </w:pPr>
            <w:r>
              <w:rPr>
                <w:rFonts w:ascii="仿宋_GB2312" w:hAnsi="仿宋_GB2312" w:cs="仿宋_GB2312" w:eastAsia="仿宋_GB2312"/>
              </w:rPr>
              <w:t>竣工验收质量鉴定服务组织机构及管理措施0-7分：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竣工验收质量鉴定服务目标、基本思路、方法和流程</w:t>
            </w:r>
          </w:p>
        </w:tc>
        <w:tc>
          <w:tcPr>
            <w:tcW w:type="dxa" w:w="2492"/>
          </w:tcPr>
          <w:p>
            <w:pPr>
              <w:pStyle w:val="null3"/>
            </w:pPr>
            <w:r>
              <w:rPr>
                <w:rFonts w:ascii="仿宋_GB2312" w:hAnsi="仿宋_GB2312" w:cs="仿宋_GB2312" w:eastAsia="仿宋_GB2312"/>
              </w:rPr>
              <w:t>竣工验收质量鉴定服务目标、基本思路、方法和流程0-7分： 总体思路表达清晰、严谨、合理，思路科学合理先进的得（5-7]分；思路表述比较清晰，不够严谨，思路比较科学合理的得（3-5]分； 思路内容混乱，计划理念差的得（0-3]分；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本工程竣工验收质量鉴定实施方案与技术措施</w:t>
            </w:r>
          </w:p>
        </w:tc>
        <w:tc>
          <w:tcPr>
            <w:tcW w:type="dxa" w:w="2492"/>
          </w:tcPr>
          <w:p>
            <w:pPr>
              <w:pStyle w:val="null3"/>
            </w:pPr>
            <w:r>
              <w:rPr>
                <w:rFonts w:ascii="仿宋_GB2312" w:hAnsi="仿宋_GB2312" w:cs="仿宋_GB2312" w:eastAsia="仿宋_GB2312"/>
              </w:rPr>
              <w:t>本工程竣工验收质量鉴定实施方案与技术措施0-7分：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竣工验收质量鉴定服务进度、质量、安全保证措施</w:t>
            </w:r>
          </w:p>
        </w:tc>
        <w:tc>
          <w:tcPr>
            <w:tcW w:type="dxa" w:w="2492"/>
          </w:tcPr>
          <w:p>
            <w:pPr>
              <w:pStyle w:val="null3"/>
            </w:pPr>
            <w:r>
              <w:rPr>
                <w:rFonts w:ascii="仿宋_GB2312" w:hAnsi="仿宋_GB2312" w:cs="仿宋_GB2312" w:eastAsia="仿宋_GB2312"/>
              </w:rPr>
              <w:t>竣工验收质量鉴定服务进度、质量、安全保证措施0-8分： 把握准确，提供的对策措施详细，可行性强得（6-8]分； 基本理解各专业工程技术咨询的特点，把握比较准确，有较为具体可行的对策措施得（3-6]分；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与采购人、施工、监理各方的配合、协调工作与措施</w:t>
            </w:r>
          </w:p>
        </w:tc>
        <w:tc>
          <w:tcPr>
            <w:tcW w:type="dxa" w:w="2492"/>
          </w:tcPr>
          <w:p>
            <w:pPr>
              <w:pStyle w:val="null3"/>
            </w:pPr>
            <w:r>
              <w:rPr>
                <w:rFonts w:ascii="仿宋_GB2312" w:hAnsi="仿宋_GB2312" w:cs="仿宋_GB2312" w:eastAsia="仿宋_GB2312"/>
              </w:rPr>
              <w:t>与采购人、施工、监理各方的配合、协调工作与措施0-8分： 把握准确，提供的对策措施详细，可行性强得（6-8]分； 基本理解各各方工工作配合的特点，把握比较准确，有较为具体可行的对策措施得（3-6]分；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本工程竣工验收质量鉴定服务工作重点、难点分析</w:t>
            </w:r>
          </w:p>
        </w:tc>
        <w:tc>
          <w:tcPr>
            <w:tcW w:type="dxa" w:w="2492"/>
          </w:tcPr>
          <w:p>
            <w:pPr>
              <w:pStyle w:val="null3"/>
            </w:pPr>
            <w:r>
              <w:rPr>
                <w:rFonts w:ascii="仿宋_GB2312" w:hAnsi="仿宋_GB2312" w:cs="仿宋_GB2312" w:eastAsia="仿宋_GB2312"/>
              </w:rPr>
              <w:t>工程竣工验收质量鉴定服务工作重点、难点分析0-8分： 重点、难点及关键技术问题分析全面、准确，措施具体，针对性强，对策措施有效、可行得（6-8]分； 重点、难点及关键技术问题分析比较全面、较准确，措施较具体，针对性较强，对策措施较有效、可行得（3-6]分； 重难点及关键技术问题分析不够全面，措施可行性差的得（0-3]分；未提供不得分。 注：评审标准中“（、）”表示不包含此整数、“[、]”表示包含此整数。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评标基准价=各投标供应商有效报价的最低值，投标报价等于评标基准价时得满分 报价得分=（评审基准价/投标报价）×价格权值（10%）×100%； 1、投标报价不完整的，不进入评标标准价的计算，本项得0分。 总计与分项计价合计不符的，以分项计价合计为准；总价小写与大写不符的，以大写为准。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费用组成明细表-2包.docx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详见附件：人员.docx</w:t>
      </w:r>
    </w:p>
    <w:p>
      <w:pPr>
        <w:pStyle w:val="null3"/>
        <w:ind w:firstLine="960"/>
      </w:pPr>
      <w:r>
        <w:rPr>
          <w:rFonts w:ascii="仿宋_GB2312" w:hAnsi="仿宋_GB2312" w:cs="仿宋_GB2312" w:eastAsia="仿宋_GB2312"/>
        </w:rPr>
        <w:t>详见附件：费用组成明细表-1包.docx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详见附件：费用组成明细表-2包.docx</w:t>
      </w:r>
    </w:p>
    <w:p>
      <w:pPr>
        <w:pStyle w:val="null3"/>
        <w:ind w:firstLine="960"/>
      </w:pPr>
      <w:r>
        <w:rPr>
          <w:rFonts w:ascii="仿宋_GB2312" w:hAnsi="仿宋_GB2312" w:cs="仿宋_GB2312" w:eastAsia="仿宋_GB2312"/>
        </w:rPr>
        <w:t>详见附件：人员.docx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