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版本号：TZZB-HZ-2026038C.1B120260424001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连续性血液净化装置（CRRT）(二次)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TZZB-HZ-2026038C.1B1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连续性血液净化装置（CRRT）(二次)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TZZB-HZ-2026038C.1B1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连续性血液净化装置（CRRT）(二次)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连续性血液净化装置（CRRT）采购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3、投标人资格要求：投标人须提供《汉中市政府采购供应商资格承诺函》。</w:t>
      </w:r>
    </w:p>
    <w:p>
      <w:pPr>
        <w:pStyle w:val="null3"/>
      </w:pPr>
      <w:r>
        <w:rPr>
          <w:rFonts w:ascii="仿宋_GB2312" w:hAnsi="仿宋_GB2312" w:cs="仿宋_GB2312" w:eastAsia="仿宋_GB2312"/>
        </w:rPr>
        <w:t>4、投标人医疗类资质要求：①投标人为生产厂商的须提供《医疗器械生产许可证》或《医疗器械生产备案凭证》，为代理商的须提供《医疗器械经营许可证》和《医疗器械经营备案凭证》；纳入医疗器械注册管理的，提供医疗器械注册证；进口产品需提供完整授权链条的产品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中市汉台区西一环路蓝天御苑小区商铺二层门面房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2、由甲方和乙方共同对项目进行整体验收，甲方对验收是否合格进行确认。其内容包括是否按照甲方要求进行服务、是否在规定时间内服务完毕。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连续性血液净化装置（CRRT）采购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连续性血液净化装置（CRRT）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标的名称：连续性血液净化装置（CRRT）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连续性血液净化装</w:t>
            </w:r>
            <w:r>
              <w:rPr>
                <w:rFonts w:ascii="仿宋_GB2312" w:hAnsi="仿宋_GB2312" w:cs="仿宋_GB2312" w:eastAsia="仿宋_GB2312"/>
                <w:sz w:val="21"/>
                <w:b/>
                <w:color w:val="000000"/>
              </w:rPr>
              <w:t>置（CRRT）</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采购1套）</w:t>
            </w:r>
          </w:p>
          <w:p>
            <w:pPr>
              <w:pStyle w:val="null3"/>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设备</w:t>
            </w:r>
            <w:r>
              <w:rPr>
                <w:rFonts w:ascii="仿宋_GB2312" w:hAnsi="仿宋_GB2312" w:cs="仿宋_GB2312" w:eastAsia="仿宋_GB2312"/>
                <w:sz w:val="21"/>
                <w:b/>
                <w:color w:val="000000"/>
              </w:rPr>
              <w:t>基本</w:t>
            </w:r>
            <w:r>
              <w:rPr>
                <w:rFonts w:ascii="仿宋_GB2312" w:hAnsi="仿宋_GB2312" w:cs="仿宋_GB2312" w:eastAsia="仿宋_GB2312"/>
                <w:sz w:val="21"/>
                <w:b/>
                <w:color w:val="000000"/>
              </w:rPr>
              <w:t>要求</w:t>
            </w: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.1、投标产品为所投品牌同类产品最新取得MPA注册证的产品。</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设备内置</w:t>
            </w:r>
            <w:r>
              <w:rPr>
                <w:rFonts w:ascii="仿宋_GB2312" w:hAnsi="仿宋_GB2312" w:cs="仿宋_GB2312" w:eastAsia="仿宋_GB2312"/>
                <w:sz w:val="21"/>
                <w:color w:val="000000"/>
              </w:rPr>
              <w:t>充电电池，</w:t>
            </w:r>
            <w:r>
              <w:rPr>
                <w:rFonts w:ascii="仿宋_GB2312" w:hAnsi="仿宋_GB2312" w:cs="仿宋_GB2312" w:eastAsia="仿宋_GB2312"/>
                <w:sz w:val="21"/>
                <w:color w:val="000000"/>
              </w:rPr>
              <w:t>保证</w:t>
            </w:r>
            <w:r>
              <w:rPr>
                <w:rFonts w:ascii="仿宋_GB2312" w:hAnsi="仿宋_GB2312" w:cs="仿宋_GB2312" w:eastAsia="仿宋_GB2312"/>
                <w:sz w:val="21"/>
                <w:color w:val="000000"/>
              </w:rPr>
              <w:t>外部电源断电后整机运行时间</w:t>
            </w:r>
            <w:r>
              <w:rPr>
                <w:rFonts w:ascii="仿宋_GB2312" w:hAnsi="仿宋_GB2312" w:cs="仿宋_GB2312" w:eastAsia="仿宋_GB2312"/>
                <w:sz w:val="21"/>
                <w:color w:val="000000"/>
              </w:rPr>
              <w:t>≥10分钟</w:t>
            </w:r>
            <w:r>
              <w:rPr>
                <w:rFonts w:ascii="仿宋_GB2312" w:hAnsi="仿宋_GB2312" w:cs="仿宋_GB2312" w:eastAsia="仿宋_GB2312"/>
                <w:sz w:val="21"/>
                <w:color w:val="000000"/>
              </w:rPr>
              <w:t>以上。</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设备</w:t>
            </w:r>
            <w:r>
              <w:rPr>
                <w:rFonts w:ascii="仿宋_GB2312" w:hAnsi="仿宋_GB2312" w:cs="仿宋_GB2312" w:eastAsia="仿宋_GB2312"/>
                <w:sz w:val="21"/>
                <w:color w:val="000000"/>
              </w:rPr>
              <w:t>满足成人及儿童使用。</w:t>
            </w:r>
          </w:p>
          <w:p>
            <w:pPr>
              <w:pStyle w:val="null3"/>
              <w:jc w:val="both"/>
            </w:pPr>
            <w:r>
              <w:rPr>
                <w:rFonts w:ascii="仿宋_GB2312" w:hAnsi="仿宋_GB2312" w:cs="仿宋_GB2312" w:eastAsia="仿宋_GB2312"/>
                <w:sz w:val="21"/>
                <w:b/>
                <w:color w:val="000000"/>
              </w:rPr>
              <w:t>2、功能、参数及配置要求</w:t>
            </w:r>
          </w:p>
          <w:p>
            <w:pPr>
              <w:pStyle w:val="null3"/>
              <w:jc w:val="both"/>
            </w:pPr>
            <w:r>
              <w:rPr>
                <w:rFonts w:ascii="仿宋_GB2312" w:hAnsi="仿宋_GB2312" w:cs="仿宋_GB2312" w:eastAsia="仿宋_GB2312"/>
                <w:sz w:val="21"/>
                <w:color w:val="000000"/>
              </w:rPr>
              <w:t>2.1、具有开机自检功能。</w:t>
            </w:r>
          </w:p>
          <w:p>
            <w:pPr>
              <w:pStyle w:val="null3"/>
              <w:jc w:val="both"/>
            </w:pPr>
            <w:r>
              <w:rPr>
                <w:rFonts w:ascii="仿宋_GB2312" w:hAnsi="仿宋_GB2312" w:cs="仿宋_GB2312" w:eastAsia="仿宋_GB2312"/>
                <w:sz w:val="21"/>
                <w:color w:val="000000"/>
              </w:rPr>
              <w:t>2.2、</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英寸彩色</w:t>
            </w:r>
            <w:r>
              <w:rPr>
                <w:rFonts w:ascii="仿宋_GB2312" w:hAnsi="仿宋_GB2312" w:cs="仿宋_GB2312" w:eastAsia="仿宋_GB2312"/>
                <w:sz w:val="21"/>
                <w:color w:val="000000"/>
              </w:rPr>
              <w:t>液晶触摸屏，</w:t>
            </w:r>
            <w:r>
              <w:rPr>
                <w:rFonts w:ascii="仿宋_GB2312" w:hAnsi="仿宋_GB2312" w:cs="仿宋_GB2312" w:eastAsia="仿宋_GB2312"/>
                <w:sz w:val="21"/>
                <w:color w:val="000000"/>
              </w:rPr>
              <w:t>中文显示。</w:t>
            </w:r>
          </w:p>
          <w:p>
            <w:pPr>
              <w:pStyle w:val="null3"/>
              <w:jc w:val="both"/>
            </w:pPr>
            <w:r>
              <w:rPr>
                <w:rFonts w:ascii="仿宋_GB2312" w:hAnsi="仿宋_GB2312" w:cs="仿宋_GB2312" w:eastAsia="仿宋_GB2312"/>
                <w:sz w:val="21"/>
                <w:color w:val="000000"/>
              </w:rPr>
              <w:t>2.3、</w:t>
            </w:r>
            <w:r>
              <w:rPr>
                <w:rFonts w:ascii="仿宋_GB2312" w:hAnsi="仿宋_GB2312" w:cs="仿宋_GB2312" w:eastAsia="仿宋_GB2312"/>
                <w:sz w:val="21"/>
                <w:color w:val="000000"/>
              </w:rPr>
              <w:t>触摸屏</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操作指南</w:t>
            </w:r>
            <w:r>
              <w:rPr>
                <w:rFonts w:ascii="仿宋_GB2312" w:hAnsi="仿宋_GB2312" w:cs="仿宋_GB2312" w:eastAsia="仿宋_GB2312"/>
                <w:sz w:val="21"/>
                <w:color w:val="000000"/>
              </w:rPr>
              <w:t>，可在线</w:t>
            </w:r>
            <w:r>
              <w:rPr>
                <w:rFonts w:ascii="仿宋_GB2312" w:hAnsi="仿宋_GB2312" w:cs="仿宋_GB2312" w:eastAsia="仿宋_GB2312"/>
                <w:sz w:val="21"/>
                <w:color w:val="000000"/>
              </w:rPr>
              <w:t>辅导</w:t>
            </w:r>
            <w:r>
              <w:rPr>
                <w:rFonts w:ascii="仿宋_GB2312" w:hAnsi="仿宋_GB2312" w:cs="仿宋_GB2312" w:eastAsia="仿宋_GB2312"/>
                <w:sz w:val="21"/>
                <w:color w:val="000000"/>
              </w:rPr>
              <w:t>操作。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≥7</w:t>
            </w:r>
            <w:r>
              <w:rPr>
                <w:rFonts w:ascii="仿宋_GB2312" w:hAnsi="仿宋_GB2312" w:cs="仿宋_GB2312" w:eastAsia="仿宋_GB2312"/>
                <w:sz w:val="21"/>
                <w:color w:val="000000"/>
              </w:rPr>
              <w:t>种</w:t>
            </w:r>
            <w:r>
              <w:rPr>
                <w:rFonts w:ascii="仿宋_GB2312" w:hAnsi="仿宋_GB2312" w:cs="仿宋_GB2312" w:eastAsia="仿宋_GB2312"/>
                <w:sz w:val="21"/>
                <w:color w:val="000000"/>
              </w:rPr>
              <w:t>冶疗方案</w:t>
            </w:r>
            <w:r>
              <w:rPr>
                <w:rFonts w:ascii="仿宋_GB2312" w:hAnsi="仿宋_GB2312" w:cs="仿宋_GB2312" w:eastAsia="仿宋_GB2312"/>
                <w:sz w:val="21"/>
                <w:color w:val="000000"/>
              </w:rPr>
              <w:t>：</w:t>
            </w:r>
            <w:r>
              <w:rPr>
                <w:rFonts w:ascii="仿宋_GB2312" w:hAnsi="仿宋_GB2312" w:cs="仿宋_GB2312" w:eastAsia="仿宋_GB2312"/>
                <w:sz w:val="21"/>
                <w:color w:val="000000"/>
              </w:rPr>
              <w:t>至少包括</w:t>
            </w:r>
            <w:r>
              <w:rPr>
                <w:rFonts w:ascii="仿宋_GB2312" w:hAnsi="仿宋_GB2312" w:cs="仿宋_GB2312" w:eastAsia="仿宋_GB2312"/>
                <w:sz w:val="21"/>
                <w:color w:val="000000"/>
              </w:rPr>
              <w:t>缓慢持续超滤（SCUF）；</w:t>
            </w:r>
            <w:r>
              <w:rPr>
                <w:rFonts w:ascii="仿宋_GB2312" w:hAnsi="仿宋_GB2312" w:cs="仿宋_GB2312" w:eastAsia="仿宋_GB2312"/>
                <w:sz w:val="21"/>
                <w:color w:val="000000"/>
              </w:rPr>
              <w:t>前</w:t>
            </w:r>
            <w:r>
              <w:rPr>
                <w:rFonts w:ascii="仿宋_GB2312" w:hAnsi="仿宋_GB2312" w:cs="仿宋_GB2312" w:eastAsia="仿宋_GB2312"/>
                <w:sz w:val="21"/>
                <w:color w:val="000000"/>
              </w:rPr>
              <w:t>后</w:t>
            </w:r>
            <w:r>
              <w:rPr>
                <w:rFonts w:ascii="仿宋_GB2312" w:hAnsi="仿宋_GB2312" w:cs="仿宋_GB2312" w:eastAsia="仿宋_GB2312"/>
                <w:sz w:val="21"/>
                <w:color w:val="000000"/>
              </w:rPr>
              <w:t>稀释连续性静-静脉血</w:t>
            </w:r>
            <w:r>
              <w:rPr>
                <w:rFonts w:ascii="仿宋_GB2312" w:hAnsi="仿宋_GB2312" w:cs="仿宋_GB2312" w:eastAsia="仿宋_GB2312"/>
                <w:sz w:val="21"/>
                <w:color w:val="000000"/>
              </w:rPr>
              <w:t>液</w:t>
            </w:r>
            <w:r>
              <w:rPr>
                <w:rFonts w:ascii="仿宋_GB2312" w:hAnsi="仿宋_GB2312" w:cs="仿宋_GB2312" w:eastAsia="仿宋_GB2312"/>
                <w:sz w:val="21"/>
                <w:color w:val="000000"/>
              </w:rPr>
              <w:t>滤过（CVVH）；连续性静-静脉血液透析（CVVHD）；前稀释连续性静-静脉血液透析滤过（</w:t>
            </w:r>
            <w:r>
              <w:rPr>
                <w:rFonts w:ascii="仿宋_GB2312" w:hAnsi="仿宋_GB2312" w:cs="仿宋_GB2312" w:eastAsia="仿宋_GB2312"/>
                <w:sz w:val="21"/>
                <w:color w:val="000000"/>
              </w:rPr>
              <w:t>P</w:t>
            </w:r>
            <w:r>
              <w:rPr>
                <w:rFonts w:ascii="仿宋_GB2312" w:hAnsi="仿宋_GB2312" w:cs="仿宋_GB2312" w:eastAsia="仿宋_GB2312"/>
                <w:sz w:val="21"/>
                <w:color w:val="000000"/>
              </w:rPr>
              <w:t>re-CVVHDF）；后稀释连续性静-静脉血液透析滤过（</w:t>
            </w:r>
            <w:r>
              <w:rPr>
                <w:rFonts w:ascii="仿宋_GB2312" w:hAnsi="仿宋_GB2312" w:cs="仿宋_GB2312" w:eastAsia="仿宋_GB2312"/>
                <w:sz w:val="21"/>
                <w:color w:val="000000"/>
              </w:rPr>
              <w:t>Po</w:t>
            </w:r>
            <w:r>
              <w:rPr>
                <w:rFonts w:ascii="仿宋_GB2312" w:hAnsi="仿宋_GB2312" w:cs="仿宋_GB2312" w:eastAsia="仿宋_GB2312"/>
                <w:sz w:val="21"/>
                <w:color w:val="000000"/>
              </w:rPr>
              <w:t>st-CVVHDF）；</w:t>
            </w:r>
            <w:r>
              <w:rPr>
                <w:rFonts w:ascii="仿宋_GB2312" w:hAnsi="仿宋_GB2312" w:cs="仿宋_GB2312" w:eastAsia="仿宋_GB2312"/>
                <w:sz w:val="21"/>
                <w:color w:val="000000"/>
              </w:rPr>
              <w:t>血浆置换（TPE)</w:t>
            </w:r>
            <w:r>
              <w:rPr>
                <w:rFonts w:ascii="仿宋_GB2312" w:hAnsi="仿宋_GB2312" w:cs="仿宋_GB2312" w:eastAsia="仿宋_GB2312"/>
                <w:sz w:val="21"/>
                <w:color w:val="000000"/>
              </w:rPr>
              <w:t>；</w:t>
            </w:r>
            <w:r>
              <w:rPr>
                <w:rFonts w:ascii="仿宋_GB2312" w:hAnsi="仿宋_GB2312" w:cs="仿宋_GB2312" w:eastAsia="仿宋_GB2312"/>
                <w:sz w:val="21"/>
                <w:color w:val="000000"/>
              </w:rPr>
              <w:t>血液灌流（HP）</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标配</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w:t>
            </w:r>
            <w:r>
              <w:rPr>
                <w:rFonts w:ascii="仿宋_GB2312" w:hAnsi="仿宋_GB2312" w:cs="仿宋_GB2312" w:eastAsia="仿宋_GB2312"/>
                <w:sz w:val="21"/>
                <w:color w:val="000000"/>
              </w:rPr>
              <w:t>蠕动</w:t>
            </w:r>
            <w:r>
              <w:rPr>
                <w:rFonts w:ascii="仿宋_GB2312" w:hAnsi="仿宋_GB2312" w:cs="仿宋_GB2312" w:eastAsia="仿宋_GB2312"/>
                <w:sz w:val="21"/>
                <w:color w:val="000000"/>
              </w:rPr>
              <w:t>泵</w:t>
            </w:r>
            <w:r>
              <w:rPr>
                <w:rFonts w:ascii="仿宋_GB2312" w:hAnsi="仿宋_GB2312" w:cs="仿宋_GB2312" w:eastAsia="仿宋_GB2312"/>
                <w:sz w:val="21"/>
                <w:color w:val="000000"/>
              </w:rPr>
              <w:t>：</w:t>
            </w:r>
            <w:r>
              <w:rPr>
                <w:rFonts w:ascii="仿宋_GB2312" w:hAnsi="仿宋_GB2312" w:cs="仿宋_GB2312" w:eastAsia="仿宋_GB2312"/>
                <w:sz w:val="21"/>
                <w:color w:val="000000"/>
              </w:rPr>
              <w:t>至少包括</w:t>
            </w:r>
            <w:r>
              <w:rPr>
                <w:rFonts w:ascii="仿宋_GB2312" w:hAnsi="仿宋_GB2312" w:cs="仿宋_GB2312" w:eastAsia="仿宋_GB2312"/>
                <w:sz w:val="21"/>
                <w:color w:val="000000"/>
              </w:rPr>
              <w:t>血泵、置换液泵、透析液泵、废液泵、</w:t>
            </w:r>
            <w:r>
              <w:rPr>
                <w:rFonts w:ascii="仿宋_GB2312" w:hAnsi="仿宋_GB2312" w:cs="仿宋_GB2312" w:eastAsia="仿宋_GB2312"/>
                <w:sz w:val="21"/>
                <w:color w:val="000000"/>
              </w:rPr>
              <w:t>血泵前泵\枸橼酸泵、和一个注射泵（</w:t>
            </w:r>
            <w:r>
              <w:rPr>
                <w:rFonts w:ascii="仿宋_GB2312" w:hAnsi="仿宋_GB2312" w:cs="仿宋_GB2312" w:eastAsia="仿宋_GB2312"/>
                <w:sz w:val="21"/>
                <w:color w:val="000000"/>
              </w:rPr>
              <w:t>肝素泵</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所有的泵不相互共用，</w:t>
            </w:r>
            <w:r>
              <w:rPr>
                <w:rFonts w:ascii="仿宋_GB2312" w:hAnsi="仿宋_GB2312" w:cs="仿宋_GB2312" w:eastAsia="仿宋_GB2312"/>
                <w:sz w:val="21"/>
                <w:color w:val="000000"/>
              </w:rPr>
              <w:t>并且</w:t>
            </w:r>
            <w:r>
              <w:rPr>
                <w:rFonts w:ascii="仿宋_GB2312" w:hAnsi="仿宋_GB2312" w:cs="仿宋_GB2312" w:eastAsia="仿宋_GB2312"/>
                <w:sz w:val="21"/>
                <w:color w:val="000000"/>
              </w:rPr>
              <w:t>与机器为一体化</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2.6、</w:t>
            </w:r>
            <w:r>
              <w:rPr>
                <w:rFonts w:ascii="仿宋_GB2312" w:hAnsi="仿宋_GB2312" w:cs="仿宋_GB2312" w:eastAsia="仿宋_GB2312"/>
                <w:sz w:val="21"/>
                <w:color w:val="000000"/>
              </w:rPr>
              <w:t>具备肝素抗凝、无抗凝及全自动一体化枸橼酸抗凝治疗模式。</w:t>
            </w:r>
          </w:p>
          <w:p>
            <w:pPr>
              <w:pStyle w:val="null3"/>
              <w:jc w:val="both"/>
            </w:pPr>
            <w:r>
              <w:rPr>
                <w:rFonts w:ascii="仿宋_GB2312" w:hAnsi="仿宋_GB2312" w:cs="仿宋_GB2312" w:eastAsia="仿宋_GB2312"/>
                <w:sz w:val="21"/>
                <w:color w:val="000000"/>
              </w:rPr>
              <w:t>2.7、</w:t>
            </w:r>
            <w:r>
              <w:rPr>
                <w:rFonts w:ascii="仿宋_GB2312" w:hAnsi="仿宋_GB2312" w:cs="仿宋_GB2312" w:eastAsia="仿宋_GB2312"/>
                <w:sz w:val="21"/>
                <w:color w:val="000000"/>
              </w:rPr>
              <w:t xml:space="preserve">液体平衡秤≥4 个，称承载量 </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KG/个</w:t>
            </w:r>
            <w:r>
              <w:rPr>
                <w:rFonts w:ascii="仿宋_GB2312" w:hAnsi="仿宋_GB2312" w:cs="仿宋_GB2312" w:eastAsia="仿宋_GB2312"/>
                <w:sz w:val="21"/>
                <w:color w:val="000000"/>
              </w:rPr>
              <w:t>。</w:t>
            </w:r>
            <w:r>
              <w:rPr>
                <w:rFonts w:ascii="仿宋_GB2312" w:hAnsi="仿宋_GB2312" w:cs="仿宋_GB2312" w:eastAsia="仿宋_GB2312"/>
                <w:sz w:val="21"/>
                <w:color w:val="000000"/>
              </w:rPr>
              <w:t>平衡秤采用清洁区和污染区分开的布局形式。</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与设备</w:t>
            </w:r>
            <w:r>
              <w:rPr>
                <w:rFonts w:ascii="仿宋_GB2312" w:hAnsi="仿宋_GB2312" w:cs="仿宋_GB2312" w:eastAsia="仿宋_GB2312"/>
                <w:sz w:val="21"/>
                <w:color w:val="000000"/>
              </w:rPr>
              <w:t>一体化</w:t>
            </w:r>
            <w:r>
              <w:rPr>
                <w:rFonts w:ascii="仿宋_GB2312" w:hAnsi="仿宋_GB2312" w:cs="仿宋_GB2312" w:eastAsia="仿宋_GB2312"/>
                <w:sz w:val="21"/>
                <w:color w:val="000000"/>
              </w:rPr>
              <w:t>加温器，温度调节范围：</w:t>
            </w:r>
            <w:r>
              <w:rPr>
                <w:rFonts w:ascii="仿宋_GB2312" w:hAnsi="仿宋_GB2312" w:cs="仿宋_GB2312" w:eastAsia="仿宋_GB2312"/>
                <w:sz w:val="21"/>
                <w:color w:val="000000"/>
              </w:rPr>
              <w:t>35℃-</w:t>
            </w:r>
            <w:r>
              <w:rPr>
                <w:rFonts w:ascii="仿宋_GB2312" w:hAnsi="仿宋_GB2312" w:cs="仿宋_GB2312" w:eastAsia="仿宋_GB2312"/>
                <w:sz w:val="21"/>
                <w:color w:val="000000"/>
              </w:rPr>
              <w:t>41</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可关闭。</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空气监测安全报警系统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漏血监测安全报警系统、</w:t>
            </w:r>
            <w:r>
              <w:rPr>
                <w:rFonts w:ascii="仿宋_GB2312" w:hAnsi="仿宋_GB2312" w:cs="仿宋_GB2312" w:eastAsia="仿宋_GB2312"/>
                <w:sz w:val="21"/>
                <w:color w:val="000000"/>
              </w:rPr>
              <w:t>压力</w:t>
            </w:r>
            <w:r>
              <w:rPr>
                <w:rFonts w:ascii="仿宋_GB2312" w:hAnsi="仿宋_GB2312" w:cs="仿宋_GB2312" w:eastAsia="仿宋_GB2312"/>
                <w:sz w:val="21"/>
                <w:color w:val="000000"/>
              </w:rPr>
              <w:t>监测安全报警系统。</w:t>
            </w:r>
          </w:p>
          <w:p>
            <w:pPr>
              <w:pStyle w:val="null3"/>
              <w:jc w:val="both"/>
            </w:pPr>
            <w:r>
              <w:rPr>
                <w:rFonts w:ascii="仿宋_GB2312" w:hAnsi="仿宋_GB2312" w:cs="仿宋_GB2312" w:eastAsia="仿宋_GB2312"/>
                <w:sz w:val="21"/>
                <w:b/>
                <w:color w:val="000000"/>
              </w:rPr>
              <w:t>2.10、</w:t>
            </w:r>
            <w:r>
              <w:rPr>
                <w:rFonts w:ascii="仿宋_GB2312" w:hAnsi="仿宋_GB2312" w:cs="仿宋_GB2312" w:eastAsia="仿宋_GB2312"/>
                <w:sz w:val="21"/>
                <w:b/>
                <w:color w:val="000000"/>
              </w:rPr>
              <w:t>泵流速参数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血</w:t>
            </w:r>
            <w:r>
              <w:rPr>
                <w:rFonts w:ascii="仿宋_GB2312" w:hAnsi="仿宋_GB2312" w:cs="仿宋_GB2312" w:eastAsia="仿宋_GB2312"/>
                <w:sz w:val="21"/>
                <w:color w:val="000000"/>
              </w:rPr>
              <w:t>泵</w:t>
            </w:r>
            <w:r>
              <w:rPr>
                <w:rFonts w:ascii="仿宋_GB2312" w:hAnsi="仿宋_GB2312" w:cs="仿宋_GB2312" w:eastAsia="仿宋_GB2312"/>
                <w:sz w:val="21"/>
                <w:color w:val="000000"/>
              </w:rPr>
              <w:t>流速</w:t>
            </w:r>
            <w:r>
              <w:rPr>
                <w:rFonts w:ascii="仿宋_GB2312" w:hAnsi="仿宋_GB2312" w:cs="仿宋_GB2312" w:eastAsia="仿宋_GB2312"/>
                <w:sz w:val="21"/>
                <w:color w:val="000000"/>
              </w:rPr>
              <w:t>10-</w:t>
            </w:r>
            <w:r>
              <w:rPr>
                <w:rFonts w:ascii="仿宋_GB2312" w:hAnsi="仿宋_GB2312" w:cs="仿宋_GB2312" w:eastAsia="仿宋_GB2312"/>
                <w:sz w:val="21"/>
                <w:color w:val="000000"/>
              </w:rPr>
              <w:t>400</w:t>
            </w:r>
            <w:r>
              <w:rPr>
                <w:rFonts w:ascii="仿宋_GB2312" w:hAnsi="仿宋_GB2312" w:cs="仿宋_GB2312" w:eastAsia="仿宋_GB2312"/>
                <w:sz w:val="21"/>
                <w:color w:val="000000"/>
              </w:rPr>
              <w:t>ml/min</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置换液</w:t>
            </w:r>
            <w:r>
              <w:rPr>
                <w:rFonts w:ascii="仿宋_GB2312" w:hAnsi="仿宋_GB2312" w:cs="仿宋_GB2312" w:eastAsia="仿宋_GB2312"/>
                <w:sz w:val="21"/>
                <w:color w:val="000000"/>
              </w:rPr>
              <w:t>泵</w:t>
            </w:r>
            <w:r>
              <w:rPr>
                <w:rFonts w:ascii="仿宋_GB2312" w:hAnsi="仿宋_GB2312" w:cs="仿宋_GB2312" w:eastAsia="仿宋_GB2312"/>
                <w:sz w:val="21"/>
                <w:color w:val="000000"/>
              </w:rPr>
              <w:t>流速</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0ml/min；</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透析液</w:t>
            </w:r>
            <w:r>
              <w:rPr>
                <w:rFonts w:ascii="仿宋_GB2312" w:hAnsi="仿宋_GB2312" w:cs="仿宋_GB2312" w:eastAsia="仿宋_GB2312"/>
                <w:sz w:val="21"/>
                <w:color w:val="000000"/>
              </w:rPr>
              <w:t>泵</w:t>
            </w:r>
            <w:r>
              <w:rPr>
                <w:rFonts w:ascii="仿宋_GB2312" w:hAnsi="仿宋_GB2312" w:cs="仿宋_GB2312" w:eastAsia="仿宋_GB2312"/>
                <w:sz w:val="21"/>
                <w:color w:val="000000"/>
              </w:rPr>
              <w:t>流速</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0ml/min；</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废液泵流速0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50ml/min；</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血泵前泵流速0-2000 ml/h或枸橼酸泵流速0-600ml/h；</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肝素泵流速</w:t>
            </w:r>
            <w:r>
              <w:rPr>
                <w:rFonts w:ascii="仿宋_GB2312" w:hAnsi="仿宋_GB2312" w:cs="仿宋_GB2312" w:eastAsia="仿宋_GB2312"/>
                <w:sz w:val="21"/>
                <w:color w:val="000000"/>
              </w:rPr>
              <w:t>0，</w:t>
            </w:r>
            <w:r>
              <w:rPr>
                <w:rFonts w:ascii="仿宋_GB2312" w:hAnsi="仿宋_GB2312" w:cs="仿宋_GB2312" w:eastAsia="仿宋_GB2312"/>
                <w:sz w:val="21"/>
                <w:color w:val="000000"/>
              </w:rPr>
              <w:t>0.5～</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ml/h, </w:t>
            </w:r>
            <w:r>
              <w:rPr>
                <w:rFonts w:ascii="仿宋_GB2312" w:hAnsi="仿宋_GB2312" w:cs="仿宋_GB2312" w:eastAsia="仿宋_GB2312"/>
                <w:sz w:val="21"/>
                <w:color w:val="000000"/>
              </w:rPr>
              <w:t>增幅</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1ml</w:t>
            </w:r>
            <w:r>
              <w:rPr>
                <w:rFonts w:ascii="仿宋_GB2312" w:hAnsi="仿宋_GB2312" w:cs="仿宋_GB2312" w:eastAsia="仿宋_GB2312"/>
                <w:sz w:val="21"/>
                <w:color w:val="000000"/>
              </w:rPr>
              <w:t>/h</w:t>
            </w:r>
            <w:r>
              <w:rPr>
                <w:rFonts w:ascii="仿宋_GB2312" w:hAnsi="仿宋_GB2312" w:cs="仿宋_GB2312" w:eastAsia="仿宋_GB2312"/>
                <w:sz w:val="21"/>
                <w:color w:val="000000"/>
              </w:rPr>
              <w:t>；</w:t>
            </w:r>
            <w:r>
              <w:rPr>
                <w:rFonts w:ascii="仿宋_GB2312" w:hAnsi="仿宋_GB2312" w:cs="仿宋_GB2312" w:eastAsia="仿宋_GB2312"/>
                <w:sz w:val="21"/>
                <w:color w:val="000000"/>
              </w:rPr>
              <w:t>间断</w:t>
            </w:r>
            <w:r>
              <w:rPr>
                <w:rFonts w:ascii="仿宋_GB2312" w:hAnsi="仿宋_GB2312" w:cs="仿宋_GB2312" w:eastAsia="仿宋_GB2312"/>
                <w:sz w:val="21"/>
                <w:color w:val="000000"/>
              </w:rPr>
              <w:t>推注</w:t>
            </w:r>
            <w:r>
              <w:rPr>
                <w:rFonts w:ascii="仿宋_GB2312" w:hAnsi="仿宋_GB2312" w:cs="仿宋_GB2312" w:eastAsia="仿宋_GB2312"/>
                <w:sz w:val="21"/>
                <w:color w:val="000000"/>
              </w:rPr>
              <w:t>: 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9.9</w:t>
            </w:r>
            <w:r>
              <w:rPr>
                <w:rFonts w:ascii="仿宋_GB2312" w:hAnsi="仿宋_GB2312" w:cs="仿宋_GB2312" w:eastAsia="仿宋_GB2312"/>
                <w:sz w:val="21"/>
                <w:color w:val="000000"/>
              </w:rPr>
              <w:t>ml/</w:t>
            </w:r>
            <w:r>
              <w:rPr>
                <w:rFonts w:ascii="仿宋_GB2312" w:hAnsi="仿宋_GB2312" w:cs="仿宋_GB2312" w:eastAsia="仿宋_GB2312"/>
                <w:sz w:val="21"/>
                <w:color w:val="000000"/>
              </w:rPr>
              <w:t>推注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2.11、</w:t>
            </w:r>
            <w:r>
              <w:rPr>
                <w:rFonts w:ascii="仿宋_GB2312" w:hAnsi="仿宋_GB2312" w:cs="仿宋_GB2312" w:eastAsia="仿宋_GB2312"/>
                <w:sz w:val="21"/>
                <w:color w:val="000000"/>
              </w:rPr>
              <w:t>压力监测参数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动脉流入管路压力：-</w:t>
            </w:r>
            <w:r>
              <w:rPr>
                <w:rFonts w:ascii="仿宋_GB2312" w:hAnsi="仿宋_GB2312" w:cs="仿宋_GB2312" w:eastAsia="仿宋_GB2312"/>
                <w:sz w:val="21"/>
                <w:color w:val="000000"/>
              </w:rPr>
              <w:t>25</w:t>
            </w:r>
            <w:r>
              <w:rPr>
                <w:rFonts w:ascii="仿宋_GB2312" w:hAnsi="仿宋_GB2312" w:cs="仿宋_GB2312" w:eastAsia="仿宋_GB2312"/>
                <w:sz w:val="21"/>
                <w:color w:val="000000"/>
              </w:rPr>
              <w:t>0～+</w:t>
            </w:r>
            <w:r>
              <w:rPr>
                <w:rFonts w:ascii="仿宋_GB2312" w:hAnsi="仿宋_GB2312" w:cs="仿宋_GB2312" w:eastAsia="仿宋_GB2312"/>
                <w:sz w:val="21"/>
                <w:color w:val="000000"/>
              </w:rPr>
              <w:t>35</w:t>
            </w:r>
            <w:r>
              <w:rPr>
                <w:rFonts w:ascii="仿宋_GB2312" w:hAnsi="仿宋_GB2312" w:cs="仿宋_GB2312" w:eastAsia="仿宋_GB2312"/>
                <w:sz w:val="21"/>
                <w:color w:val="000000"/>
              </w:rPr>
              <w:t>0mmHg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静脉回流管路压力：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35</w:t>
            </w:r>
            <w:r>
              <w:rPr>
                <w:rFonts w:ascii="仿宋_GB2312" w:hAnsi="仿宋_GB2312" w:cs="仿宋_GB2312" w:eastAsia="仿宋_GB2312"/>
                <w:sz w:val="21"/>
                <w:color w:val="000000"/>
              </w:rPr>
              <w:t>0mmHg；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滤器前压力：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4</w:t>
            </w:r>
            <w:r>
              <w:rPr>
                <w:rFonts w:ascii="仿宋_GB2312" w:hAnsi="仿宋_GB2312" w:cs="仿宋_GB2312" w:eastAsia="仿宋_GB2312"/>
                <w:sz w:val="21"/>
                <w:color w:val="000000"/>
              </w:rPr>
              <w:t>50mmHg；</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废液</w:t>
            </w:r>
            <w:r>
              <w:rPr>
                <w:rFonts w:ascii="仿宋_GB2312" w:hAnsi="仿宋_GB2312" w:cs="仿宋_GB2312" w:eastAsia="仿宋_GB2312"/>
                <w:sz w:val="21"/>
                <w:color w:val="000000"/>
              </w:rPr>
              <w:t>压</w:t>
            </w:r>
            <w:r>
              <w:rPr>
                <w:rFonts w:ascii="仿宋_GB2312" w:hAnsi="仿宋_GB2312" w:cs="仿宋_GB2312" w:eastAsia="仿宋_GB2312"/>
                <w:sz w:val="21"/>
                <w:color w:val="000000"/>
              </w:rPr>
              <w:t>力</w:t>
            </w:r>
            <w:r>
              <w:rPr>
                <w:rFonts w:ascii="仿宋_GB2312" w:hAnsi="仿宋_GB2312" w:cs="仿宋_GB2312" w:eastAsia="仿宋_GB2312"/>
                <w:sz w:val="21"/>
                <w:color w:val="000000"/>
              </w:rPr>
              <w:t>：-300～+</w:t>
            </w:r>
            <w:r>
              <w:rPr>
                <w:rFonts w:ascii="仿宋_GB2312" w:hAnsi="仿宋_GB2312" w:cs="仿宋_GB2312" w:eastAsia="仿宋_GB2312"/>
                <w:sz w:val="21"/>
                <w:color w:val="000000"/>
              </w:rPr>
              <w:t>40</w:t>
            </w:r>
            <w:r>
              <w:rPr>
                <w:rFonts w:ascii="仿宋_GB2312" w:hAnsi="仿宋_GB2312" w:cs="仿宋_GB2312" w:eastAsia="仿宋_GB2312"/>
                <w:sz w:val="21"/>
                <w:color w:val="000000"/>
              </w:rPr>
              <w:t>0mmHg。</w:t>
            </w:r>
          </w:p>
          <w:p>
            <w:pPr>
              <w:pStyle w:val="null3"/>
              <w:jc w:val="both"/>
            </w:pPr>
            <w:r>
              <w:rPr>
                <w:rFonts w:ascii="仿宋_GB2312" w:hAnsi="仿宋_GB2312" w:cs="仿宋_GB2312" w:eastAsia="仿宋_GB2312"/>
                <w:sz w:val="21"/>
                <w:color w:val="000000"/>
              </w:rPr>
              <w:t>2.12、</w:t>
            </w:r>
            <w:r>
              <w:rPr>
                <w:rFonts w:ascii="仿宋_GB2312" w:hAnsi="仿宋_GB2312" w:cs="仿宋_GB2312" w:eastAsia="仿宋_GB2312"/>
                <w:sz w:val="21"/>
                <w:color w:val="000000"/>
              </w:rPr>
              <w:t>I类防电击类型，</w:t>
            </w:r>
            <w:r>
              <w:rPr>
                <w:rFonts w:ascii="仿宋_GB2312" w:hAnsi="仿宋_GB2312" w:cs="仿宋_GB2312" w:eastAsia="仿宋_GB2312"/>
                <w:sz w:val="21"/>
                <w:color w:val="000000"/>
              </w:rPr>
              <w:t xml:space="preserve">CF </w:t>
            </w:r>
            <w:r>
              <w:rPr>
                <w:rFonts w:ascii="仿宋_GB2312" w:hAnsi="仿宋_GB2312" w:cs="仿宋_GB2312" w:eastAsia="仿宋_GB2312"/>
                <w:sz w:val="21"/>
                <w:color w:val="000000"/>
              </w:rPr>
              <w:t>型防电击等级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2.13、</w:t>
            </w:r>
            <w:r>
              <w:rPr>
                <w:rFonts w:ascii="仿宋_GB2312" w:hAnsi="仿宋_GB2312" w:cs="仿宋_GB2312" w:eastAsia="仿宋_GB2312"/>
                <w:sz w:val="21"/>
                <w:color w:val="000000"/>
              </w:rPr>
              <w:t>内置数据交换接口，</w:t>
            </w:r>
            <w:r>
              <w:rPr>
                <w:rFonts w:ascii="仿宋_GB2312" w:hAnsi="仿宋_GB2312" w:cs="仿宋_GB2312" w:eastAsia="仿宋_GB2312"/>
                <w:sz w:val="21"/>
                <w:color w:val="000000"/>
              </w:rPr>
              <w:t>负责</w:t>
            </w:r>
            <w:r>
              <w:rPr>
                <w:rFonts w:ascii="仿宋_GB2312" w:hAnsi="仿宋_GB2312" w:cs="仿宋_GB2312" w:eastAsia="仿宋_GB2312"/>
                <w:sz w:val="21"/>
                <w:color w:val="000000"/>
              </w:rPr>
              <w:t>与PDMS/HIS系统连接</w:t>
            </w:r>
            <w:r>
              <w:rPr>
                <w:rFonts w:ascii="仿宋_GB2312" w:hAnsi="仿宋_GB2312" w:cs="仿宋_GB2312" w:eastAsia="仿宋_GB2312"/>
                <w:sz w:val="21"/>
                <w:color w:val="000000"/>
              </w:rPr>
              <w:t>（</w:t>
            </w:r>
            <w:r>
              <w:rPr>
                <w:rFonts w:ascii="仿宋_GB2312" w:hAnsi="仿宋_GB2312" w:cs="仿宋_GB2312" w:eastAsia="仿宋_GB2312"/>
                <w:sz w:val="21"/>
                <w:color w:val="000000"/>
              </w:rPr>
              <w:t>费用包含在设备报价中）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color w:val="000000"/>
              </w:rPr>
              <w:t>①标“●”符号为本项目核心产品；</w:t>
            </w:r>
          </w:p>
          <w:p>
            <w:pPr>
              <w:pStyle w:val="null3"/>
            </w:pPr>
            <w:r>
              <w:rPr>
                <w:rFonts w:ascii="仿宋_GB2312" w:hAnsi="仿宋_GB2312" w:cs="仿宋_GB2312" w:eastAsia="仿宋_GB2312"/>
                <w:sz w:val="21"/>
                <w:color w:val="000000"/>
              </w:rPr>
              <w:t>②</w:t>
            </w:r>
            <w:r>
              <w:rPr>
                <w:rFonts w:ascii="仿宋_GB2312" w:hAnsi="仿宋_GB2312" w:cs="仿宋_GB2312" w:eastAsia="仿宋_GB2312"/>
                <w:sz w:val="21"/>
                <w:color w:val="000000"/>
              </w:rPr>
              <w:t>以上技术参数中标“▲”</w:t>
            </w:r>
            <w:r>
              <w:rPr>
                <w:rFonts w:ascii="仿宋_GB2312" w:hAnsi="仿宋_GB2312" w:cs="仿宋_GB2312" w:eastAsia="仿宋_GB2312"/>
                <w:sz w:val="21"/>
                <w:color w:val="000000"/>
              </w:rPr>
              <w:t>符号</w:t>
            </w:r>
            <w:r>
              <w:rPr>
                <w:rFonts w:ascii="仿宋_GB2312" w:hAnsi="仿宋_GB2312" w:cs="仿宋_GB2312" w:eastAsia="仿宋_GB2312"/>
                <w:sz w:val="21"/>
                <w:color w:val="000000"/>
              </w:rPr>
              <w:t>为本项目核心参数，需提供检测报告或宣传彩页或技术白皮书等证明材料与之对应。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商务要求</w:t>
            </w:r>
          </w:p>
          <w:p>
            <w:pPr>
              <w:pStyle w:val="null3"/>
              <w:ind w:firstLine="369"/>
              <w:jc w:val="left"/>
            </w:pPr>
            <w:r>
              <w:rPr>
                <w:rFonts w:ascii="仿宋_GB2312" w:hAnsi="仿宋_GB2312" w:cs="仿宋_GB2312" w:eastAsia="仿宋_GB2312"/>
                <w:sz w:val="21"/>
                <w:shd w:fill="FFFFFF" w:val="clear"/>
              </w:rPr>
              <w:t xml:space="preserve">  </w:t>
            </w:r>
            <w:r>
              <w:rPr>
                <w:rFonts w:ascii="仿宋_GB2312" w:hAnsi="仿宋_GB2312" w:cs="仿宋_GB2312" w:eastAsia="仿宋_GB2312"/>
                <w:sz w:val="21"/>
                <w:b/>
                <w:color w:val="000000"/>
                <w:shd w:fill="FFFFFF" w:val="clear"/>
              </w:rPr>
              <w:t>1、交付期、交付地点、质保期</w:t>
            </w:r>
          </w:p>
          <w:p>
            <w:pPr>
              <w:pStyle w:val="null3"/>
              <w:ind w:firstLine="361"/>
              <w:jc w:val="left"/>
            </w:pPr>
            <w:r>
              <w:rPr>
                <w:rFonts w:ascii="仿宋_GB2312" w:hAnsi="仿宋_GB2312" w:cs="仿宋_GB2312" w:eastAsia="仿宋_GB2312"/>
                <w:sz w:val="21"/>
                <w:b/>
                <w:color w:val="000000"/>
                <w:shd w:fill="FFFFFF" w:val="clear"/>
              </w:rPr>
              <w:t>1.1、交付期</w:t>
            </w:r>
            <w:r>
              <w:rPr>
                <w:rFonts w:ascii="仿宋_GB2312" w:hAnsi="仿宋_GB2312" w:cs="仿宋_GB2312" w:eastAsia="仿宋_GB2312"/>
                <w:sz w:val="21"/>
                <w:color w:val="000000"/>
                <w:shd w:fill="FFFFFF" w:val="clear"/>
              </w:rPr>
              <w:t>：自合同签订之日起</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个月内交付。</w:t>
            </w:r>
          </w:p>
          <w:p>
            <w:pPr>
              <w:pStyle w:val="null3"/>
              <w:ind w:firstLine="367"/>
              <w:jc w:val="both"/>
            </w:pPr>
            <w:r>
              <w:rPr>
                <w:rFonts w:ascii="仿宋_GB2312" w:hAnsi="仿宋_GB2312" w:cs="仿宋_GB2312" w:eastAsia="仿宋_GB2312"/>
                <w:sz w:val="21"/>
                <w:color w:val="000000"/>
                <w:shd w:fill="FFFFFF" w:val="clear"/>
              </w:rPr>
              <w:t>1.1.1、投标人未征得采购人同意和谅解而单方面延迟履行合同期限，将按违约终止合同。</w:t>
            </w:r>
          </w:p>
          <w:p>
            <w:pPr>
              <w:pStyle w:val="null3"/>
              <w:ind w:firstLine="367"/>
              <w:jc w:val="both"/>
            </w:pPr>
            <w:r>
              <w:rPr>
                <w:rFonts w:ascii="仿宋_GB2312" w:hAnsi="仿宋_GB2312" w:cs="仿宋_GB2312" w:eastAsia="仿宋_GB2312"/>
                <w:sz w:val="21"/>
                <w:color w:val="000000"/>
                <w:shd w:fill="FFFFFF" w:val="clear"/>
              </w:rPr>
              <w:t>1.1.2、投标人遇到可能妨碍按时</w:t>
            </w:r>
            <w:r>
              <w:rPr>
                <w:rFonts w:ascii="仿宋_GB2312" w:hAnsi="仿宋_GB2312" w:cs="仿宋_GB2312" w:eastAsia="仿宋_GB2312"/>
                <w:sz w:val="21"/>
                <w:color w:val="000000"/>
                <w:shd w:fill="FFFFFF" w:val="clear"/>
              </w:rPr>
              <w:t>交付</w:t>
            </w:r>
            <w:r>
              <w:rPr>
                <w:rFonts w:ascii="仿宋_GB2312" w:hAnsi="仿宋_GB2312" w:cs="仿宋_GB2312" w:eastAsia="仿宋_GB2312"/>
                <w:sz w:val="21"/>
                <w:color w:val="000000"/>
                <w:shd w:fill="FFFFFF" w:val="clear"/>
              </w:rPr>
              <w:t>的情况，应当及时以书面形式通知采购人，说明原由、拖延的期限等；采购人在收到通知后，尽快进行情况评估并确定是否通过修改合同，酌情延长服务时间或者通过协商加收误期赔偿金。</w:t>
            </w:r>
          </w:p>
          <w:p>
            <w:pPr>
              <w:pStyle w:val="null3"/>
              <w:ind w:firstLine="369"/>
              <w:jc w:val="left"/>
            </w:pPr>
            <w:r>
              <w:rPr>
                <w:rFonts w:ascii="仿宋_GB2312" w:hAnsi="仿宋_GB2312" w:cs="仿宋_GB2312" w:eastAsia="仿宋_GB2312"/>
                <w:sz w:val="21"/>
                <w:b/>
                <w:color w:val="000000"/>
                <w:shd w:fill="FFFFFF" w:val="clear"/>
              </w:rPr>
              <w:t>1.2、交付地点：</w:t>
            </w:r>
            <w:r>
              <w:rPr>
                <w:rFonts w:ascii="仿宋_GB2312" w:hAnsi="仿宋_GB2312" w:cs="仿宋_GB2312" w:eastAsia="仿宋_GB2312"/>
                <w:sz w:val="21"/>
                <w:color w:val="000000"/>
                <w:shd w:fill="FFFFFF" w:val="clear"/>
              </w:rPr>
              <w:t>采购人指定地点。</w:t>
            </w:r>
          </w:p>
          <w:p>
            <w:pPr>
              <w:pStyle w:val="null3"/>
              <w:ind w:firstLine="369"/>
              <w:jc w:val="left"/>
            </w:pPr>
            <w:r>
              <w:rPr>
                <w:rFonts w:ascii="仿宋_GB2312" w:hAnsi="仿宋_GB2312" w:cs="仿宋_GB2312" w:eastAsia="仿宋_GB2312"/>
                <w:sz w:val="21"/>
                <w:b/>
                <w:color w:val="000000"/>
                <w:shd w:fill="FFFFFF" w:val="clear"/>
              </w:rPr>
              <w:t>1.3、质保期：</w:t>
            </w:r>
            <w:r>
              <w:rPr>
                <w:rFonts w:ascii="仿宋_GB2312" w:hAnsi="仿宋_GB2312" w:cs="仿宋_GB2312" w:eastAsia="仿宋_GB2312"/>
                <w:sz w:val="21"/>
                <w:color w:val="000000"/>
                <w:shd w:fill="FFFFFF" w:val="clear"/>
              </w:rPr>
              <w:t>3年，从验收合格之日起计算</w:t>
            </w:r>
            <w:r>
              <w:rPr>
                <w:rFonts w:ascii="仿宋_GB2312" w:hAnsi="仿宋_GB2312" w:cs="仿宋_GB2312" w:eastAsia="仿宋_GB2312"/>
                <w:sz w:val="21"/>
                <w:color w:val="000000"/>
                <w:shd w:fill="FFFFFF" w:val="clear"/>
              </w:rPr>
              <w:t>。</w:t>
            </w:r>
          </w:p>
          <w:p>
            <w:pPr>
              <w:pStyle w:val="null3"/>
              <w:ind w:firstLine="369"/>
              <w:jc w:val="left"/>
            </w:pPr>
            <w:r>
              <w:rPr>
                <w:rFonts w:ascii="仿宋_GB2312" w:hAnsi="仿宋_GB2312" w:cs="仿宋_GB2312" w:eastAsia="仿宋_GB2312"/>
                <w:sz w:val="21"/>
                <w:b/>
                <w:color w:val="000000"/>
                <w:shd w:fill="FFFFFF" w:val="clear"/>
              </w:rPr>
              <w:t>2、款项结算</w:t>
            </w:r>
            <w:r>
              <w:rPr>
                <w:rFonts w:ascii="仿宋_GB2312" w:hAnsi="仿宋_GB2312" w:cs="仿宋_GB2312" w:eastAsia="仿宋_GB2312"/>
                <w:sz w:val="21"/>
                <w:color w:val="000000"/>
                <w:shd w:fill="FFFFFF" w:val="clear"/>
              </w:rPr>
              <w:t xml:space="preserve">  </w:t>
            </w:r>
          </w:p>
          <w:p>
            <w:pPr>
              <w:pStyle w:val="null3"/>
              <w:spacing w:after="120"/>
              <w:ind w:firstLine="420"/>
              <w:jc w:val="both"/>
            </w:pPr>
            <w:r>
              <w:rPr>
                <w:rFonts w:ascii="仿宋_GB2312" w:hAnsi="仿宋_GB2312" w:cs="仿宋_GB2312" w:eastAsia="仿宋_GB2312"/>
                <w:sz w:val="21"/>
                <w:b/>
                <w:color w:val="000000"/>
                <w:shd w:fill="FFFFFF" w:val="clear"/>
              </w:rPr>
              <w:t>2.1、款项结算:采购人结算，成交投标人开具全额（等额）发票给采购人，未开具发票不支付。</w:t>
            </w:r>
          </w:p>
          <w:p>
            <w:pPr>
              <w:pStyle w:val="null3"/>
              <w:spacing w:after="120"/>
              <w:ind w:firstLine="420"/>
              <w:jc w:val="both"/>
            </w:pPr>
            <w:r>
              <w:rPr>
                <w:rFonts w:ascii="仿宋_GB2312" w:hAnsi="仿宋_GB2312" w:cs="仿宋_GB2312" w:eastAsia="仿宋_GB2312"/>
                <w:sz w:val="21"/>
                <w:b/>
                <w:color w:val="000000"/>
                <w:shd w:fill="FFFFFF" w:val="clear"/>
              </w:rPr>
              <w:t>2.2、结算方式：银行转账。</w:t>
            </w:r>
          </w:p>
          <w:p>
            <w:pPr>
              <w:pStyle w:val="null3"/>
              <w:ind w:firstLine="422"/>
              <w:jc w:val="left"/>
            </w:pPr>
            <w:r>
              <w:rPr>
                <w:rFonts w:ascii="仿宋_GB2312" w:hAnsi="仿宋_GB2312" w:cs="仿宋_GB2312" w:eastAsia="仿宋_GB2312"/>
                <w:sz w:val="21"/>
                <w:b/>
                <w:color w:val="000000"/>
                <w:shd w:fill="FFFFFF" w:val="clear"/>
              </w:rPr>
              <w:t>2.3、付款计划：</w:t>
            </w:r>
          </w:p>
          <w:p>
            <w:pPr>
              <w:pStyle w:val="null3"/>
              <w:jc w:val="left"/>
            </w:pPr>
            <w:r>
              <w:rPr>
                <w:rFonts w:ascii="仿宋_GB2312" w:hAnsi="仿宋_GB2312" w:cs="仿宋_GB2312" w:eastAsia="仿宋_GB2312"/>
                <w:sz w:val="21"/>
                <w:color w:val="000000"/>
                <w:shd w:fill="FFFFFF" w:val="clear"/>
              </w:rPr>
              <w:t xml:space="preserve">     2.3.1、付款条件说明：验收合格后，达到付款条件起30日内，支付合同总金额的 90.00%。</w:t>
            </w:r>
          </w:p>
          <w:p>
            <w:pPr>
              <w:pStyle w:val="null3"/>
              <w:ind w:firstLine="540"/>
              <w:jc w:val="left"/>
            </w:pPr>
            <w:r>
              <w:rPr>
                <w:rFonts w:ascii="仿宋_GB2312" w:hAnsi="仿宋_GB2312" w:cs="仿宋_GB2312" w:eastAsia="仿宋_GB2312"/>
                <w:sz w:val="21"/>
                <w:color w:val="000000"/>
                <w:shd w:fill="FFFFFF" w:val="clear"/>
              </w:rPr>
              <w:t>2.3.2、付款条件说明：一年后，达到付款条件起30日内，支付合同总金额的10.00%。</w:t>
            </w:r>
            <w:r>
              <w:rPr>
                <w:rFonts w:ascii="仿宋_GB2312" w:hAnsi="仿宋_GB2312" w:cs="仿宋_GB2312" w:eastAsia="仿宋_GB2312"/>
                <w:sz w:val="21"/>
                <w:color w:val="000000"/>
                <w:shd w:fill="FFFFFF" w:val="clear"/>
              </w:rPr>
              <w:t xml:space="preserve"> </w:t>
            </w:r>
          </w:p>
          <w:p>
            <w:pPr>
              <w:pStyle w:val="null3"/>
              <w:ind w:firstLine="420"/>
              <w:jc w:val="left"/>
            </w:pPr>
            <w:r>
              <w:rPr>
                <w:rFonts w:ascii="仿宋_GB2312" w:hAnsi="仿宋_GB2312" w:cs="仿宋_GB2312" w:eastAsia="仿宋_GB2312"/>
                <w:sz w:val="21"/>
                <w:b/>
                <w:color w:val="000000"/>
                <w:shd w:fill="FFFFFF" w:val="clear"/>
              </w:rPr>
              <w:t>3、质量保证</w:t>
            </w:r>
          </w:p>
          <w:p>
            <w:pPr>
              <w:pStyle w:val="null3"/>
              <w:ind w:firstLine="367"/>
              <w:jc w:val="left"/>
            </w:pPr>
            <w:r>
              <w:rPr>
                <w:rFonts w:ascii="仿宋_GB2312" w:hAnsi="仿宋_GB2312" w:cs="仿宋_GB2312" w:eastAsia="仿宋_GB2312"/>
                <w:sz w:val="21"/>
                <w:color w:val="000000"/>
                <w:shd w:fill="FFFFFF" w:val="clear"/>
              </w:rPr>
              <w:t>3.1、本项目所有设备质量必须符合国家有关规范和相关政策。所有设备及辅材必须是未使用过的新设备，质量优良、渠道正当，配置合理。为确保设备售后服务的及时性、保障性，交付设备时必须提供原厂售后服务承诺函。</w:t>
            </w:r>
          </w:p>
          <w:p>
            <w:pPr>
              <w:pStyle w:val="null3"/>
              <w:ind w:firstLine="367"/>
              <w:jc w:val="left"/>
            </w:pPr>
            <w:r>
              <w:rPr>
                <w:rFonts w:ascii="仿宋_GB2312" w:hAnsi="仿宋_GB2312" w:cs="仿宋_GB2312" w:eastAsia="仿宋_GB2312"/>
                <w:sz w:val="21"/>
                <w:color w:val="000000"/>
                <w:shd w:fill="FFFFFF" w:val="clear"/>
              </w:rPr>
              <w:t>3.2、质保期出现的质量问题由投标人负责解决并承担所有费用。质保期后如需更换零部件，投标人应以优惠价提供。</w:t>
            </w:r>
          </w:p>
          <w:p>
            <w:pPr>
              <w:pStyle w:val="null3"/>
              <w:ind w:firstLine="367"/>
              <w:jc w:val="both"/>
            </w:pPr>
            <w:r>
              <w:rPr>
                <w:rFonts w:ascii="仿宋_GB2312" w:hAnsi="仿宋_GB2312" w:cs="仿宋_GB2312" w:eastAsia="仿宋_GB2312"/>
                <w:sz w:val="21"/>
                <w:color w:val="000000"/>
                <w:shd w:fill="FFFFFF" w:val="clear"/>
              </w:rPr>
              <w:t>3.3、本项目设备售后服务及培训要求。</w:t>
            </w:r>
          </w:p>
          <w:p>
            <w:pPr>
              <w:pStyle w:val="null3"/>
              <w:ind w:firstLine="367"/>
              <w:jc w:val="left"/>
            </w:pPr>
            <w:r>
              <w:rPr>
                <w:rFonts w:ascii="仿宋_GB2312" w:hAnsi="仿宋_GB2312" w:cs="仿宋_GB2312" w:eastAsia="仿宋_GB2312"/>
                <w:sz w:val="21"/>
                <w:color w:val="000000"/>
                <w:shd w:fill="FFFFFF" w:val="clear"/>
              </w:rPr>
              <w:t>3.3.1、投标人应提供所投的设备的合格证、设备说明等资料。</w:t>
            </w:r>
          </w:p>
          <w:p>
            <w:pPr>
              <w:pStyle w:val="null3"/>
              <w:ind w:firstLine="369"/>
              <w:jc w:val="left"/>
            </w:pPr>
            <w:r>
              <w:rPr>
                <w:rFonts w:ascii="仿宋_GB2312" w:hAnsi="仿宋_GB2312" w:cs="仿宋_GB2312" w:eastAsia="仿宋_GB2312"/>
                <w:sz w:val="21"/>
                <w:b/>
                <w:color w:val="000000"/>
                <w:shd w:fill="FFFFFF" w:val="clear"/>
              </w:rPr>
              <w:t>4、其他要求</w:t>
            </w:r>
          </w:p>
          <w:p>
            <w:pPr>
              <w:pStyle w:val="null3"/>
              <w:ind w:firstLine="420"/>
              <w:jc w:val="left"/>
            </w:pPr>
            <w:r>
              <w:rPr>
                <w:rFonts w:ascii="仿宋_GB2312" w:hAnsi="仿宋_GB2312" w:cs="仿宋_GB2312" w:eastAsia="仿宋_GB2312"/>
                <w:sz w:val="21"/>
                <w:color w:val="000000"/>
                <w:shd w:fill="FFFFFF" w:val="clear"/>
              </w:rPr>
              <w:t>4.1、进场安装工作人员须配戴工作牌，提前与采购人约定设备进场安装时间，以不影响采购人日常工作为原则。</w:t>
            </w:r>
          </w:p>
          <w:p>
            <w:pPr>
              <w:pStyle w:val="null3"/>
              <w:ind w:firstLine="420"/>
              <w:jc w:val="left"/>
            </w:pPr>
            <w:r>
              <w:rPr>
                <w:rFonts w:ascii="仿宋_GB2312" w:hAnsi="仿宋_GB2312" w:cs="仿宋_GB2312" w:eastAsia="仿宋_GB2312"/>
                <w:sz w:val="21"/>
                <w:color w:val="000000"/>
                <w:shd w:fill="FFFFFF" w:val="clear"/>
              </w:rPr>
              <w:t>4.2、工完场清，当日作业当日清，机具、工具整理清。</w:t>
            </w:r>
          </w:p>
          <w:p>
            <w:pPr>
              <w:pStyle w:val="null3"/>
              <w:ind w:firstLine="420"/>
              <w:jc w:val="left"/>
            </w:pPr>
            <w:r>
              <w:rPr>
                <w:rFonts w:ascii="仿宋_GB2312" w:hAnsi="仿宋_GB2312" w:cs="仿宋_GB2312" w:eastAsia="仿宋_GB2312"/>
                <w:sz w:val="21"/>
                <w:color w:val="000000"/>
                <w:shd w:fill="FFFFFF" w:val="clear"/>
              </w:rPr>
              <w:t>4.3、安装人员须具备较强的专业技能，严格按照国家相关标准和行业规范进行施工和安装，成交投标人须派技术人员现场进行指导，确保装机质量。</w:t>
            </w:r>
          </w:p>
          <w:p>
            <w:pPr>
              <w:pStyle w:val="null3"/>
              <w:ind w:firstLine="422"/>
              <w:jc w:val="left"/>
            </w:pPr>
            <w:r>
              <w:rPr>
                <w:rFonts w:ascii="仿宋_GB2312" w:hAnsi="仿宋_GB2312" w:cs="仿宋_GB2312" w:eastAsia="仿宋_GB2312"/>
                <w:sz w:val="21"/>
                <w:color w:val="000000"/>
                <w:shd w:fill="FFFFFF" w:val="clear"/>
              </w:rPr>
              <w:t>4.3、</w:t>
            </w:r>
            <w:r>
              <w:rPr>
                <w:rFonts w:ascii="仿宋_GB2312" w:hAnsi="仿宋_GB2312" w:cs="仿宋_GB2312" w:eastAsia="仿宋_GB2312"/>
                <w:sz w:val="21"/>
                <w:color w:val="000000"/>
                <w:shd w:fill="FFFFFF" w:val="clear"/>
              </w:rPr>
              <w:t>故</w:t>
            </w:r>
            <w:r>
              <w:rPr>
                <w:rFonts w:ascii="仿宋_GB2312" w:hAnsi="仿宋_GB2312" w:cs="仿宋_GB2312" w:eastAsia="仿宋_GB2312"/>
                <w:sz w:val="21"/>
                <w:color w:val="000000"/>
                <w:shd w:fill="FFFFFF" w:val="clear"/>
              </w:rPr>
              <w:t>障响应</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小时内响应，</w:t>
            </w:r>
            <w:r>
              <w:rPr>
                <w:rFonts w:ascii="仿宋_GB2312" w:hAnsi="仿宋_GB2312" w:cs="仿宋_GB2312" w:eastAsia="仿宋_GB2312"/>
                <w:sz w:val="21"/>
                <w:color w:val="000000"/>
                <w:shd w:fill="FFFFFF" w:val="clear"/>
              </w:rPr>
              <w:t>24</w:t>
            </w:r>
            <w:r>
              <w:rPr>
                <w:rFonts w:ascii="仿宋_GB2312" w:hAnsi="仿宋_GB2312" w:cs="仿宋_GB2312" w:eastAsia="仿宋_GB2312"/>
                <w:sz w:val="21"/>
                <w:color w:val="000000"/>
                <w:shd w:fill="FFFFFF" w:val="clear"/>
              </w:rPr>
              <w:t>小时内到达现场处理</w:t>
            </w:r>
            <w:r>
              <w:rPr>
                <w:rFonts w:ascii="仿宋_GB2312" w:hAnsi="仿宋_GB2312" w:cs="仿宋_GB2312" w:eastAsia="仿宋_GB2312"/>
                <w:sz w:val="21"/>
                <w:color w:val="000000"/>
                <w:shd w:fill="FFFFFF" w:val="clear"/>
              </w:rPr>
              <w:t>。</w:t>
            </w:r>
          </w:p>
          <w:p>
            <w:pPr>
              <w:pStyle w:val="null3"/>
              <w:ind w:firstLine="422"/>
              <w:jc w:val="left"/>
            </w:pPr>
            <w:r>
              <w:rPr>
                <w:rFonts w:ascii="仿宋_GB2312" w:hAnsi="仿宋_GB2312" w:cs="仿宋_GB2312" w:eastAsia="仿宋_GB2312"/>
                <w:sz w:val="21"/>
                <w:b/>
                <w:color w:val="000000"/>
                <w:shd w:fill="FFFFFF" w:val="clear"/>
              </w:rPr>
              <w:t>5、项目检验与验收</w:t>
            </w:r>
          </w:p>
          <w:p>
            <w:pPr>
              <w:pStyle w:val="null3"/>
              <w:ind w:firstLine="420"/>
              <w:jc w:val="left"/>
            </w:pPr>
            <w:r>
              <w:rPr>
                <w:rFonts w:ascii="仿宋_GB2312" w:hAnsi="仿宋_GB2312" w:cs="仿宋_GB2312" w:eastAsia="仿宋_GB2312"/>
                <w:sz w:val="21"/>
                <w:color w:val="000000"/>
                <w:shd w:fill="FFFFFF" w:val="clear"/>
              </w:rPr>
              <w:t>5.1、成交投标人向采购人提交项目实施过程中的所有资料。</w:t>
            </w:r>
          </w:p>
          <w:p>
            <w:pPr>
              <w:pStyle w:val="null3"/>
              <w:ind w:firstLine="420"/>
              <w:jc w:val="left"/>
            </w:pPr>
            <w:r>
              <w:rPr>
                <w:rFonts w:ascii="仿宋_GB2312" w:hAnsi="仿宋_GB2312" w:cs="仿宋_GB2312" w:eastAsia="仿宋_GB2312"/>
                <w:sz w:val="21"/>
                <w:color w:val="000000"/>
                <w:shd w:fill="FFFFFF" w:val="clear"/>
              </w:rPr>
              <w:t>5.2、验收须以合同、招标文件及响应文件、澄清、及国家相应的标准、规范等为依据。</w:t>
            </w:r>
          </w:p>
          <w:p>
            <w:pPr>
              <w:pStyle w:val="null3"/>
              <w:ind w:firstLine="420"/>
              <w:jc w:val="left"/>
            </w:pPr>
            <w:r>
              <w:rPr>
                <w:rFonts w:ascii="仿宋_GB2312" w:hAnsi="仿宋_GB2312" w:cs="仿宋_GB2312" w:eastAsia="仿宋_GB2312"/>
                <w:sz w:val="21"/>
                <w:color w:val="000000"/>
                <w:shd w:fill="FFFFFF" w:val="clear"/>
              </w:rPr>
              <w:t>5.2.1、符合中华人民共和国国家和履约地相关安全质量标准、行业技术规范标准、环保节能标准；</w:t>
            </w:r>
          </w:p>
          <w:p>
            <w:pPr>
              <w:pStyle w:val="null3"/>
              <w:ind w:firstLine="420"/>
              <w:jc w:val="left"/>
            </w:pPr>
            <w:r>
              <w:rPr>
                <w:rFonts w:ascii="仿宋_GB2312" w:hAnsi="仿宋_GB2312" w:cs="仿宋_GB2312" w:eastAsia="仿宋_GB2312"/>
                <w:sz w:val="21"/>
                <w:color w:val="000000"/>
                <w:shd w:fill="FFFFFF" w:val="clear"/>
              </w:rPr>
              <w:t>5.2.2、符合招标文件和响应文件承诺中采购人认可的合理最佳配置、参数规格及各项要求；</w:t>
            </w:r>
          </w:p>
          <w:p>
            <w:pPr>
              <w:pStyle w:val="null3"/>
              <w:ind w:firstLine="420"/>
              <w:jc w:val="left"/>
            </w:pPr>
            <w:r>
              <w:rPr>
                <w:rFonts w:ascii="仿宋_GB2312" w:hAnsi="仿宋_GB2312" w:cs="仿宋_GB2312" w:eastAsia="仿宋_GB2312"/>
                <w:sz w:val="21"/>
                <w:color w:val="000000"/>
                <w:shd w:fill="FFFFFF" w:val="clear"/>
              </w:rPr>
              <w:t>5.2.3、双方约定的其他验收标准。</w:t>
            </w:r>
          </w:p>
          <w:p>
            <w:pPr>
              <w:pStyle w:val="null3"/>
              <w:ind w:firstLine="420"/>
              <w:jc w:val="left"/>
            </w:pPr>
            <w:r>
              <w:rPr>
                <w:rFonts w:ascii="仿宋_GB2312" w:hAnsi="仿宋_GB2312" w:cs="仿宋_GB2312" w:eastAsia="仿宋_GB2312"/>
                <w:sz w:val="21"/>
                <w:color w:val="000000"/>
                <w:shd w:fill="FFFFFF" w:val="clear"/>
              </w:rPr>
              <w:t>5.3、采购人在合同的履行期间以及履行期后，可以随时检查项目的执行情况，对采购标准、采购内容进行调查核实，并对发现的问题进行处理。</w:t>
            </w:r>
          </w:p>
          <w:p>
            <w:pPr>
              <w:pStyle w:val="null3"/>
              <w:ind w:firstLine="369"/>
              <w:jc w:val="left"/>
            </w:pPr>
            <w:r>
              <w:rPr>
                <w:rFonts w:ascii="仿宋_GB2312" w:hAnsi="仿宋_GB2312" w:cs="仿宋_GB2312" w:eastAsia="仿宋_GB2312"/>
                <w:sz w:val="21"/>
                <w:b/>
                <w:color w:val="000000"/>
                <w:shd w:fill="FFFFFF" w:val="clear"/>
              </w:rPr>
              <w:t>6、合同的变更、中止、终止</w:t>
            </w:r>
          </w:p>
          <w:p>
            <w:pPr>
              <w:pStyle w:val="null3"/>
              <w:ind w:firstLine="420"/>
              <w:jc w:val="left"/>
            </w:pPr>
            <w:r>
              <w:rPr>
                <w:rFonts w:ascii="仿宋_GB2312" w:hAnsi="仿宋_GB2312" w:cs="仿宋_GB2312" w:eastAsia="仿宋_GB2312"/>
                <w:sz w:val="21"/>
                <w:color w:val="000000"/>
                <w:shd w:fill="FFFFFF" w:val="clear"/>
              </w:rPr>
              <w:t>合同一经签订，不得擅自变更、中止或者终止合同。对确需变更、调整或者中止、终止合同的，由双方协商解决。</w:t>
            </w:r>
          </w:p>
          <w:p>
            <w:pPr>
              <w:pStyle w:val="null3"/>
              <w:ind w:firstLine="369"/>
              <w:jc w:val="left"/>
            </w:pPr>
            <w:r>
              <w:rPr>
                <w:rFonts w:ascii="仿宋_GB2312" w:hAnsi="仿宋_GB2312" w:cs="仿宋_GB2312" w:eastAsia="仿宋_GB2312"/>
                <w:sz w:val="21"/>
                <w:b/>
                <w:color w:val="000000"/>
                <w:shd w:fill="FFFFFF" w:val="clear"/>
              </w:rPr>
              <w:t>7、合同争议的解决</w:t>
            </w:r>
          </w:p>
          <w:p>
            <w:pPr>
              <w:pStyle w:val="null3"/>
              <w:spacing w:before="120"/>
              <w:ind w:left="-240" w:firstLine="630"/>
              <w:jc w:val="both"/>
            </w:pPr>
            <w:r>
              <w:rPr>
                <w:rFonts w:ascii="仿宋_GB2312" w:hAnsi="仿宋_GB2312" w:cs="仿宋_GB2312" w:eastAsia="仿宋_GB2312"/>
                <w:sz w:val="21"/>
                <w:color w:val="000000"/>
                <w:shd w:fill="FFFFFF" w:val="clear"/>
              </w:rPr>
              <w:t>合同履行期间，若双方发生争议，可协商或由有关部门调解解决，协商或调解不成的，可向甲方所在地汉台区人民法院提起诉讼。</w:t>
            </w:r>
          </w:p>
          <w:p>
            <w:pPr>
              <w:pStyle w:val="null3"/>
              <w:ind w:firstLine="369"/>
              <w:jc w:val="left"/>
            </w:pPr>
            <w:r>
              <w:rPr>
                <w:rFonts w:ascii="仿宋_GB2312" w:hAnsi="仿宋_GB2312" w:cs="仿宋_GB2312" w:eastAsia="仿宋_GB2312"/>
                <w:sz w:val="21"/>
                <w:b/>
                <w:color w:val="000000"/>
                <w:shd w:fill="FFFFFF" w:val="clear"/>
              </w:rPr>
              <w:t>8、违约责任</w:t>
            </w:r>
          </w:p>
          <w:p>
            <w:pPr>
              <w:pStyle w:val="null3"/>
              <w:ind w:firstLine="420"/>
              <w:jc w:val="left"/>
            </w:pPr>
            <w:r>
              <w:rPr>
                <w:rFonts w:ascii="仿宋_GB2312" w:hAnsi="仿宋_GB2312" w:cs="仿宋_GB2312" w:eastAsia="仿宋_GB2312"/>
                <w:sz w:val="21"/>
                <w:color w:val="000000"/>
                <w:shd w:fill="FFFFFF" w:val="clear"/>
              </w:rPr>
              <w:t>8.1、依据《中华人民共和国民法典》《中华人民共和国政府采购法》的相关条款和本合同约定的相关条款执行。</w:t>
            </w:r>
          </w:p>
          <w:p>
            <w:pPr>
              <w:pStyle w:val="null3"/>
              <w:ind w:firstLine="367"/>
              <w:jc w:val="both"/>
            </w:pPr>
            <w:r>
              <w:rPr>
                <w:rFonts w:ascii="仿宋_GB2312" w:hAnsi="仿宋_GB2312" w:cs="仿宋_GB2312" w:eastAsia="仿宋_GB2312"/>
                <w:sz w:val="21"/>
                <w:color w:val="000000"/>
                <w:shd w:fill="FFFFFF" w:val="clear"/>
              </w:rPr>
              <w:t>8.2、成交投标人未按合同要求履行，不符合采购技术要求，成交投标人必须无条件更换人员或设备，提高技术，完善质量，否则，采购人有权终止合同，并对成交投标人的违约行为进行追究并依法向成交投标人进行经济索赔。</w:t>
            </w:r>
          </w:p>
          <w:p>
            <w:pPr>
              <w:pStyle w:val="null3"/>
              <w:jc w:val="left"/>
            </w:pPr>
            <w:r>
              <w:rPr>
                <w:rFonts w:ascii="仿宋_GB2312" w:hAnsi="仿宋_GB2312" w:cs="仿宋_GB2312" w:eastAsia="仿宋_GB2312"/>
                <w:sz w:val="21"/>
                <w:b/>
                <w:color w:val="000000"/>
                <w:shd w:fill="FFFFFF" w:val="clear"/>
              </w:rPr>
              <w:t>注：以上商务要求为实质性响应条款，不接受负偏离。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交付期：自合同签订之日起1个月内交付。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1、成交投标人向采购人提交项目实施过程中的所有资料。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4、符合招标文件和投标文件承诺中采购人认可的合理最佳配置、参数规格及各项要求；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质保期：3年，从验收合格之日起计算。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1.乙方应按合同约定时间完成各阶段合同义务，若发生延迟，乙方应向甲方支付合同总价款10%的违约金，且甲方有权单方解除本合同。但甲方书面同意延迟或因甲方原因导致延迟的，乙方不承担违约责任。 2.除不可抗力因素外，如甲方未能在本合同约定时间内支付款项，每延迟一天，甲方须向乙方承担迟延支付费用的0.5‰作为违约金，并将服务周期予以相应顺延。 3.本次活动因乙方原因导致侵害甲方或第三方合法权益的，应由乙方承担相应赔偿责任，并向甲方支付合同总价款10%的违约金。 4.若乙方未经甲方同意泄露本合同约定的任何秘密信息的，乙方应按照合同总价款的10%向甲方支付违约金，并赔偿因此给甲方造成的损失。 5.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 3、支持本国产业政策：依据《国务院办公厅关于在政府采购中实施本国产品标准及相关政策的通知》和《陕西省财政厅-关于在政府采购活动中实施本国产品标准及相关政策的通知》（陕财办采〔2026〕2号）等文件。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投标人应授权合法的人员参加招标全过程</w:t>
            </w:r>
          </w:p>
        </w:tc>
        <w:tc>
          <w:tcPr>
            <w:tcW w:type="dxa" w:w="3322"/>
          </w:tcPr>
          <w:p>
            <w:pPr>
              <w:pStyle w:val="null3"/>
            </w:pPr>
            <w:r>
              <w:rPr>
                <w:rFonts w:ascii="仿宋_GB2312" w:hAnsi="仿宋_GB2312" w:cs="仿宋_GB2312" w:eastAsia="仿宋_GB2312"/>
              </w:rPr>
              <w:t>法定代表人直接参加招标的，须出具法人身份证（附法定代表人身份证复印件）；法定代表人授权代表参加招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投标人医疗类资质要求</w:t>
            </w:r>
          </w:p>
        </w:tc>
        <w:tc>
          <w:tcPr>
            <w:tcW w:type="dxa" w:w="3322"/>
          </w:tcPr>
          <w:p>
            <w:pPr>
              <w:pStyle w:val="null3"/>
            </w:pPr>
            <w:r>
              <w:rPr>
                <w:rFonts w:ascii="仿宋_GB2312" w:hAnsi="仿宋_GB2312" w:cs="仿宋_GB2312" w:eastAsia="仿宋_GB2312"/>
              </w:rPr>
              <w:t>①投标人为生产厂商的须提供《医疗器械生产许可证》或《医疗器械生产备案凭证》，为代理商的须提供《医疗器械经营许可证》和《医疗器械经营备案凭证》；纳入医疗器械注册管理的，提供医疗器械注册证；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商务要求响应表</w:t>
            </w:r>
          </w:p>
        </w:tc>
        <w:tc>
          <w:tcPr>
            <w:tcW w:type="dxa" w:w="3322"/>
          </w:tcPr>
          <w:p>
            <w:pPr>
              <w:pStyle w:val="null3"/>
            </w:pPr>
            <w:r>
              <w:rPr>
                <w:rFonts w:ascii="仿宋_GB2312" w:hAnsi="仿宋_GB2312" w:cs="仿宋_GB2312" w:eastAsia="仿宋_GB2312"/>
              </w:rPr>
              <w:t>应符合招标文件内要求。</w:t>
            </w:r>
          </w:p>
        </w:tc>
        <w:tc>
          <w:tcPr>
            <w:tcW w:type="dxa" w:w="1661"/>
          </w:tcPr>
          <w:p>
            <w:pPr>
              <w:pStyle w:val="null3"/>
            </w:pPr>
            <w:r>
              <w:rPr>
                <w:rFonts w:ascii="仿宋_GB2312" w:hAnsi="仿宋_GB2312" w:cs="仿宋_GB2312" w:eastAsia="仿宋_GB2312"/>
              </w:rPr>
              <w:t>商务要求响应表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签字及盖章</w:t>
            </w:r>
          </w:p>
        </w:tc>
        <w:tc>
          <w:tcPr>
            <w:tcW w:type="dxa" w:w="3322"/>
          </w:tcPr>
          <w:p>
            <w:pPr>
              <w:pStyle w:val="null3"/>
            </w:pPr>
            <w:r>
              <w:rPr>
                <w:rFonts w:ascii="仿宋_GB2312" w:hAnsi="仿宋_GB2312" w:cs="仿宋_GB2312" w:eastAsia="仿宋_GB2312"/>
              </w:rPr>
              <w:t>应符合招标文件内给出的格式要求。</w:t>
            </w:r>
          </w:p>
        </w:tc>
        <w:tc>
          <w:tcPr>
            <w:tcW w:type="dxa" w:w="1661"/>
          </w:tcPr>
          <w:p>
            <w:pPr>
              <w:pStyle w:val="null3"/>
            </w:pPr>
            <w:r>
              <w:rPr>
                <w:rFonts w:ascii="仿宋_GB2312" w:hAnsi="仿宋_GB2312" w:cs="仿宋_GB2312" w:eastAsia="仿宋_GB2312"/>
              </w:rPr>
              <w:t>开标一览表 所投产品的技术参数、配置和功能需求（技术参数偏离表） 中小企业声明函 项目整体实施方案等 商务要求响应表 投标人应提交的相关资格证明材料 投标函 残疾人福利性单位声明函 产品分项报价表 标的清单 投标文件封面 其他材料及供应商认为有必要说明、阐述的事项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投标人所投标产品完全满足招标文件技术参数要求，得15分； ①标“▲”技术参数需提供检测报告或技术白皮书或宣传彩页等证明材料与之对应，未提供证明材料或每负偏离一项扣2分，最高扣4分； ②非“▲”技术参数每偏离一项扣1分，最高扣11分。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所投产品的技术参数、配置和功能需求（技术参数偏离表）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提供2024年1月至今类似项目业绩，提供一份得1.5分，最高得3分，投标文件中须附中标/成交通知书或合同复印件，未提供不得分。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核心产品合法来源渠道证明：投标人需提供产品授权书或销售协议等证明材料，提供得3分，未提供不得分。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 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 ①各类故障解决措施及响应时间、②日常维护方案及应急预案、③售后服务网点及售后服务人员安排、④售后服务承诺。 二、赋分标准 1、完整性：上述各项内容均有描述，得2分；每缺1项扣0.5分，扣完为止。此项不提供不得分。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投标人提供详尽的培训方案，并列出培训的具体内容及方式，确保使用人员能够独立操作，并进行简单故障排查处理： ①培训人数、②培训时间、③培训内容。 二、赋分标准 1、完整性：对上述各项内容均有描述，得3分；每缺1项扣1分，扣完为止。此项不提供不得分。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项目整体实施方案等</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价格分统一采用低价优先法得算，即满足招标文件要求且报价最低的报价为评标基准价，其价格分为满分。其他投标人的价格分统一按照下列公式得算： 报价得分=(评标基准价／投标报价)×30 得算分数时四舍五入取小数点后两位。 注：①如投标人为小微企业、监狱企业、福利企业的，价格给予10%的扣除，并用扣除后的价格参与评标。②投标人提供完整有效的《关于符合本国产品标准的声明函》，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详见附件：所投产品的技术参数、配置和功能需求（技术参数偏离表）</w:t>
      </w:r>
    </w:p>
    <w:p>
      <w:pPr>
        <w:pStyle w:val="null3"/>
        <w:ind w:firstLine="960"/>
      </w:pPr>
      <w:r>
        <w:rPr>
          <w:rFonts w:ascii="仿宋_GB2312" w:hAnsi="仿宋_GB2312" w:cs="仿宋_GB2312" w:eastAsia="仿宋_GB2312"/>
        </w:rPr>
        <w:t>详见附件：项目整体实施方案等</w:t>
      </w:r>
    </w:p>
    <w:p>
      <w:pPr>
        <w:pStyle w:val="null3"/>
        <w:ind w:firstLine="960"/>
      </w:pPr>
      <w:r>
        <w:rPr>
          <w:rFonts w:ascii="仿宋_GB2312" w:hAnsi="仿宋_GB2312" w:cs="仿宋_GB2312" w:eastAsia="仿宋_GB2312"/>
        </w:rPr>
        <w:t>详见附件：其他材料及供应商认为有必要说明、阐述的事项</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