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55680">
      <w:pPr>
        <w:spacing w:line="360" w:lineRule="auto"/>
        <w:jc w:val="center"/>
        <w:rPr>
          <w:rFonts w:hint="eastAsia" w:asciiTheme="minorHAnsi" w:hAnsiTheme="minorHAnsi" w:eastAsiaTheme="minorEastAsia" w:cstheme="minorBidi"/>
          <w:b/>
          <w:bCs/>
          <w:sz w:val="40"/>
          <w:szCs w:val="40"/>
        </w:rPr>
      </w:pPr>
    </w:p>
    <w:p w14:paraId="0811305F">
      <w:pPr>
        <w:spacing w:line="360" w:lineRule="auto"/>
        <w:jc w:val="both"/>
        <w:rPr>
          <w:rFonts w:hint="eastAsia" w:asciiTheme="minorHAnsi" w:hAnsiTheme="minorHAnsi" w:eastAsiaTheme="minorEastAsia" w:cstheme="minorBidi"/>
          <w:b/>
          <w:bCs/>
          <w:sz w:val="40"/>
          <w:szCs w:val="40"/>
        </w:rPr>
      </w:pPr>
    </w:p>
    <w:p w14:paraId="395BD534">
      <w:pPr>
        <w:spacing w:line="360" w:lineRule="auto"/>
        <w:jc w:val="both"/>
        <w:rPr>
          <w:rFonts w:hint="eastAsia" w:asciiTheme="minorHAnsi" w:hAnsiTheme="minorHAnsi" w:eastAsiaTheme="minorEastAsia" w:cstheme="minorBidi"/>
          <w:b/>
          <w:bCs/>
          <w:sz w:val="40"/>
          <w:szCs w:val="40"/>
        </w:rPr>
      </w:pPr>
    </w:p>
    <w:p w14:paraId="37170B06">
      <w:pPr>
        <w:spacing w:line="360" w:lineRule="auto"/>
        <w:jc w:val="center"/>
        <w:rPr>
          <w:rFonts w:hint="eastAsia" w:asciiTheme="minorHAnsi" w:hAnsiTheme="minorHAnsi" w:eastAsiaTheme="minorEastAsia" w:cstheme="minorBidi"/>
          <w:b/>
          <w:bCs/>
          <w:sz w:val="40"/>
          <w:szCs w:val="40"/>
          <w:lang w:eastAsia="zh-CN"/>
        </w:rPr>
      </w:pPr>
      <w:r>
        <w:rPr>
          <w:rFonts w:hint="eastAsia" w:cstheme="minorBidi"/>
          <w:b/>
          <w:bCs/>
          <w:sz w:val="40"/>
          <w:szCs w:val="40"/>
          <w:lang w:eastAsia="zh-CN"/>
        </w:rPr>
        <w:t>南郑区市场监管系统基层市场所执法服装购置</w:t>
      </w:r>
    </w:p>
    <w:p w14:paraId="62C2D8EA">
      <w:pPr>
        <w:spacing w:line="360" w:lineRule="auto"/>
        <w:jc w:val="center"/>
        <w:rPr>
          <w:rFonts w:hint="eastAsia" w:cstheme="minorBidi"/>
          <w:b/>
          <w:bCs/>
          <w:sz w:val="40"/>
          <w:szCs w:val="40"/>
          <w:lang w:val="en-US" w:eastAsia="zh-CN"/>
        </w:rPr>
      </w:pPr>
    </w:p>
    <w:p w14:paraId="48925E15">
      <w:pPr>
        <w:spacing w:line="360" w:lineRule="auto"/>
        <w:jc w:val="center"/>
        <w:rPr>
          <w:rFonts w:hint="eastAsia" w:cstheme="minorBidi"/>
          <w:b/>
          <w:bCs/>
          <w:sz w:val="40"/>
          <w:szCs w:val="40"/>
          <w:lang w:val="en-US" w:eastAsia="zh-CN"/>
        </w:rPr>
      </w:pPr>
    </w:p>
    <w:p w14:paraId="0D43B56C">
      <w:pPr>
        <w:spacing w:line="360" w:lineRule="auto"/>
        <w:jc w:val="center"/>
        <w:rPr>
          <w:rFonts w:hint="eastAsia" w:cstheme="minorBidi"/>
          <w:b/>
          <w:bCs/>
          <w:sz w:val="40"/>
          <w:szCs w:val="40"/>
          <w:lang w:val="en-US" w:eastAsia="zh-CN"/>
        </w:rPr>
      </w:pPr>
    </w:p>
    <w:p w14:paraId="1004444B">
      <w:pPr>
        <w:spacing w:line="360" w:lineRule="auto"/>
        <w:jc w:val="center"/>
        <w:rPr>
          <w:rFonts w:hint="eastAsia" w:cstheme="minorBidi"/>
          <w:b/>
          <w:bCs/>
          <w:sz w:val="40"/>
          <w:szCs w:val="40"/>
          <w:lang w:val="en-US" w:eastAsia="zh-CN"/>
        </w:rPr>
      </w:pPr>
    </w:p>
    <w:p w14:paraId="6BD5F26C">
      <w:pPr>
        <w:spacing w:line="360" w:lineRule="auto"/>
        <w:jc w:val="center"/>
        <w:rPr>
          <w:rFonts w:hint="eastAsia" w:cstheme="minorBidi"/>
          <w:b/>
          <w:bCs/>
          <w:sz w:val="40"/>
          <w:szCs w:val="40"/>
          <w:lang w:val="en-US" w:eastAsia="zh-CN"/>
        </w:rPr>
      </w:pPr>
    </w:p>
    <w:p w14:paraId="2754F222">
      <w:pPr>
        <w:spacing w:line="360" w:lineRule="auto"/>
        <w:jc w:val="center"/>
        <w:rPr>
          <w:rFonts w:hint="eastAsia" w:cstheme="minorBidi"/>
          <w:b/>
          <w:bCs/>
          <w:sz w:val="40"/>
          <w:szCs w:val="40"/>
          <w:lang w:val="en-US" w:eastAsia="zh-CN"/>
        </w:rPr>
      </w:pPr>
    </w:p>
    <w:p w14:paraId="1BF6BDBD">
      <w:pPr>
        <w:spacing w:line="360" w:lineRule="auto"/>
        <w:jc w:val="center"/>
        <w:rPr>
          <w:rFonts w:asciiTheme="minorHAnsi" w:hAnsiTheme="minorHAnsi" w:eastAsiaTheme="minorEastAsia" w:cstheme="minorBidi"/>
          <w:b/>
          <w:bCs/>
          <w:sz w:val="40"/>
          <w:szCs w:val="40"/>
          <w:lang w:eastAsia="zh-Hans"/>
        </w:rPr>
      </w:pPr>
      <w:r>
        <w:rPr>
          <w:rFonts w:hint="eastAsia" w:cstheme="minorBidi"/>
          <w:b/>
          <w:bCs/>
          <w:sz w:val="40"/>
          <w:szCs w:val="40"/>
          <w:lang w:val="en-US" w:eastAsia="zh-CN"/>
        </w:rPr>
        <w:t>买  卖</w:t>
      </w:r>
      <w:r>
        <w:rPr>
          <w:rFonts w:hint="eastAsia" w:asciiTheme="minorHAnsi" w:hAnsiTheme="minorHAnsi" w:eastAsiaTheme="minorEastAsia" w:cstheme="minorBidi"/>
          <w:b/>
          <w:bCs/>
          <w:sz w:val="40"/>
          <w:szCs w:val="40"/>
          <w:lang w:eastAsia="zh-Hans"/>
        </w:rPr>
        <w:t xml:space="preserve"> 合 同</w:t>
      </w:r>
    </w:p>
    <w:p w14:paraId="54F68953">
      <w:pPr>
        <w:spacing w:line="360" w:lineRule="auto"/>
        <w:jc w:val="center"/>
        <w:rPr>
          <w:rFonts w:asciiTheme="minorHAnsi" w:hAnsiTheme="minorHAnsi" w:eastAsiaTheme="minorEastAsia" w:cstheme="minorBidi"/>
          <w:b/>
          <w:bCs/>
          <w:sz w:val="21"/>
          <w:szCs w:val="21"/>
          <w:lang w:eastAsia="zh-Hans"/>
        </w:rPr>
      </w:pPr>
    </w:p>
    <w:p w14:paraId="3D5ED29D">
      <w:pPr>
        <w:spacing w:line="360" w:lineRule="auto"/>
        <w:jc w:val="center"/>
        <w:rPr>
          <w:rFonts w:asciiTheme="minorHAnsi" w:hAnsiTheme="minorHAnsi" w:eastAsiaTheme="minorEastAsia" w:cstheme="minorBidi"/>
          <w:b/>
          <w:bCs/>
          <w:sz w:val="21"/>
          <w:szCs w:val="21"/>
          <w:lang w:eastAsia="zh-Hans"/>
        </w:rPr>
      </w:pPr>
    </w:p>
    <w:p w14:paraId="10B28246">
      <w:pPr>
        <w:spacing w:line="360" w:lineRule="auto"/>
        <w:jc w:val="center"/>
        <w:rPr>
          <w:rFonts w:asciiTheme="minorHAnsi" w:hAnsiTheme="minorHAnsi" w:eastAsiaTheme="minorEastAsia" w:cstheme="minorBidi"/>
          <w:b/>
          <w:bCs/>
          <w:sz w:val="21"/>
          <w:szCs w:val="21"/>
          <w:lang w:eastAsia="zh-Hans"/>
        </w:rPr>
      </w:pPr>
    </w:p>
    <w:p w14:paraId="51336A35">
      <w:pPr>
        <w:spacing w:line="360" w:lineRule="auto"/>
        <w:jc w:val="center"/>
        <w:rPr>
          <w:rFonts w:asciiTheme="minorHAnsi" w:hAnsiTheme="minorHAnsi" w:eastAsiaTheme="minorEastAsia" w:cstheme="minorBidi"/>
          <w:b/>
          <w:bCs/>
          <w:sz w:val="21"/>
          <w:szCs w:val="21"/>
          <w:lang w:eastAsia="zh-Hans"/>
        </w:rPr>
      </w:pPr>
    </w:p>
    <w:p w14:paraId="4D0FC2A3">
      <w:pPr>
        <w:spacing w:line="360" w:lineRule="auto"/>
        <w:jc w:val="center"/>
        <w:rPr>
          <w:rFonts w:asciiTheme="minorHAnsi" w:hAnsiTheme="minorHAnsi" w:eastAsiaTheme="minorEastAsia" w:cstheme="minorBidi"/>
          <w:b/>
          <w:bCs/>
          <w:sz w:val="21"/>
          <w:szCs w:val="21"/>
          <w:lang w:eastAsia="zh-Hans"/>
        </w:rPr>
      </w:pPr>
    </w:p>
    <w:p w14:paraId="34A7628D">
      <w:pPr>
        <w:spacing w:line="360" w:lineRule="auto"/>
        <w:jc w:val="both"/>
        <w:rPr>
          <w:rFonts w:asciiTheme="minorHAnsi" w:hAnsiTheme="minorHAnsi" w:eastAsiaTheme="minorEastAsia" w:cstheme="minorBidi"/>
          <w:b/>
          <w:bCs/>
          <w:sz w:val="21"/>
          <w:szCs w:val="21"/>
          <w:lang w:eastAsia="zh-Hans"/>
        </w:rPr>
      </w:pPr>
    </w:p>
    <w:p w14:paraId="5681F2A3">
      <w:pPr>
        <w:spacing w:line="360" w:lineRule="auto"/>
        <w:jc w:val="center"/>
        <w:rPr>
          <w:rFonts w:asciiTheme="minorHAnsi" w:hAnsiTheme="minorHAnsi" w:eastAsiaTheme="minorEastAsia" w:cstheme="minorBidi"/>
          <w:b/>
          <w:bCs/>
          <w:sz w:val="21"/>
          <w:szCs w:val="21"/>
          <w:lang w:eastAsia="zh-Hans"/>
        </w:rPr>
      </w:pPr>
    </w:p>
    <w:p w14:paraId="678A2603">
      <w:pPr>
        <w:spacing w:line="360" w:lineRule="auto"/>
        <w:jc w:val="center"/>
        <w:rPr>
          <w:rFonts w:asciiTheme="minorHAnsi" w:hAnsiTheme="minorHAnsi" w:eastAsiaTheme="minorEastAsia" w:cstheme="minorBidi"/>
          <w:b/>
          <w:bCs/>
          <w:sz w:val="21"/>
          <w:szCs w:val="21"/>
          <w:lang w:eastAsia="zh-Hans"/>
        </w:rPr>
      </w:pPr>
      <w:r>
        <w:rPr>
          <w:rFonts w:hint="eastAsia" w:asciiTheme="minorHAnsi" w:hAnsiTheme="minorHAnsi" w:eastAsiaTheme="minorEastAsia" w:cstheme="minorBidi"/>
          <w:b/>
          <w:bCs/>
          <w:sz w:val="21"/>
          <w:szCs w:val="21"/>
          <w:lang w:eastAsia="zh-Hans"/>
        </w:rPr>
        <w:t>（示范文本）</w:t>
      </w:r>
    </w:p>
    <w:p w14:paraId="25D57B69">
      <w:pPr>
        <w:spacing w:line="360" w:lineRule="auto"/>
        <w:jc w:val="left"/>
        <w:rPr>
          <w:rFonts w:asciiTheme="minorHAnsi" w:hAnsiTheme="minorHAnsi" w:eastAsiaTheme="minorEastAsia" w:cstheme="minorBidi"/>
          <w:b/>
          <w:bCs/>
          <w:sz w:val="21"/>
          <w:szCs w:val="21"/>
          <w:lang w:eastAsia="zh-Hans"/>
        </w:rPr>
      </w:pPr>
    </w:p>
    <w:p w14:paraId="3FA1776D">
      <w:pPr>
        <w:spacing w:line="360" w:lineRule="auto"/>
        <w:jc w:val="center"/>
        <w:rPr>
          <w:rFonts w:asciiTheme="minorHAnsi" w:hAnsiTheme="minorHAnsi" w:eastAsiaTheme="minorEastAsia" w:cstheme="minorBidi"/>
          <w:b/>
          <w:bCs/>
          <w:sz w:val="21"/>
          <w:szCs w:val="21"/>
          <w:lang w:eastAsia="zh-Hans"/>
        </w:rPr>
      </w:pPr>
      <w:r>
        <w:rPr>
          <w:rFonts w:hint="eastAsia" w:asciiTheme="minorHAnsi" w:hAnsiTheme="minorHAnsi" w:eastAsiaTheme="minorEastAsia" w:cstheme="minorBidi"/>
          <w:b/>
          <w:bCs/>
          <w:sz w:val="21"/>
          <w:szCs w:val="21"/>
          <w:lang w:eastAsia="zh-Hans"/>
        </w:rPr>
        <w:t>成交供应商和采购人也可根据项目特点自行拟定合同条款。</w:t>
      </w:r>
    </w:p>
    <w:p w14:paraId="04EFCC5D">
      <w:pPr>
        <w:pStyle w:val="11"/>
        <w:rPr>
          <w:rFonts w:hint="default"/>
        </w:rPr>
      </w:pPr>
    </w:p>
    <w:p w14:paraId="57DF8A7A">
      <w:pPr>
        <w:jc w:val="center"/>
        <w:outlineLvl w:val="0"/>
        <w:rPr>
          <w:rFonts w:ascii="Times New Roman" w:eastAsia="仿宋"/>
          <w:b/>
          <w:kern w:val="2"/>
          <w:sz w:val="36"/>
          <w:szCs w:val="24"/>
        </w:rPr>
      </w:pPr>
    </w:p>
    <w:p w14:paraId="5BD54048">
      <w:pPr>
        <w:jc w:val="center"/>
        <w:outlineLvl w:val="0"/>
        <w:rPr>
          <w:rFonts w:ascii="Times New Roman" w:eastAsia="仿宋"/>
          <w:b/>
          <w:kern w:val="2"/>
          <w:sz w:val="36"/>
          <w:szCs w:val="24"/>
        </w:rPr>
      </w:pPr>
    </w:p>
    <w:p w14:paraId="417A3843">
      <w:pPr>
        <w:pStyle w:val="3"/>
        <w:ind w:left="0" w:leftChars="0" w:firstLine="0" w:firstLineChars="0"/>
        <w:rPr>
          <w:rFonts w:ascii="Times New Roman" w:eastAsia="仿宋"/>
          <w:b/>
          <w:kern w:val="2"/>
          <w:sz w:val="36"/>
          <w:szCs w:val="24"/>
        </w:rPr>
      </w:pPr>
    </w:p>
    <w:p w14:paraId="4A6B873B">
      <w:pPr>
        <w:jc w:val="both"/>
        <w:outlineLvl w:val="0"/>
        <w:rPr>
          <w:rFonts w:hint="eastAsia" w:asciiTheme="minorEastAsia" w:hAnsiTheme="minorEastAsia" w:eastAsiaTheme="minorEastAsia" w:cstheme="minorEastAsia"/>
          <w:b/>
          <w:kern w:val="2"/>
          <w:sz w:val="20"/>
        </w:rPr>
      </w:pPr>
      <w:bookmarkStart w:id="36" w:name="_GoBack"/>
      <w:bookmarkEnd w:id="36"/>
    </w:p>
    <w:p w14:paraId="22B53198">
      <w:pPr>
        <w:jc w:val="center"/>
        <w:outlineLvl w:val="0"/>
        <w:rPr>
          <w:rFonts w:asciiTheme="minorEastAsia" w:hAnsiTheme="minorEastAsia" w:eastAsiaTheme="minorEastAsia" w:cstheme="minorEastAsia"/>
          <w:b/>
          <w:kern w:val="2"/>
          <w:sz w:val="20"/>
        </w:rPr>
      </w:pPr>
      <w:r>
        <w:rPr>
          <w:rFonts w:hint="eastAsia" w:asciiTheme="minorEastAsia" w:hAnsiTheme="minorEastAsia" w:eastAsiaTheme="minorEastAsia" w:cstheme="minorEastAsia"/>
          <w:b/>
          <w:kern w:val="2"/>
          <w:sz w:val="20"/>
        </w:rPr>
        <w:t>合同条款</w:t>
      </w:r>
    </w:p>
    <w:p w14:paraId="65DC25FF">
      <w:pPr>
        <w:tabs>
          <w:tab w:val="left" w:pos="735"/>
        </w:tabs>
        <w:autoSpaceDE w:val="0"/>
        <w:autoSpaceDN w:val="0"/>
        <w:adjustRightInd w:val="0"/>
        <w:snapToGrid w:val="0"/>
        <w:spacing w:line="420" w:lineRule="exact"/>
        <w:ind w:firstLine="394" w:firstLineChars="196"/>
        <w:rPr>
          <w:rFonts w:asciiTheme="minorEastAsia" w:hAnsiTheme="minorEastAsia" w:eastAsiaTheme="minorEastAsia" w:cstheme="minorEastAsia"/>
          <w:b/>
          <w:bCs/>
          <w:sz w:val="20"/>
          <w:lang w:val="zh-CN"/>
        </w:rPr>
      </w:pPr>
      <w:r>
        <w:rPr>
          <w:rFonts w:hint="eastAsia" w:asciiTheme="minorEastAsia" w:hAnsiTheme="minorEastAsia" w:eastAsiaTheme="minorEastAsia" w:cstheme="minorEastAsia"/>
          <w:b/>
          <w:sz w:val="20"/>
          <w:lang w:val="zh-CN"/>
        </w:rPr>
        <w:t>（此合同草案条款，除</w:t>
      </w:r>
      <w:r>
        <w:rPr>
          <w:rFonts w:hint="eastAsia" w:asciiTheme="minorEastAsia" w:hAnsiTheme="minorEastAsia" w:eastAsiaTheme="minorEastAsia" w:cstheme="minorEastAsia"/>
          <w:b/>
          <w:sz w:val="20"/>
        </w:rPr>
        <w:t>商务要求</w:t>
      </w:r>
      <w:r>
        <w:rPr>
          <w:rFonts w:hint="eastAsia" w:asciiTheme="minorEastAsia" w:hAnsiTheme="minorEastAsia" w:eastAsiaTheme="minorEastAsia" w:cstheme="minorEastAsia"/>
          <w:b/>
          <w:sz w:val="20"/>
          <w:lang w:val="zh-CN"/>
        </w:rPr>
        <w:t>外，其余部分只作为参考，最终签订的合同以采购人确定的合同内容为准。）</w:t>
      </w:r>
    </w:p>
    <w:p w14:paraId="6F48D415">
      <w:pPr>
        <w:autoSpaceDE w:val="0"/>
        <w:autoSpaceDN w:val="0"/>
        <w:adjustRightInd w:val="0"/>
        <w:spacing w:line="360" w:lineRule="auto"/>
        <w:ind w:firstLine="400" w:firstLineChars="200"/>
        <w:rPr>
          <w:rFonts w:asciiTheme="minorEastAsia" w:hAnsiTheme="minorEastAsia" w:eastAsiaTheme="minorEastAsia" w:cstheme="minorEastAsia"/>
          <w:bCs/>
          <w:sz w:val="20"/>
        </w:rPr>
      </w:pPr>
    </w:p>
    <w:p w14:paraId="31A3FD62">
      <w:pPr>
        <w:pStyle w:val="12"/>
        <w:spacing w:line="48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甲方（买方）：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签订地点：</w:t>
      </w:r>
      <w:r>
        <w:rPr>
          <w:rFonts w:hint="eastAsia" w:ascii="宋体" w:hAnsi="宋体" w:eastAsia="宋体" w:cs="宋体"/>
          <w:sz w:val="24"/>
          <w:szCs w:val="24"/>
          <w:u w:val="single"/>
        </w:rPr>
        <w:t xml:space="preserve">                    </w:t>
      </w:r>
    </w:p>
    <w:p w14:paraId="0BA945BB">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乙方（卖方）：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签订时间：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6C9CA21">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为保障买卖双方的合法权益，根据《中华人民共和国民法典》及有关法律法规的规定，买卖双方经友好而充分的协商，本着平等互利、自觉自愿的原则，一致同意按下列条款签订本合同：</w:t>
      </w:r>
    </w:p>
    <w:p w14:paraId="419B3127">
      <w:pPr>
        <w:spacing w:line="480" w:lineRule="exact"/>
        <w:outlineLvl w:val="1"/>
        <w:rPr>
          <w:rFonts w:hint="eastAsia" w:ascii="宋体" w:hAnsi="宋体" w:eastAsia="宋体" w:cs="宋体"/>
          <w:b/>
          <w:sz w:val="24"/>
          <w:szCs w:val="24"/>
        </w:rPr>
      </w:pPr>
      <w:bookmarkStart w:id="0" w:name="_Toc27665"/>
      <w:bookmarkStart w:id="1" w:name="_Toc30942"/>
      <w:bookmarkStart w:id="2" w:name="_Toc3145"/>
      <w:r>
        <w:rPr>
          <w:rFonts w:hint="eastAsia" w:ascii="宋体" w:hAnsi="宋体" w:eastAsia="宋体" w:cs="宋体"/>
          <w:b/>
          <w:sz w:val="24"/>
          <w:szCs w:val="24"/>
        </w:rPr>
        <w:t>一、货物名称、型号、数量、金额、数量</w:t>
      </w:r>
      <w:bookmarkEnd w:id="0"/>
      <w:bookmarkEnd w:id="1"/>
      <w:bookmarkEnd w:id="2"/>
    </w:p>
    <w:tbl>
      <w:tblPr>
        <w:tblStyle w:val="9"/>
        <w:tblW w:w="9617"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2084"/>
        <w:gridCol w:w="1306"/>
        <w:gridCol w:w="1139"/>
        <w:gridCol w:w="1513"/>
        <w:gridCol w:w="1908"/>
      </w:tblGrid>
      <w:tr w14:paraId="4BE1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67" w:type="dxa"/>
            <w:vAlign w:val="center"/>
          </w:tcPr>
          <w:p w14:paraId="42651F0F">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货物名称</w:t>
            </w:r>
          </w:p>
        </w:tc>
        <w:tc>
          <w:tcPr>
            <w:tcW w:w="2084" w:type="dxa"/>
            <w:vAlign w:val="center"/>
          </w:tcPr>
          <w:p w14:paraId="5B66F2E4">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规格型号</w:t>
            </w:r>
          </w:p>
        </w:tc>
        <w:tc>
          <w:tcPr>
            <w:tcW w:w="1306" w:type="dxa"/>
            <w:vAlign w:val="center"/>
          </w:tcPr>
          <w:p w14:paraId="131A4315">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计量单位</w:t>
            </w:r>
          </w:p>
        </w:tc>
        <w:tc>
          <w:tcPr>
            <w:tcW w:w="1139" w:type="dxa"/>
            <w:vAlign w:val="center"/>
          </w:tcPr>
          <w:p w14:paraId="5E329081">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数量</w:t>
            </w:r>
          </w:p>
        </w:tc>
        <w:tc>
          <w:tcPr>
            <w:tcW w:w="1513" w:type="dxa"/>
            <w:vAlign w:val="center"/>
          </w:tcPr>
          <w:p w14:paraId="300F6402">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单价（元）</w:t>
            </w:r>
          </w:p>
        </w:tc>
        <w:tc>
          <w:tcPr>
            <w:tcW w:w="1908" w:type="dxa"/>
            <w:vAlign w:val="center"/>
          </w:tcPr>
          <w:p w14:paraId="26315131">
            <w:pPr>
              <w:spacing w:line="480" w:lineRule="exact"/>
              <w:jc w:val="center"/>
              <w:rPr>
                <w:rFonts w:hint="eastAsia" w:ascii="宋体" w:hAnsi="宋体" w:eastAsia="宋体" w:cs="宋体"/>
                <w:b/>
                <w:sz w:val="24"/>
                <w:szCs w:val="24"/>
              </w:rPr>
            </w:pPr>
            <w:r>
              <w:rPr>
                <w:rFonts w:hint="eastAsia" w:ascii="宋体" w:hAnsi="宋体" w:eastAsia="宋体" w:cs="宋体"/>
                <w:b/>
                <w:sz w:val="24"/>
                <w:szCs w:val="24"/>
              </w:rPr>
              <w:t>总金额（元）</w:t>
            </w:r>
          </w:p>
        </w:tc>
      </w:tr>
      <w:tr w14:paraId="67ACD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exact"/>
        </w:trPr>
        <w:tc>
          <w:tcPr>
            <w:tcW w:w="1667" w:type="dxa"/>
            <w:vAlign w:val="center"/>
          </w:tcPr>
          <w:p w14:paraId="592B6028">
            <w:pPr>
              <w:spacing w:line="480" w:lineRule="exact"/>
              <w:ind w:firstLine="480"/>
              <w:rPr>
                <w:rFonts w:hint="eastAsia" w:ascii="宋体" w:hAnsi="宋体" w:eastAsia="宋体" w:cs="宋体"/>
                <w:sz w:val="24"/>
                <w:szCs w:val="24"/>
              </w:rPr>
            </w:pPr>
          </w:p>
          <w:p w14:paraId="141CAB6B">
            <w:pPr>
              <w:spacing w:line="480" w:lineRule="exact"/>
              <w:ind w:firstLine="480"/>
              <w:rPr>
                <w:rFonts w:hint="eastAsia" w:ascii="宋体" w:hAnsi="宋体" w:eastAsia="宋体" w:cs="宋体"/>
                <w:sz w:val="24"/>
                <w:szCs w:val="24"/>
              </w:rPr>
            </w:pPr>
          </w:p>
          <w:p w14:paraId="083BB6DD">
            <w:pPr>
              <w:spacing w:line="480" w:lineRule="exact"/>
              <w:ind w:firstLine="480"/>
              <w:rPr>
                <w:rFonts w:hint="eastAsia" w:ascii="宋体" w:hAnsi="宋体" w:eastAsia="宋体" w:cs="宋体"/>
                <w:sz w:val="24"/>
                <w:szCs w:val="24"/>
              </w:rPr>
            </w:pPr>
          </w:p>
        </w:tc>
        <w:tc>
          <w:tcPr>
            <w:tcW w:w="2084" w:type="dxa"/>
            <w:vAlign w:val="center"/>
          </w:tcPr>
          <w:p w14:paraId="7069EBC4">
            <w:pPr>
              <w:spacing w:line="480" w:lineRule="exact"/>
              <w:ind w:firstLine="480"/>
              <w:rPr>
                <w:rFonts w:hint="eastAsia" w:ascii="宋体" w:hAnsi="宋体" w:eastAsia="宋体" w:cs="宋体"/>
                <w:sz w:val="24"/>
                <w:szCs w:val="24"/>
              </w:rPr>
            </w:pPr>
          </w:p>
        </w:tc>
        <w:tc>
          <w:tcPr>
            <w:tcW w:w="1306" w:type="dxa"/>
            <w:vAlign w:val="center"/>
          </w:tcPr>
          <w:p w14:paraId="64E692DA">
            <w:pPr>
              <w:spacing w:line="480" w:lineRule="exact"/>
              <w:ind w:firstLine="240" w:firstLineChars="100"/>
              <w:rPr>
                <w:rFonts w:hint="eastAsia" w:ascii="宋体" w:hAnsi="宋体" w:eastAsia="宋体" w:cs="宋体"/>
                <w:sz w:val="24"/>
                <w:szCs w:val="24"/>
              </w:rPr>
            </w:pPr>
          </w:p>
        </w:tc>
        <w:tc>
          <w:tcPr>
            <w:tcW w:w="1139" w:type="dxa"/>
            <w:vAlign w:val="center"/>
          </w:tcPr>
          <w:p w14:paraId="6CCD4E38">
            <w:pPr>
              <w:spacing w:line="480" w:lineRule="exact"/>
              <w:ind w:firstLine="120" w:firstLineChars="50"/>
              <w:rPr>
                <w:rFonts w:hint="eastAsia" w:ascii="宋体" w:hAnsi="宋体" w:eastAsia="宋体" w:cs="宋体"/>
                <w:sz w:val="24"/>
                <w:szCs w:val="24"/>
              </w:rPr>
            </w:pPr>
          </w:p>
        </w:tc>
        <w:tc>
          <w:tcPr>
            <w:tcW w:w="1513" w:type="dxa"/>
            <w:vAlign w:val="center"/>
          </w:tcPr>
          <w:p w14:paraId="660CD9FA">
            <w:pPr>
              <w:spacing w:line="480" w:lineRule="exact"/>
              <w:ind w:firstLine="240" w:firstLineChars="100"/>
              <w:rPr>
                <w:rFonts w:hint="eastAsia" w:ascii="宋体" w:hAnsi="宋体" w:eastAsia="宋体" w:cs="宋体"/>
                <w:sz w:val="24"/>
                <w:szCs w:val="24"/>
              </w:rPr>
            </w:pPr>
          </w:p>
        </w:tc>
        <w:tc>
          <w:tcPr>
            <w:tcW w:w="1908" w:type="dxa"/>
            <w:vAlign w:val="center"/>
          </w:tcPr>
          <w:p w14:paraId="2C8CE9AD">
            <w:pPr>
              <w:spacing w:line="480" w:lineRule="exact"/>
              <w:ind w:firstLine="480"/>
              <w:rPr>
                <w:rFonts w:hint="eastAsia" w:ascii="宋体" w:hAnsi="宋体" w:eastAsia="宋体" w:cs="宋体"/>
                <w:sz w:val="24"/>
                <w:szCs w:val="24"/>
              </w:rPr>
            </w:pPr>
            <w:r>
              <w:rPr>
                <w:rFonts w:hint="eastAsia" w:ascii="宋体" w:hAnsi="宋体" w:eastAsia="宋体" w:cs="宋体"/>
                <w:sz w:val="24"/>
                <w:szCs w:val="24"/>
              </w:rPr>
              <w:t xml:space="preserve"> </w:t>
            </w:r>
          </w:p>
        </w:tc>
      </w:tr>
      <w:tr w14:paraId="03B0E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667" w:type="dxa"/>
            <w:vAlign w:val="center"/>
          </w:tcPr>
          <w:p w14:paraId="024065D4">
            <w:pPr>
              <w:spacing w:line="480" w:lineRule="exact"/>
              <w:ind w:firstLine="480"/>
              <w:rPr>
                <w:rFonts w:hint="eastAsia" w:ascii="宋体" w:hAnsi="宋体" w:eastAsia="宋体" w:cs="宋体"/>
                <w:sz w:val="24"/>
                <w:szCs w:val="24"/>
              </w:rPr>
            </w:pPr>
          </w:p>
        </w:tc>
        <w:tc>
          <w:tcPr>
            <w:tcW w:w="2084" w:type="dxa"/>
            <w:vAlign w:val="center"/>
          </w:tcPr>
          <w:p w14:paraId="1064DB41">
            <w:pPr>
              <w:spacing w:line="480" w:lineRule="exact"/>
              <w:ind w:firstLine="480"/>
              <w:rPr>
                <w:rFonts w:hint="eastAsia" w:ascii="宋体" w:hAnsi="宋体" w:eastAsia="宋体" w:cs="宋体"/>
                <w:sz w:val="24"/>
                <w:szCs w:val="24"/>
              </w:rPr>
            </w:pPr>
          </w:p>
        </w:tc>
        <w:tc>
          <w:tcPr>
            <w:tcW w:w="1306" w:type="dxa"/>
            <w:vAlign w:val="center"/>
          </w:tcPr>
          <w:p w14:paraId="13A3AF38">
            <w:pPr>
              <w:spacing w:line="480" w:lineRule="exact"/>
              <w:ind w:firstLine="480"/>
              <w:rPr>
                <w:rFonts w:hint="eastAsia" w:ascii="宋体" w:hAnsi="宋体" w:eastAsia="宋体" w:cs="宋体"/>
                <w:sz w:val="24"/>
                <w:szCs w:val="24"/>
              </w:rPr>
            </w:pPr>
          </w:p>
        </w:tc>
        <w:tc>
          <w:tcPr>
            <w:tcW w:w="1139" w:type="dxa"/>
            <w:vAlign w:val="center"/>
          </w:tcPr>
          <w:p w14:paraId="67F306D2">
            <w:pPr>
              <w:spacing w:line="480" w:lineRule="exact"/>
              <w:ind w:firstLine="480"/>
              <w:rPr>
                <w:rFonts w:hint="eastAsia" w:ascii="宋体" w:hAnsi="宋体" w:eastAsia="宋体" w:cs="宋体"/>
                <w:sz w:val="24"/>
                <w:szCs w:val="24"/>
              </w:rPr>
            </w:pPr>
          </w:p>
        </w:tc>
        <w:tc>
          <w:tcPr>
            <w:tcW w:w="1513" w:type="dxa"/>
            <w:vAlign w:val="center"/>
          </w:tcPr>
          <w:p w14:paraId="74F9418A">
            <w:pPr>
              <w:spacing w:line="480" w:lineRule="exact"/>
              <w:ind w:firstLine="480"/>
              <w:rPr>
                <w:rFonts w:hint="eastAsia" w:ascii="宋体" w:hAnsi="宋体" w:eastAsia="宋体" w:cs="宋体"/>
                <w:sz w:val="24"/>
                <w:szCs w:val="24"/>
              </w:rPr>
            </w:pPr>
          </w:p>
        </w:tc>
        <w:tc>
          <w:tcPr>
            <w:tcW w:w="1908" w:type="dxa"/>
            <w:vAlign w:val="center"/>
          </w:tcPr>
          <w:p w14:paraId="0FED08CB">
            <w:pPr>
              <w:spacing w:line="480" w:lineRule="exact"/>
              <w:ind w:firstLine="480"/>
              <w:rPr>
                <w:rFonts w:hint="eastAsia" w:ascii="宋体" w:hAnsi="宋体" w:eastAsia="宋体" w:cs="宋体"/>
                <w:sz w:val="24"/>
                <w:szCs w:val="24"/>
              </w:rPr>
            </w:pPr>
          </w:p>
        </w:tc>
      </w:tr>
      <w:tr w14:paraId="4A8A0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667" w:type="dxa"/>
            <w:vAlign w:val="center"/>
          </w:tcPr>
          <w:p w14:paraId="2528DB56">
            <w:pPr>
              <w:spacing w:line="480" w:lineRule="exact"/>
              <w:ind w:firstLine="480"/>
              <w:rPr>
                <w:rFonts w:hint="eastAsia" w:ascii="宋体" w:hAnsi="宋体" w:eastAsia="宋体" w:cs="宋体"/>
                <w:sz w:val="24"/>
                <w:szCs w:val="24"/>
              </w:rPr>
            </w:pPr>
          </w:p>
        </w:tc>
        <w:tc>
          <w:tcPr>
            <w:tcW w:w="2084" w:type="dxa"/>
            <w:vAlign w:val="center"/>
          </w:tcPr>
          <w:p w14:paraId="4F951348">
            <w:pPr>
              <w:spacing w:line="480" w:lineRule="exact"/>
              <w:ind w:firstLine="480"/>
              <w:rPr>
                <w:rFonts w:hint="eastAsia" w:ascii="宋体" w:hAnsi="宋体" w:eastAsia="宋体" w:cs="宋体"/>
                <w:sz w:val="24"/>
                <w:szCs w:val="24"/>
              </w:rPr>
            </w:pPr>
          </w:p>
        </w:tc>
        <w:tc>
          <w:tcPr>
            <w:tcW w:w="1306" w:type="dxa"/>
            <w:vAlign w:val="center"/>
          </w:tcPr>
          <w:p w14:paraId="409C2D60">
            <w:pPr>
              <w:spacing w:line="480" w:lineRule="exact"/>
              <w:ind w:firstLine="480"/>
              <w:rPr>
                <w:rFonts w:hint="eastAsia" w:ascii="宋体" w:hAnsi="宋体" w:eastAsia="宋体" w:cs="宋体"/>
                <w:sz w:val="24"/>
                <w:szCs w:val="24"/>
              </w:rPr>
            </w:pPr>
          </w:p>
        </w:tc>
        <w:tc>
          <w:tcPr>
            <w:tcW w:w="1139" w:type="dxa"/>
            <w:vAlign w:val="center"/>
          </w:tcPr>
          <w:p w14:paraId="5672E394">
            <w:pPr>
              <w:spacing w:line="480" w:lineRule="exact"/>
              <w:ind w:firstLine="480"/>
              <w:rPr>
                <w:rFonts w:hint="eastAsia" w:ascii="宋体" w:hAnsi="宋体" w:eastAsia="宋体" w:cs="宋体"/>
                <w:sz w:val="24"/>
                <w:szCs w:val="24"/>
              </w:rPr>
            </w:pPr>
          </w:p>
        </w:tc>
        <w:tc>
          <w:tcPr>
            <w:tcW w:w="1513" w:type="dxa"/>
            <w:vAlign w:val="center"/>
          </w:tcPr>
          <w:p w14:paraId="594E105E">
            <w:pPr>
              <w:spacing w:line="480" w:lineRule="exact"/>
              <w:ind w:firstLine="480"/>
              <w:rPr>
                <w:rFonts w:hint="eastAsia" w:ascii="宋体" w:hAnsi="宋体" w:eastAsia="宋体" w:cs="宋体"/>
                <w:sz w:val="24"/>
                <w:szCs w:val="24"/>
              </w:rPr>
            </w:pPr>
          </w:p>
        </w:tc>
        <w:tc>
          <w:tcPr>
            <w:tcW w:w="1908" w:type="dxa"/>
            <w:vAlign w:val="center"/>
          </w:tcPr>
          <w:p w14:paraId="151B900F">
            <w:pPr>
              <w:spacing w:line="480" w:lineRule="exact"/>
              <w:ind w:firstLine="480"/>
              <w:rPr>
                <w:rFonts w:hint="eastAsia" w:ascii="宋体" w:hAnsi="宋体" w:eastAsia="宋体" w:cs="宋体"/>
                <w:sz w:val="24"/>
                <w:szCs w:val="24"/>
              </w:rPr>
            </w:pPr>
          </w:p>
        </w:tc>
      </w:tr>
      <w:tr w14:paraId="234F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trPr>
        <w:tc>
          <w:tcPr>
            <w:tcW w:w="1667" w:type="dxa"/>
            <w:vAlign w:val="center"/>
          </w:tcPr>
          <w:p w14:paraId="1AEA65A7">
            <w:pPr>
              <w:spacing w:line="480" w:lineRule="exact"/>
              <w:ind w:firstLine="480"/>
              <w:rPr>
                <w:rFonts w:hint="eastAsia" w:ascii="宋体" w:hAnsi="宋体" w:eastAsia="宋体" w:cs="宋体"/>
                <w:sz w:val="24"/>
                <w:szCs w:val="24"/>
              </w:rPr>
            </w:pPr>
          </w:p>
        </w:tc>
        <w:tc>
          <w:tcPr>
            <w:tcW w:w="2084" w:type="dxa"/>
            <w:vAlign w:val="center"/>
          </w:tcPr>
          <w:p w14:paraId="72AE1AA6">
            <w:pPr>
              <w:spacing w:line="480" w:lineRule="exact"/>
              <w:ind w:firstLine="480"/>
              <w:rPr>
                <w:rFonts w:hint="eastAsia" w:ascii="宋体" w:hAnsi="宋体" w:eastAsia="宋体" w:cs="宋体"/>
                <w:sz w:val="24"/>
                <w:szCs w:val="24"/>
              </w:rPr>
            </w:pPr>
          </w:p>
        </w:tc>
        <w:tc>
          <w:tcPr>
            <w:tcW w:w="1306" w:type="dxa"/>
            <w:vAlign w:val="center"/>
          </w:tcPr>
          <w:p w14:paraId="6448641D">
            <w:pPr>
              <w:spacing w:line="480" w:lineRule="exact"/>
              <w:ind w:firstLine="480"/>
              <w:rPr>
                <w:rFonts w:hint="eastAsia" w:ascii="宋体" w:hAnsi="宋体" w:eastAsia="宋体" w:cs="宋体"/>
                <w:sz w:val="24"/>
                <w:szCs w:val="24"/>
              </w:rPr>
            </w:pPr>
          </w:p>
        </w:tc>
        <w:tc>
          <w:tcPr>
            <w:tcW w:w="1139" w:type="dxa"/>
            <w:vAlign w:val="center"/>
          </w:tcPr>
          <w:p w14:paraId="5829DD09">
            <w:pPr>
              <w:spacing w:line="480" w:lineRule="exact"/>
              <w:ind w:firstLine="480"/>
              <w:rPr>
                <w:rFonts w:hint="eastAsia" w:ascii="宋体" w:hAnsi="宋体" w:eastAsia="宋体" w:cs="宋体"/>
                <w:sz w:val="24"/>
                <w:szCs w:val="24"/>
              </w:rPr>
            </w:pPr>
          </w:p>
        </w:tc>
        <w:tc>
          <w:tcPr>
            <w:tcW w:w="1513" w:type="dxa"/>
            <w:vAlign w:val="center"/>
          </w:tcPr>
          <w:p w14:paraId="6D98517B">
            <w:pPr>
              <w:spacing w:line="480" w:lineRule="exact"/>
              <w:ind w:firstLine="480"/>
              <w:rPr>
                <w:rFonts w:hint="eastAsia" w:ascii="宋体" w:hAnsi="宋体" w:eastAsia="宋体" w:cs="宋体"/>
                <w:sz w:val="24"/>
                <w:szCs w:val="24"/>
              </w:rPr>
            </w:pPr>
          </w:p>
        </w:tc>
        <w:tc>
          <w:tcPr>
            <w:tcW w:w="1908" w:type="dxa"/>
            <w:vAlign w:val="center"/>
          </w:tcPr>
          <w:p w14:paraId="62BC3C3F">
            <w:pPr>
              <w:spacing w:line="480" w:lineRule="exact"/>
              <w:ind w:firstLine="480"/>
              <w:rPr>
                <w:rFonts w:hint="eastAsia" w:ascii="宋体" w:hAnsi="宋体" w:eastAsia="宋体" w:cs="宋体"/>
                <w:sz w:val="24"/>
                <w:szCs w:val="24"/>
              </w:rPr>
            </w:pPr>
          </w:p>
        </w:tc>
      </w:tr>
      <w:tr w14:paraId="77C0A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trPr>
        <w:tc>
          <w:tcPr>
            <w:tcW w:w="7709" w:type="dxa"/>
            <w:gridSpan w:val="5"/>
            <w:vAlign w:val="center"/>
          </w:tcPr>
          <w:p w14:paraId="65245DBB">
            <w:pPr>
              <w:spacing w:line="480" w:lineRule="exact"/>
              <w:jc w:val="center"/>
              <w:rPr>
                <w:rFonts w:hint="eastAsia" w:ascii="宋体" w:hAnsi="宋体" w:eastAsia="宋体" w:cs="宋体"/>
                <w:sz w:val="24"/>
                <w:szCs w:val="24"/>
              </w:rPr>
            </w:pPr>
            <w:r>
              <w:rPr>
                <w:rFonts w:hint="eastAsia" w:ascii="宋体" w:hAnsi="宋体" w:eastAsia="宋体" w:cs="宋体"/>
                <w:b/>
                <w:bCs/>
                <w:sz w:val="24"/>
                <w:szCs w:val="24"/>
              </w:rPr>
              <w:t>合计</w:t>
            </w:r>
          </w:p>
        </w:tc>
        <w:tc>
          <w:tcPr>
            <w:tcW w:w="1908" w:type="dxa"/>
            <w:vAlign w:val="center"/>
          </w:tcPr>
          <w:p w14:paraId="2BAAAC50">
            <w:pPr>
              <w:spacing w:line="480" w:lineRule="exact"/>
              <w:ind w:firstLine="480"/>
              <w:rPr>
                <w:rFonts w:hint="eastAsia" w:ascii="宋体" w:hAnsi="宋体" w:eastAsia="宋体" w:cs="宋体"/>
                <w:sz w:val="24"/>
                <w:szCs w:val="24"/>
              </w:rPr>
            </w:pPr>
          </w:p>
        </w:tc>
      </w:tr>
    </w:tbl>
    <w:p w14:paraId="5532244A">
      <w:pPr>
        <w:spacing w:before="120" w:beforeLines="50" w:line="480" w:lineRule="exact"/>
        <w:outlineLvl w:val="1"/>
        <w:rPr>
          <w:rFonts w:hint="eastAsia" w:ascii="宋体" w:hAnsi="宋体" w:eastAsia="宋体" w:cs="宋体"/>
          <w:b/>
          <w:sz w:val="24"/>
          <w:szCs w:val="24"/>
        </w:rPr>
      </w:pPr>
      <w:bookmarkStart w:id="3" w:name="_Toc11002"/>
      <w:bookmarkStart w:id="4" w:name="_Toc12664"/>
      <w:bookmarkStart w:id="5" w:name="_Toc5395"/>
      <w:r>
        <w:rPr>
          <w:rFonts w:hint="eastAsia" w:ascii="宋体" w:hAnsi="宋体" w:eastAsia="宋体" w:cs="宋体"/>
          <w:b/>
          <w:sz w:val="24"/>
          <w:szCs w:val="24"/>
        </w:rPr>
        <w:t>二、货物质量标准及保证</w:t>
      </w:r>
      <w:bookmarkEnd w:id="3"/>
      <w:bookmarkEnd w:id="4"/>
      <w:bookmarkEnd w:id="5"/>
    </w:p>
    <w:p w14:paraId="1F7A4794">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1.货物的质量标准，按下列第（    ）项执行：</w:t>
      </w:r>
    </w:p>
    <w:p w14:paraId="4B18526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（1）按国家标准执行；</w:t>
      </w:r>
    </w:p>
    <w:p w14:paraId="334B9413">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（2）无国家标准而有行业标准的，按行业标准执行；</w:t>
      </w:r>
    </w:p>
    <w:p w14:paraId="2B5500FB">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（3）无国家和行业标准的，按企业标准和谈判文件执行。</w:t>
      </w:r>
    </w:p>
    <w:p w14:paraId="2F5A4E63">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2.本合同质保期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。自甲方确认验收合格或视为验收合格之日起算，非人为及意外事故损坏的前提下，服装验收后，若出现质量问题或款式以及尺寸标准不合适，则由成交供应商无条件进行更换或维修。</w:t>
      </w:r>
    </w:p>
    <w:p w14:paraId="5CE1D4C7">
      <w:pPr>
        <w:spacing w:line="480" w:lineRule="exact"/>
        <w:outlineLvl w:val="1"/>
        <w:rPr>
          <w:rFonts w:hint="eastAsia" w:ascii="宋体" w:hAnsi="宋体" w:eastAsia="宋体" w:cs="宋体"/>
          <w:b/>
          <w:sz w:val="24"/>
          <w:szCs w:val="24"/>
        </w:rPr>
      </w:pPr>
      <w:bookmarkStart w:id="6" w:name="_Toc26972"/>
      <w:bookmarkStart w:id="7" w:name="_Toc19484"/>
      <w:bookmarkStart w:id="8" w:name="_Toc20909"/>
      <w:r>
        <w:rPr>
          <w:rFonts w:hint="eastAsia" w:ascii="宋体" w:hAnsi="宋体" w:eastAsia="宋体" w:cs="宋体"/>
          <w:b/>
          <w:sz w:val="24"/>
          <w:szCs w:val="24"/>
        </w:rPr>
        <w:t>三、交货方式及费用</w:t>
      </w:r>
      <w:bookmarkEnd w:id="6"/>
      <w:bookmarkEnd w:id="7"/>
      <w:bookmarkEnd w:id="8"/>
    </w:p>
    <w:p w14:paraId="6ED46512">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1.乙方负责送货至甲方指定地。</w:t>
      </w:r>
    </w:p>
    <w:p w14:paraId="632D7E93">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2.（1）收货单位：</w:t>
      </w:r>
      <w:r>
        <w:rPr>
          <w:rFonts w:hint="eastAsia" w:ascii="宋体" w:hAnsi="宋体" w:eastAsia="宋体" w:cs="宋体"/>
          <w:sz w:val="24"/>
          <w:szCs w:val="24"/>
          <w:u w:val="single"/>
        </w:rPr>
        <w:t xml:space="preserve">                     </w:t>
      </w:r>
      <w:r>
        <w:rPr>
          <w:rFonts w:hint="eastAsia" w:ascii="宋体" w:hAnsi="宋体" w:eastAsia="宋体" w:cs="宋体"/>
          <w:sz w:val="24"/>
          <w:szCs w:val="24"/>
        </w:rPr>
        <w:t>（2）交货地址：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311882E1">
      <w:pPr>
        <w:spacing w:line="4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（3）联 系 人：</w:t>
      </w:r>
      <w:r>
        <w:rPr>
          <w:rFonts w:hint="eastAsia" w:ascii="宋体" w:hAnsi="宋体" w:eastAsia="宋体" w:cs="宋体"/>
          <w:sz w:val="24"/>
          <w:szCs w:val="24"/>
          <w:u w:val="single"/>
        </w:rPr>
        <w:t xml:space="preserve">                     </w:t>
      </w:r>
      <w:r>
        <w:rPr>
          <w:rFonts w:hint="eastAsia" w:ascii="宋体" w:hAnsi="宋体" w:eastAsia="宋体" w:cs="宋体"/>
          <w:sz w:val="24"/>
          <w:szCs w:val="24"/>
        </w:rPr>
        <w:t>（4）联系电话：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3CB5DED">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3.货到甲方指定地之前费用由乙方承担。</w:t>
      </w:r>
    </w:p>
    <w:p w14:paraId="352BAEF8">
      <w:pPr>
        <w:spacing w:line="480" w:lineRule="exact"/>
        <w:outlineLvl w:val="1"/>
        <w:rPr>
          <w:rFonts w:hint="eastAsia" w:ascii="宋体" w:hAnsi="宋体" w:eastAsia="宋体" w:cs="宋体"/>
          <w:b/>
          <w:sz w:val="24"/>
          <w:szCs w:val="24"/>
        </w:rPr>
      </w:pPr>
      <w:bookmarkStart w:id="9" w:name="_Toc3809"/>
      <w:bookmarkStart w:id="10" w:name="_Toc24067"/>
      <w:bookmarkStart w:id="11" w:name="_Toc7122"/>
      <w:r>
        <w:rPr>
          <w:rFonts w:hint="eastAsia" w:ascii="宋体" w:hAnsi="宋体" w:eastAsia="宋体" w:cs="宋体"/>
          <w:b/>
          <w:sz w:val="24"/>
          <w:szCs w:val="24"/>
        </w:rPr>
        <w:t>四、货物交货期</w:t>
      </w:r>
      <w:bookmarkEnd w:id="9"/>
      <w:bookmarkEnd w:id="10"/>
      <w:bookmarkEnd w:id="11"/>
    </w:p>
    <w:p w14:paraId="2CD9E4A8">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1.乙方于</w:t>
      </w:r>
      <w:r>
        <w:rPr>
          <w:rFonts w:hint="eastAsia" w:ascii="宋体" w:hAnsi="宋体" w:eastAsia="宋体" w:cs="宋体"/>
          <w:sz w:val="24"/>
          <w:szCs w:val="24"/>
          <w:u w:val="single"/>
        </w:rPr>
        <w:t xml:space="preserve">    年   月   日</w:t>
      </w:r>
      <w:r>
        <w:rPr>
          <w:rFonts w:hint="eastAsia" w:ascii="宋体" w:hAnsi="宋体" w:eastAsia="宋体" w:cs="宋体"/>
          <w:sz w:val="24"/>
          <w:szCs w:val="24"/>
        </w:rPr>
        <w:t>前将货送到甲方指定地，甲方应于货到之日起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日内给予接收。</w:t>
      </w:r>
    </w:p>
    <w:p w14:paraId="01FF293E">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2.产品毁损、灭失等风险，按照合同约定的交货日期交付之前由乙方承担，交付之后由甲方承担。</w:t>
      </w:r>
    </w:p>
    <w:p w14:paraId="4FA27505">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3.甲方违反合同的约定拒绝接收或延期接收货物的，甲方应承担由此给乙方造成的损失，包括但不仅限于保管费、人员差旅费及货物的损毁和灭失的风险等。</w:t>
      </w:r>
    </w:p>
    <w:p w14:paraId="0CC8FE54">
      <w:pPr>
        <w:spacing w:line="480" w:lineRule="exact"/>
        <w:outlineLvl w:val="1"/>
        <w:rPr>
          <w:rFonts w:hint="eastAsia" w:ascii="宋体" w:hAnsi="宋体" w:eastAsia="宋体" w:cs="宋体"/>
          <w:b/>
          <w:sz w:val="24"/>
          <w:szCs w:val="24"/>
        </w:rPr>
      </w:pPr>
      <w:bookmarkStart w:id="12" w:name="_Toc27966"/>
      <w:bookmarkStart w:id="13" w:name="_Toc18990"/>
      <w:bookmarkStart w:id="14" w:name="_Toc13078"/>
      <w:r>
        <w:rPr>
          <w:rFonts w:hint="eastAsia" w:ascii="宋体" w:hAnsi="宋体" w:eastAsia="宋体" w:cs="宋体"/>
          <w:b/>
          <w:sz w:val="24"/>
          <w:szCs w:val="24"/>
        </w:rPr>
        <w:t>五、项目检验及验收及合同争议的解决</w:t>
      </w:r>
      <w:bookmarkEnd w:id="12"/>
      <w:bookmarkEnd w:id="13"/>
      <w:bookmarkEnd w:id="14"/>
    </w:p>
    <w:p w14:paraId="691CE9ED">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Cs/>
          <w:sz w:val="24"/>
          <w:szCs w:val="24"/>
        </w:rPr>
        <w:t>乙方向甲方提交项目实施过程中的所有资料</w:t>
      </w:r>
      <w:r>
        <w:rPr>
          <w:rFonts w:hint="eastAsia" w:ascii="宋体" w:hAnsi="宋体" w:eastAsia="宋体" w:cs="宋体"/>
          <w:sz w:val="24"/>
          <w:szCs w:val="24"/>
        </w:rPr>
        <w:t>。</w:t>
      </w:r>
    </w:p>
    <w:p w14:paraId="0BD72057">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bCs/>
          <w:sz w:val="24"/>
          <w:szCs w:val="24"/>
        </w:rPr>
        <w:t>验收须以合同、谈判文件及响应文件、澄清及国家相应的标准、规范等为依据</w:t>
      </w:r>
      <w:r>
        <w:rPr>
          <w:rFonts w:hint="eastAsia" w:ascii="宋体" w:hAnsi="宋体" w:eastAsia="宋体" w:cs="宋体"/>
          <w:sz w:val="24"/>
          <w:szCs w:val="24"/>
        </w:rPr>
        <w:t>。</w:t>
      </w:r>
    </w:p>
    <w:p w14:paraId="4B0C785E">
      <w:pPr>
        <w:spacing w:line="48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w:t>
      </w:r>
      <w:r>
        <w:rPr>
          <w:rFonts w:hint="eastAsia" w:ascii="宋体" w:hAnsi="宋体" w:eastAsia="宋体" w:cs="宋体"/>
          <w:bCs/>
          <w:sz w:val="24"/>
          <w:szCs w:val="24"/>
        </w:rPr>
        <w:t>符合中华人民共和国国家和履约地相关安全质量标准、行业技术规范标准、环保节能标准；</w:t>
      </w:r>
    </w:p>
    <w:p w14:paraId="41DDA697">
      <w:pPr>
        <w:spacing w:line="48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（2）符合谈判文件和响应文件承诺中采购人认可的合理最佳配置、参数规格及各项要求；</w:t>
      </w:r>
    </w:p>
    <w:p w14:paraId="122FA60D">
      <w:pPr>
        <w:spacing w:line="48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（3）双方约定的其他验收标准。</w:t>
      </w:r>
    </w:p>
    <w:p w14:paraId="5CFAAC7D">
      <w:pPr>
        <w:spacing w:line="480" w:lineRule="exact"/>
        <w:ind w:firstLine="480" w:firstLineChars="200"/>
        <w:rPr>
          <w:rFonts w:hint="eastAsia" w:ascii="宋体" w:hAnsi="宋体" w:eastAsia="宋体" w:cs="宋体"/>
          <w:bCs/>
          <w:sz w:val="24"/>
          <w:szCs w:val="24"/>
          <w:lang w:val="en-US" w:eastAsia="zh-CN"/>
        </w:rPr>
      </w:pPr>
      <w:bookmarkStart w:id="15" w:name="_Toc6404"/>
      <w:bookmarkStart w:id="16" w:name="_Toc7100"/>
      <w:bookmarkStart w:id="17" w:name="_Toc4985"/>
      <w:r>
        <w:rPr>
          <w:rFonts w:hint="eastAsia" w:ascii="宋体" w:hAnsi="宋体" w:eastAsia="宋体" w:cs="宋体"/>
          <w:bCs/>
          <w:sz w:val="24"/>
          <w:szCs w:val="24"/>
          <w:lang w:val="en-US" w:eastAsia="zh-CN"/>
        </w:rPr>
        <w:t xml:space="preserve">3.根据《市场监管总局关于印发&lt;市场监管部门行政执法制式服装和标志技术规范&gt;的通知》（市监科财（司）函〔2021〕6号）及本项目的要求对成交供应商提供的货物进行验收。 </w:t>
      </w:r>
    </w:p>
    <w:p w14:paraId="55F36C43">
      <w:pPr>
        <w:spacing w:line="480" w:lineRule="exact"/>
        <w:ind w:firstLine="480" w:firstLineChars="20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4.供应商提供的货物所用材料及加工标准质量不低于投标样品。 </w:t>
      </w:r>
    </w:p>
    <w:p w14:paraId="7CEF157A">
      <w:pPr>
        <w:spacing w:line="480" w:lineRule="exact"/>
        <w:ind w:firstLine="480" w:firstLineChars="20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5.交货前，由采购人随机分批次（抽检比例为每批次一套（件））抽样送国家有关部门批准的有资质的检测机构检测，检验费用由成交供应商支付。 </w:t>
      </w:r>
    </w:p>
    <w:p w14:paraId="7F5D8177">
      <w:pPr>
        <w:spacing w:line="480" w:lineRule="exact"/>
        <w:ind w:firstLine="480" w:firstLineChars="20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6.产品验收不合格，采购人拒绝接收，并拒绝付款。 </w:t>
      </w:r>
    </w:p>
    <w:p w14:paraId="2DFD16C5">
      <w:pPr>
        <w:spacing w:line="480" w:lineRule="exact"/>
        <w:ind w:firstLine="480" w:firstLineChars="20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7.交货前，须按技术标准包装完好，每件包装箱内的数量须符合《市场监管总局关于印发&lt;市场监管部门行政执法制式服装和标志技术规范&gt;的通知》（市监科财（司）函〔2021〕6号）要求包装，并与外包装上的标识一致。</w:t>
      </w:r>
    </w:p>
    <w:p w14:paraId="7DDF8740">
      <w:pPr>
        <w:spacing w:line="48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lang w:val="en-US" w:eastAsia="zh-CN"/>
        </w:rPr>
        <w:t xml:space="preserve"> 8.包装要求：交货时，供货商需按照人员配发名单，将各单品进行分装，每人一包装上附着装人姓名、尺码。 ①常服包装要求，1套1衣架挂放，每件套防潮塑料袋。②防寒服、春秋执勤服套防潮塑料袋。③长、短袖夏服、夏裤每件套防潮塑料袋。④皮带每件套防潮塑料袋。⑤帽套防潮塑料袋。⑥领带套防潮塑料袋，箱外列明单位和着装人姓名。⑦标志一人一套整体包装套防潮塑料袋。 </w:t>
      </w:r>
    </w:p>
    <w:p w14:paraId="500E5002">
      <w:pPr>
        <w:spacing w:line="480" w:lineRule="exact"/>
        <w:outlineLvl w:val="1"/>
        <w:rPr>
          <w:rFonts w:hint="eastAsia" w:ascii="宋体" w:hAnsi="宋体" w:eastAsia="宋体" w:cs="宋体"/>
          <w:b/>
          <w:sz w:val="24"/>
          <w:szCs w:val="24"/>
        </w:rPr>
      </w:pPr>
      <w:r>
        <w:rPr>
          <w:rFonts w:hint="eastAsia" w:ascii="宋体" w:hAnsi="宋体" w:eastAsia="宋体" w:cs="宋体"/>
          <w:b/>
          <w:sz w:val="24"/>
          <w:szCs w:val="24"/>
        </w:rPr>
        <w:t>六、随机备品、配件工具数量及供应方法</w:t>
      </w:r>
      <w:bookmarkEnd w:id="15"/>
      <w:bookmarkEnd w:id="16"/>
      <w:bookmarkEnd w:id="17"/>
    </w:p>
    <w:p w14:paraId="79467925">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按乙方“交接清单”提供，随货发运。</w:t>
      </w:r>
    </w:p>
    <w:p w14:paraId="0D3D83B9">
      <w:pPr>
        <w:spacing w:line="480" w:lineRule="exact"/>
        <w:outlineLvl w:val="1"/>
        <w:rPr>
          <w:rFonts w:hint="eastAsia" w:ascii="宋体" w:hAnsi="宋体" w:eastAsia="宋体" w:cs="宋体"/>
          <w:b/>
          <w:sz w:val="24"/>
          <w:szCs w:val="24"/>
        </w:rPr>
      </w:pPr>
      <w:bookmarkStart w:id="18" w:name="_Toc20613"/>
      <w:bookmarkStart w:id="19" w:name="_Toc18469"/>
      <w:bookmarkStart w:id="20" w:name="_Toc10603"/>
      <w:r>
        <w:rPr>
          <w:rFonts w:hint="eastAsia" w:ascii="宋体" w:hAnsi="宋体" w:eastAsia="宋体" w:cs="宋体"/>
          <w:b/>
          <w:sz w:val="24"/>
          <w:szCs w:val="24"/>
        </w:rPr>
        <w:t>七、付款方式、期限及比例</w:t>
      </w:r>
      <w:bookmarkEnd w:id="18"/>
      <w:bookmarkEnd w:id="19"/>
      <w:bookmarkEnd w:id="20"/>
    </w:p>
    <w:p w14:paraId="7B5C591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1.甲乙双方约定通过(□银行转账/汇款   </w:t>
      </w:r>
      <w:r>
        <w:rPr>
          <w:rFonts w:hint="eastAsia" w:ascii="宋体" w:hAnsi="宋体" w:eastAsia="宋体" w:cs="宋体"/>
          <w:sz w:val="24"/>
          <w:szCs w:val="24"/>
          <w:lang w:eastAsia="zh-CN"/>
        </w:rPr>
        <w:t>□</w:t>
      </w:r>
      <w:r>
        <w:rPr>
          <w:rFonts w:hint="eastAsia" w:ascii="宋体" w:hAnsi="宋体" w:eastAsia="宋体" w:cs="宋体"/>
          <w:sz w:val="24"/>
          <w:szCs w:val="24"/>
        </w:rPr>
        <w:t>承兑汇票   □银行汇票   □现金  □其他)方式支付货款。</w:t>
      </w:r>
    </w:p>
    <w:p w14:paraId="59B9CD1F">
      <w:pPr>
        <w:spacing w:line="48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2.付款时间期限及付款比例：</w:t>
      </w:r>
      <w:r>
        <w:rPr>
          <w:rFonts w:hint="eastAsia" w:ascii="宋体" w:hAnsi="宋体" w:eastAsia="宋体" w:cs="宋体"/>
          <w:sz w:val="24"/>
          <w:szCs w:val="24"/>
          <w:u w:val="single"/>
        </w:rPr>
        <w:t xml:space="preserve">                                                   </w:t>
      </w:r>
    </w:p>
    <w:p w14:paraId="615FA3B0">
      <w:pPr>
        <w:spacing w:line="480" w:lineRule="exact"/>
        <w:outlineLvl w:val="1"/>
        <w:rPr>
          <w:rFonts w:hint="eastAsia" w:ascii="宋体" w:hAnsi="宋体" w:eastAsia="宋体" w:cs="宋体"/>
          <w:b/>
          <w:sz w:val="24"/>
          <w:szCs w:val="24"/>
        </w:rPr>
      </w:pPr>
      <w:bookmarkStart w:id="21" w:name="_Toc119"/>
      <w:bookmarkStart w:id="22" w:name="_Toc26811"/>
      <w:bookmarkStart w:id="23" w:name="_Toc7517"/>
      <w:r>
        <w:rPr>
          <w:rFonts w:hint="eastAsia" w:ascii="宋体" w:hAnsi="宋体" w:eastAsia="宋体" w:cs="宋体"/>
          <w:b/>
          <w:sz w:val="24"/>
          <w:szCs w:val="24"/>
        </w:rPr>
        <w:t>八、违约责任</w:t>
      </w:r>
      <w:bookmarkEnd w:id="21"/>
      <w:bookmarkEnd w:id="22"/>
      <w:bookmarkEnd w:id="23"/>
    </w:p>
    <w:p w14:paraId="569FB529">
      <w:pPr>
        <w:pStyle w:val="7"/>
        <w:adjustRightInd w:val="0"/>
        <w:snapToGrid w:val="0"/>
        <w:spacing w:after="0" w:line="480" w:lineRule="exact"/>
        <w:ind w:firstLine="480" w:firstLineChars="200"/>
        <w:jc w:val="left"/>
        <w:rPr>
          <w:rFonts w:hint="eastAsia" w:ascii="宋体" w:hAnsi="宋体" w:eastAsia="宋体" w:cs="宋体"/>
          <w:bCs/>
          <w:color w:val="000000"/>
          <w:kern w:val="0"/>
          <w:sz w:val="24"/>
          <w:szCs w:val="24"/>
        </w:rPr>
      </w:pPr>
      <w:r>
        <w:rPr>
          <w:rFonts w:hint="eastAsia" w:ascii="宋体" w:hAnsi="宋体" w:eastAsia="宋体" w:cs="宋体"/>
          <w:bCs/>
          <w:sz w:val="24"/>
          <w:szCs w:val="24"/>
        </w:rPr>
        <w:t>1.</w:t>
      </w:r>
      <w:r>
        <w:rPr>
          <w:rFonts w:hint="eastAsia" w:ascii="宋体" w:hAnsi="宋体" w:eastAsia="宋体" w:cs="宋体"/>
          <w:bCs/>
          <w:color w:val="000000"/>
          <w:kern w:val="0"/>
          <w:sz w:val="24"/>
          <w:szCs w:val="24"/>
        </w:rPr>
        <w:t>依据《中华人民共和国民法典》《中华人民共和国政府采购法》的相关条款和本合同约定的相关条款执行。</w:t>
      </w:r>
    </w:p>
    <w:p w14:paraId="2DF69133">
      <w:pPr>
        <w:widowControl/>
        <w:spacing w:line="480" w:lineRule="exact"/>
        <w:ind w:firstLine="480" w:firstLineChars="200"/>
        <w:rPr>
          <w:rFonts w:hint="eastAsia" w:ascii="宋体" w:hAnsi="宋体" w:eastAsia="宋体" w:cs="宋体"/>
          <w:sz w:val="24"/>
          <w:szCs w:val="24"/>
        </w:rPr>
      </w:pPr>
      <w:r>
        <w:rPr>
          <w:rFonts w:hint="eastAsia" w:ascii="宋体" w:hAnsi="宋体" w:eastAsia="宋体" w:cs="宋体"/>
          <w:bCs/>
          <w:color w:val="000000"/>
          <w:kern w:val="0"/>
          <w:sz w:val="24"/>
          <w:szCs w:val="24"/>
        </w:rPr>
        <w:t>2.成交供应商未按合同要求履行，不符合采购技术要求，成交供应商必须无条件更换人员或</w:t>
      </w:r>
      <w:r>
        <w:rPr>
          <w:rFonts w:hint="eastAsia" w:ascii="宋体" w:hAnsi="宋体" w:eastAsia="宋体" w:cs="宋体"/>
          <w:bCs/>
          <w:color w:val="000000"/>
          <w:kern w:val="0"/>
          <w:sz w:val="24"/>
          <w:szCs w:val="24"/>
          <w:lang w:val="en-US" w:eastAsia="zh-CN"/>
        </w:rPr>
        <w:t>产品</w:t>
      </w:r>
      <w:r>
        <w:rPr>
          <w:rFonts w:hint="eastAsia" w:ascii="宋体" w:hAnsi="宋体" w:eastAsia="宋体" w:cs="宋体"/>
          <w:bCs/>
          <w:color w:val="000000"/>
          <w:kern w:val="0"/>
          <w:sz w:val="24"/>
          <w:szCs w:val="24"/>
        </w:rPr>
        <w:t>，完善质量，否则，采购人有权终止合同，并对成交供应商的违约行为进行追究并依法向成交供应商进行经济索赔。</w:t>
      </w:r>
    </w:p>
    <w:p w14:paraId="7C8E52A1">
      <w:pPr>
        <w:spacing w:line="480" w:lineRule="exact"/>
        <w:outlineLvl w:val="1"/>
        <w:rPr>
          <w:rFonts w:hint="eastAsia" w:ascii="宋体" w:hAnsi="宋体" w:eastAsia="宋体" w:cs="宋体"/>
          <w:b/>
          <w:sz w:val="24"/>
          <w:szCs w:val="24"/>
        </w:rPr>
      </w:pPr>
      <w:bookmarkStart w:id="24" w:name="_Toc22107"/>
      <w:bookmarkStart w:id="25" w:name="_Toc5447"/>
      <w:bookmarkStart w:id="26" w:name="_Toc13851"/>
      <w:r>
        <w:rPr>
          <w:rFonts w:hint="eastAsia" w:ascii="宋体" w:hAnsi="宋体" w:eastAsia="宋体" w:cs="宋体"/>
          <w:b/>
          <w:sz w:val="24"/>
          <w:szCs w:val="24"/>
        </w:rPr>
        <w:t>九、特别事项</w:t>
      </w:r>
      <w:bookmarkEnd w:id="24"/>
      <w:bookmarkEnd w:id="25"/>
      <w:bookmarkEnd w:id="26"/>
    </w:p>
    <w:p w14:paraId="586A713B">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1.乙方需指派专人负责售后维护事宜。</w:t>
      </w:r>
    </w:p>
    <w:p w14:paraId="5773854C">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2.甲方若对乙方提出质量服务要求，所有涉及产品生产商的有关事项均由乙方负责。</w:t>
      </w:r>
    </w:p>
    <w:p w14:paraId="471723E6">
      <w:pPr>
        <w:spacing w:line="480" w:lineRule="exact"/>
        <w:outlineLvl w:val="1"/>
        <w:rPr>
          <w:rFonts w:hint="eastAsia" w:ascii="宋体" w:hAnsi="宋体" w:eastAsia="宋体" w:cs="宋体"/>
          <w:b/>
          <w:sz w:val="24"/>
          <w:szCs w:val="24"/>
        </w:rPr>
      </w:pPr>
      <w:bookmarkStart w:id="27" w:name="_Toc29190"/>
      <w:bookmarkStart w:id="28" w:name="_Toc21346"/>
      <w:bookmarkStart w:id="29" w:name="_Toc5253"/>
      <w:r>
        <w:rPr>
          <w:rFonts w:hint="eastAsia" w:ascii="宋体" w:hAnsi="宋体" w:eastAsia="宋体" w:cs="宋体"/>
          <w:b/>
          <w:sz w:val="24"/>
          <w:szCs w:val="24"/>
        </w:rPr>
        <w:t>十、不可抗力风险承担</w:t>
      </w:r>
      <w:bookmarkEnd w:id="27"/>
      <w:bookmarkEnd w:id="28"/>
      <w:bookmarkEnd w:id="29"/>
    </w:p>
    <w:p w14:paraId="18ECCEBE">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乙双方任何一方由于不可抗力的原因不能履行合同时，应及时书面通知对方不能履行或不能安全履行的理由，在取得有关主管机关证明以后，经双方协商一致后可延期履行、部分履行或者不履行合同，并根据情况可部分或全部免于承担违约责任。</w:t>
      </w:r>
    </w:p>
    <w:p w14:paraId="43622091">
      <w:pPr>
        <w:spacing w:line="480" w:lineRule="exact"/>
        <w:outlineLvl w:val="1"/>
        <w:rPr>
          <w:rFonts w:hint="eastAsia" w:ascii="宋体" w:hAnsi="宋体" w:eastAsia="宋体" w:cs="宋体"/>
          <w:b/>
          <w:sz w:val="24"/>
          <w:szCs w:val="24"/>
        </w:rPr>
      </w:pPr>
      <w:bookmarkStart w:id="30" w:name="_Toc19650"/>
      <w:bookmarkStart w:id="31" w:name="_Toc11314"/>
      <w:bookmarkStart w:id="32" w:name="_Toc4227"/>
      <w:r>
        <w:rPr>
          <w:rFonts w:hint="eastAsia" w:ascii="宋体" w:hAnsi="宋体" w:eastAsia="宋体" w:cs="宋体"/>
          <w:b/>
          <w:sz w:val="24"/>
          <w:szCs w:val="24"/>
        </w:rPr>
        <w:t>十一、合同争议的解决</w:t>
      </w:r>
      <w:bookmarkEnd w:id="30"/>
      <w:bookmarkEnd w:id="31"/>
      <w:bookmarkEnd w:id="32"/>
    </w:p>
    <w:p w14:paraId="11D31078">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执行本合同过程中发生争议，应友好协商解决，协商不成的，可协商或由有关部门调解解决，协商或调解不成的，可向采购方所在地人民法院提起诉讼。</w:t>
      </w:r>
    </w:p>
    <w:p w14:paraId="36C422FE">
      <w:pPr>
        <w:spacing w:line="480" w:lineRule="exact"/>
        <w:outlineLvl w:val="1"/>
        <w:rPr>
          <w:rFonts w:hint="eastAsia" w:ascii="宋体" w:hAnsi="宋体" w:eastAsia="宋体" w:cs="宋体"/>
          <w:b/>
          <w:sz w:val="24"/>
          <w:szCs w:val="24"/>
        </w:rPr>
      </w:pPr>
      <w:bookmarkStart w:id="33" w:name="_Toc28242"/>
      <w:bookmarkStart w:id="34" w:name="_Toc27312"/>
      <w:bookmarkStart w:id="35" w:name="_Toc31136"/>
      <w:r>
        <w:rPr>
          <w:rFonts w:hint="eastAsia" w:ascii="宋体" w:hAnsi="宋体" w:eastAsia="宋体" w:cs="宋体"/>
          <w:b/>
          <w:sz w:val="24"/>
          <w:szCs w:val="24"/>
        </w:rPr>
        <w:t>十二、其它</w:t>
      </w:r>
      <w:bookmarkEnd w:id="33"/>
      <w:bookmarkEnd w:id="34"/>
      <w:bookmarkEnd w:id="35"/>
    </w:p>
    <w:p w14:paraId="69F0EC19">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1.本合同在甲乙双方授权代表签字、单位盖章后生效。</w:t>
      </w:r>
    </w:p>
    <w:p w14:paraId="6853E748">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2.本合同未尽事宜，甲乙双方协商解决，合同变更及修改必须经双方同意，并以书面形式变更。所补充和变更的合同与本合同具有同等的法律效力。</w:t>
      </w:r>
    </w:p>
    <w:p w14:paraId="31743D99">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3.本合同壹式</w:t>
      </w:r>
      <w:r>
        <w:rPr>
          <w:rFonts w:hint="eastAsia" w:ascii="宋体" w:hAnsi="宋体" w:eastAsia="宋体" w:cs="宋体"/>
          <w:sz w:val="24"/>
          <w:szCs w:val="24"/>
          <w:u w:val="single"/>
        </w:rPr>
        <w:t xml:space="preserve">   </w:t>
      </w:r>
      <w:r>
        <w:rPr>
          <w:rFonts w:hint="eastAsia" w:ascii="宋体" w:hAnsi="宋体" w:eastAsia="宋体" w:cs="宋体"/>
          <w:sz w:val="24"/>
          <w:szCs w:val="24"/>
        </w:rPr>
        <w:t>份，甲乙双方各执</w:t>
      </w:r>
      <w:r>
        <w:rPr>
          <w:rFonts w:hint="eastAsia" w:ascii="宋体" w:hAnsi="宋体" w:eastAsia="宋体" w:cs="宋体"/>
          <w:sz w:val="24"/>
          <w:szCs w:val="24"/>
          <w:u w:val="single"/>
        </w:rPr>
        <w:t xml:space="preserve">   </w:t>
      </w:r>
      <w:r>
        <w:rPr>
          <w:rFonts w:hint="eastAsia" w:ascii="宋体" w:hAnsi="宋体" w:eastAsia="宋体" w:cs="宋体"/>
          <w:sz w:val="24"/>
          <w:szCs w:val="24"/>
        </w:rPr>
        <w:t>份。自签署之日起即生效。望双方共同遵守。</w:t>
      </w:r>
    </w:p>
    <w:p w14:paraId="3A94081A">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4.签署</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9"/>
        <w:gridCol w:w="4881"/>
      </w:tblGrid>
      <w:tr w14:paraId="44EF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4319" w:type="dxa"/>
            <w:vAlign w:val="center"/>
          </w:tcPr>
          <w:p w14:paraId="432A4F07">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甲方</w:t>
            </w:r>
          </w:p>
        </w:tc>
        <w:tc>
          <w:tcPr>
            <w:tcW w:w="4881" w:type="dxa"/>
            <w:vAlign w:val="center"/>
          </w:tcPr>
          <w:p w14:paraId="6A4812D7">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乙方</w:t>
            </w:r>
          </w:p>
        </w:tc>
      </w:tr>
      <w:tr w14:paraId="6D019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9" w:hRule="exact"/>
          <w:jc w:val="center"/>
        </w:trPr>
        <w:tc>
          <w:tcPr>
            <w:tcW w:w="4319" w:type="dxa"/>
          </w:tcPr>
          <w:p w14:paraId="31A790FA">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 xml:space="preserve">单位全称（盖章）：          </w:t>
            </w:r>
          </w:p>
          <w:p w14:paraId="4B5725EF">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单位地址：</w:t>
            </w:r>
          </w:p>
          <w:p w14:paraId="4F82F151">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法定代表人/委托代理人：</w:t>
            </w:r>
          </w:p>
          <w:p w14:paraId="55748F20">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组织机构代码：</w:t>
            </w:r>
          </w:p>
          <w:p w14:paraId="1DE051FA">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电话：</w:t>
            </w:r>
          </w:p>
          <w:p w14:paraId="65858CFD">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传真：</w:t>
            </w:r>
          </w:p>
          <w:p w14:paraId="518E5595">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开户银行：</w:t>
            </w:r>
          </w:p>
          <w:p w14:paraId="602E3A4D">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账号：</w:t>
            </w:r>
          </w:p>
          <w:p w14:paraId="1173F986">
            <w:pPr>
              <w:spacing w:before="120" w:beforeLines="50" w:line="360" w:lineRule="auto"/>
              <w:ind w:left="-718" w:leftChars="-342" w:firstLine="480" w:firstLineChars="200"/>
              <w:rPr>
                <w:rFonts w:hint="eastAsia" w:ascii="宋体" w:hAnsi="宋体" w:eastAsia="宋体" w:cs="宋体"/>
                <w:sz w:val="24"/>
                <w:szCs w:val="24"/>
              </w:rPr>
            </w:pPr>
          </w:p>
        </w:tc>
        <w:tc>
          <w:tcPr>
            <w:tcW w:w="4881" w:type="dxa"/>
          </w:tcPr>
          <w:p w14:paraId="6A8B7B36">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单位全称（盖章）：</w:t>
            </w:r>
          </w:p>
          <w:p w14:paraId="78EC1193">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单位地址：</w:t>
            </w:r>
          </w:p>
          <w:p w14:paraId="3FA4C9FA">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法定代表人/委托代理人：</w:t>
            </w:r>
          </w:p>
          <w:p w14:paraId="5609070A">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组织机构代码：</w:t>
            </w:r>
          </w:p>
          <w:p w14:paraId="70B19B3D">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电话：</w:t>
            </w:r>
          </w:p>
          <w:p w14:paraId="511692AE">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传真：</w:t>
            </w:r>
          </w:p>
          <w:p w14:paraId="72F73C60">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 xml:space="preserve">开户银行： </w:t>
            </w:r>
          </w:p>
          <w:p w14:paraId="5643EAE8">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账号：</w:t>
            </w:r>
          </w:p>
          <w:p w14:paraId="3428D7C0">
            <w:pPr>
              <w:spacing w:before="120" w:beforeLines="50"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5CB21196">
            <w:pPr>
              <w:spacing w:before="120" w:beforeLines="50" w:line="360" w:lineRule="auto"/>
              <w:ind w:left="-718" w:leftChars="-342" w:firstLine="480" w:firstLineChars="200"/>
              <w:rPr>
                <w:rFonts w:hint="eastAsia" w:ascii="宋体" w:hAnsi="宋体" w:eastAsia="宋体" w:cs="宋体"/>
                <w:sz w:val="24"/>
                <w:szCs w:val="24"/>
              </w:rPr>
            </w:pPr>
          </w:p>
        </w:tc>
      </w:tr>
    </w:tbl>
    <w:p w14:paraId="77519BBF"/>
    <w:sectPr>
      <w:pgSz w:w="11906" w:h="16838"/>
      <w:pgMar w:top="1270" w:right="1689" w:bottom="127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172A27"/>
    <w:rsid w:val="014D3826"/>
    <w:rsid w:val="14552EA0"/>
    <w:rsid w:val="301F1717"/>
    <w:rsid w:val="3CE91AC5"/>
    <w:rsid w:val="402618B5"/>
    <w:rsid w:val="48CD2996"/>
    <w:rsid w:val="55C030C9"/>
    <w:rsid w:val="6DD04B01"/>
    <w:rsid w:val="79B86399"/>
    <w:rsid w:val="7CE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w:basedOn w:val="1"/>
    <w:next w:val="1"/>
    <w:qFormat/>
    <w:uiPriority w:val="0"/>
    <w:rPr>
      <w:color w:val="993300"/>
      <w:sz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Body Text First Indent"/>
    <w:basedOn w:val="4"/>
    <w:next w:val="8"/>
    <w:qFormat/>
    <w:uiPriority w:val="0"/>
    <w:pPr>
      <w:spacing w:after="120"/>
      <w:ind w:firstLine="420" w:firstLineChars="100"/>
    </w:pPr>
    <w:rPr>
      <w:color w:val="auto"/>
      <w:sz w:val="18"/>
      <w:szCs w:val="18"/>
    </w:rPr>
  </w:style>
  <w:style w:type="paragraph" w:styleId="8">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样式 首行缩进:  2 字符"/>
    <w:qFormat/>
    <w:uiPriority w:val="99"/>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2001</Words>
  <Characters>2023</Characters>
  <Lines>0</Lines>
  <Paragraphs>0</Paragraphs>
  <TotalTime>6</TotalTime>
  <ScaleCrop>false</ScaleCrop>
  <LinksUpToDate>false</LinksUpToDate>
  <CharactersWithSpaces>2331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2025-08-26T08:44:00Z</dcterms:created>
  <dc:creator>27981</dc:creator>
  <cp:lastModifiedBy>0002</cp:lastModifiedBy>
  <dcterms:modified xsi:type="dcterms:W3CDTF">2026-05-26T10:57:34Z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4BA37E55774F45DDAE9B315E99D87D77_12</vt:lpwstr>
  </property>
</Properties>
</file>