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45564">
      <w:pPr>
        <w:pStyle w:val="3"/>
        <w:spacing w:after="156" w:afterLines="50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技术</w:t>
      </w: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偏离表</w:t>
      </w:r>
    </w:p>
    <w:p w14:paraId="3ACB3684">
      <w:pPr>
        <w:pStyle w:val="3"/>
        <w:spacing w:after="156" w:afterLines="50"/>
        <w:ind w:left="0" w:leftChars="0" w:firstLine="0" w:firstLineChars="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项目编号：HZ-J2026018C</w:t>
      </w:r>
    </w:p>
    <w:p w14:paraId="6621431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kern w:val="2"/>
          <w:sz w:val="22"/>
          <w:szCs w:val="22"/>
          <w:lang w:val="en-US" w:eastAsia="zh-CN" w:bidi="ar-SA"/>
        </w:rPr>
        <w:t>项目名称：南郑区市场监管系统基层市场所执法服装购置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                    </w:t>
      </w:r>
    </w:p>
    <w:tbl>
      <w:tblPr>
        <w:tblStyle w:val="7"/>
        <w:tblW w:w="8931" w:type="dxa"/>
        <w:tblInd w:w="-5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1931"/>
        <w:gridCol w:w="2012"/>
        <w:gridCol w:w="2115"/>
        <w:gridCol w:w="2085"/>
      </w:tblGrid>
      <w:tr w14:paraId="3797F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788" w:type="dxa"/>
            <w:noWrap w:val="0"/>
            <w:vAlign w:val="center"/>
          </w:tcPr>
          <w:p w14:paraId="54A9410D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1931" w:type="dxa"/>
            <w:noWrap w:val="0"/>
            <w:vAlign w:val="center"/>
          </w:tcPr>
          <w:p w14:paraId="5B6D41E5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文件</w:t>
            </w:r>
          </w:p>
          <w:p w14:paraId="2790EA60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技术要求</w:t>
            </w:r>
          </w:p>
        </w:tc>
        <w:tc>
          <w:tcPr>
            <w:tcW w:w="2012" w:type="dxa"/>
            <w:noWrap w:val="0"/>
            <w:vAlign w:val="center"/>
          </w:tcPr>
          <w:p w14:paraId="563CE721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响应文件</w:t>
            </w:r>
          </w:p>
          <w:p w14:paraId="60490860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技术要求响应</w:t>
            </w:r>
          </w:p>
        </w:tc>
        <w:tc>
          <w:tcPr>
            <w:tcW w:w="2115" w:type="dxa"/>
            <w:noWrap w:val="0"/>
            <w:vAlign w:val="center"/>
          </w:tcPr>
          <w:p w14:paraId="476D4AC7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正/负偏离或相同</w:t>
            </w:r>
          </w:p>
        </w:tc>
        <w:tc>
          <w:tcPr>
            <w:tcW w:w="2085" w:type="dxa"/>
            <w:noWrap w:val="0"/>
            <w:vAlign w:val="center"/>
          </w:tcPr>
          <w:p w14:paraId="0FE49292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偏离内容及影响</w:t>
            </w:r>
          </w:p>
        </w:tc>
      </w:tr>
      <w:tr w14:paraId="3A1D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1891494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09FD68F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12" w:type="dxa"/>
            <w:noWrap w:val="0"/>
            <w:vAlign w:val="top"/>
          </w:tcPr>
          <w:p w14:paraId="4637662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5" w:type="dxa"/>
            <w:noWrap w:val="0"/>
            <w:vAlign w:val="top"/>
          </w:tcPr>
          <w:p w14:paraId="342E185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85" w:type="dxa"/>
            <w:noWrap w:val="0"/>
            <w:vAlign w:val="top"/>
          </w:tcPr>
          <w:p w14:paraId="3FF425B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65F89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72618C0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0A28F14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12" w:type="dxa"/>
            <w:noWrap w:val="0"/>
            <w:vAlign w:val="top"/>
          </w:tcPr>
          <w:p w14:paraId="21FC463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5" w:type="dxa"/>
            <w:noWrap w:val="0"/>
            <w:vAlign w:val="top"/>
          </w:tcPr>
          <w:p w14:paraId="20D10A2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85" w:type="dxa"/>
            <w:noWrap w:val="0"/>
            <w:vAlign w:val="top"/>
          </w:tcPr>
          <w:p w14:paraId="239FCF6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07162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3E96449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24A27E6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12" w:type="dxa"/>
            <w:noWrap w:val="0"/>
            <w:vAlign w:val="top"/>
          </w:tcPr>
          <w:p w14:paraId="4A51FB5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5" w:type="dxa"/>
            <w:noWrap w:val="0"/>
            <w:vAlign w:val="top"/>
          </w:tcPr>
          <w:p w14:paraId="12706E9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85" w:type="dxa"/>
            <w:noWrap w:val="0"/>
            <w:vAlign w:val="top"/>
          </w:tcPr>
          <w:p w14:paraId="2C80567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16500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3CA38FC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0520A5D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12" w:type="dxa"/>
            <w:noWrap w:val="0"/>
            <w:vAlign w:val="top"/>
          </w:tcPr>
          <w:p w14:paraId="1C1A7AA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5" w:type="dxa"/>
            <w:noWrap w:val="0"/>
            <w:vAlign w:val="top"/>
          </w:tcPr>
          <w:p w14:paraId="37515C5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85" w:type="dxa"/>
            <w:noWrap w:val="0"/>
            <w:vAlign w:val="top"/>
          </w:tcPr>
          <w:p w14:paraId="755C7AC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2977B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6771D59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29C6F6A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12" w:type="dxa"/>
            <w:noWrap w:val="0"/>
            <w:vAlign w:val="top"/>
          </w:tcPr>
          <w:p w14:paraId="4AA26D0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5" w:type="dxa"/>
            <w:noWrap w:val="0"/>
            <w:vAlign w:val="top"/>
          </w:tcPr>
          <w:p w14:paraId="5ECD174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85" w:type="dxa"/>
            <w:noWrap w:val="0"/>
            <w:vAlign w:val="top"/>
          </w:tcPr>
          <w:p w14:paraId="6E482AE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14753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4AA9D20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037FC3F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12" w:type="dxa"/>
            <w:noWrap w:val="0"/>
            <w:vAlign w:val="top"/>
          </w:tcPr>
          <w:p w14:paraId="5576954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5" w:type="dxa"/>
            <w:noWrap w:val="0"/>
            <w:vAlign w:val="top"/>
          </w:tcPr>
          <w:p w14:paraId="32D2A1C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85" w:type="dxa"/>
            <w:noWrap w:val="0"/>
            <w:vAlign w:val="top"/>
          </w:tcPr>
          <w:p w14:paraId="09F7406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0ECE1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79051EA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557CD65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12" w:type="dxa"/>
            <w:noWrap w:val="0"/>
            <w:vAlign w:val="top"/>
          </w:tcPr>
          <w:p w14:paraId="376184C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5" w:type="dxa"/>
            <w:noWrap w:val="0"/>
            <w:vAlign w:val="top"/>
          </w:tcPr>
          <w:p w14:paraId="2FF2F60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85" w:type="dxa"/>
            <w:noWrap w:val="0"/>
            <w:vAlign w:val="top"/>
          </w:tcPr>
          <w:p w14:paraId="386AE00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208F6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4A11017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11E6A73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12" w:type="dxa"/>
            <w:noWrap w:val="0"/>
            <w:vAlign w:val="top"/>
          </w:tcPr>
          <w:p w14:paraId="2B16DF3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5" w:type="dxa"/>
            <w:noWrap w:val="0"/>
            <w:vAlign w:val="top"/>
          </w:tcPr>
          <w:p w14:paraId="743D32C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85" w:type="dxa"/>
            <w:noWrap w:val="0"/>
            <w:vAlign w:val="top"/>
          </w:tcPr>
          <w:p w14:paraId="2DA0B5F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61AFC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7660407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307C8BB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12" w:type="dxa"/>
            <w:noWrap w:val="0"/>
            <w:vAlign w:val="top"/>
          </w:tcPr>
          <w:p w14:paraId="0FB13FC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5" w:type="dxa"/>
            <w:noWrap w:val="0"/>
            <w:vAlign w:val="top"/>
          </w:tcPr>
          <w:p w14:paraId="06C5BEA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85" w:type="dxa"/>
            <w:noWrap w:val="0"/>
            <w:vAlign w:val="top"/>
          </w:tcPr>
          <w:p w14:paraId="4AEB139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2AAE0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05DD3D5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72C36F2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12" w:type="dxa"/>
            <w:noWrap w:val="0"/>
            <w:vAlign w:val="top"/>
          </w:tcPr>
          <w:p w14:paraId="1B3BAE3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5" w:type="dxa"/>
            <w:noWrap w:val="0"/>
            <w:vAlign w:val="top"/>
          </w:tcPr>
          <w:p w14:paraId="75EBBD6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85" w:type="dxa"/>
            <w:noWrap w:val="0"/>
            <w:vAlign w:val="top"/>
          </w:tcPr>
          <w:p w14:paraId="1046C7C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6CF74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5485660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619DD90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12" w:type="dxa"/>
            <w:noWrap w:val="0"/>
            <w:vAlign w:val="top"/>
          </w:tcPr>
          <w:p w14:paraId="0861BB8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5" w:type="dxa"/>
            <w:noWrap w:val="0"/>
            <w:vAlign w:val="top"/>
          </w:tcPr>
          <w:p w14:paraId="27790F6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85" w:type="dxa"/>
            <w:noWrap w:val="0"/>
            <w:vAlign w:val="top"/>
          </w:tcPr>
          <w:p w14:paraId="5F3795A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5E8C1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28B518C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3D35597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12" w:type="dxa"/>
            <w:noWrap w:val="0"/>
            <w:vAlign w:val="top"/>
          </w:tcPr>
          <w:p w14:paraId="689E1BF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5" w:type="dxa"/>
            <w:noWrap w:val="0"/>
            <w:vAlign w:val="top"/>
          </w:tcPr>
          <w:p w14:paraId="2B4F39B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85" w:type="dxa"/>
            <w:noWrap w:val="0"/>
            <w:vAlign w:val="top"/>
          </w:tcPr>
          <w:p w14:paraId="085F65F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75EAE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4DBC603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7631132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12" w:type="dxa"/>
            <w:noWrap w:val="0"/>
            <w:vAlign w:val="top"/>
          </w:tcPr>
          <w:p w14:paraId="4B2FB46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5" w:type="dxa"/>
            <w:noWrap w:val="0"/>
            <w:vAlign w:val="top"/>
          </w:tcPr>
          <w:p w14:paraId="4D2FAF9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85" w:type="dxa"/>
            <w:noWrap w:val="0"/>
            <w:vAlign w:val="top"/>
          </w:tcPr>
          <w:p w14:paraId="33E05AD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  <w:tr w14:paraId="65750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noWrap w:val="0"/>
            <w:vAlign w:val="top"/>
          </w:tcPr>
          <w:p w14:paraId="12FBA5C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noWrap w:val="0"/>
            <w:vAlign w:val="top"/>
          </w:tcPr>
          <w:p w14:paraId="6C78027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12" w:type="dxa"/>
            <w:noWrap w:val="0"/>
            <w:vAlign w:val="top"/>
          </w:tcPr>
          <w:p w14:paraId="5C055E9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115" w:type="dxa"/>
            <w:noWrap w:val="0"/>
            <w:vAlign w:val="top"/>
          </w:tcPr>
          <w:p w14:paraId="7B36D9B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  <w:tc>
          <w:tcPr>
            <w:tcW w:w="2085" w:type="dxa"/>
            <w:noWrap w:val="0"/>
            <w:vAlign w:val="top"/>
          </w:tcPr>
          <w:p w14:paraId="3123BE9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</w:rPr>
            </w:pPr>
          </w:p>
        </w:tc>
      </w:tr>
    </w:tbl>
    <w:p w14:paraId="7454F1D5">
      <w:pPr>
        <w:spacing w:line="40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注：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①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如全部响应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文件所提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技术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要求，在“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文件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技术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要求”及“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文件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技术要求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响应”栏中填写“全部”字样，在“偏离情况”栏填入“无偏离”字样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如有偏离，在“偏离情况”中写明偏离原因。</w:t>
      </w:r>
    </w:p>
    <w:p w14:paraId="4BC2F553">
      <w:pPr>
        <w:spacing w:line="40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②技术要求内容具体详见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《第三章 谈判项目技术、服务、商务及其他要求》3.3技术要求（一）采购内容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和（二）采购要求</w:t>
      </w: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）。 </w:t>
      </w:r>
    </w:p>
    <w:p w14:paraId="43518F46">
      <w:pPr>
        <w:spacing w:line="400" w:lineRule="exact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default" w:ascii="宋体" w:hAnsi="宋体" w:eastAsia="宋体" w:cs="宋体"/>
          <w:color w:val="auto"/>
          <w:sz w:val="22"/>
          <w:szCs w:val="22"/>
          <w:lang w:val="en-US" w:eastAsia="zh-CN"/>
        </w:rPr>
        <w:t>③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除以上表中列明的偏离项之外，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完全响应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文件的所有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技术要求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。</w:t>
      </w:r>
    </w:p>
    <w:p w14:paraId="498661E1">
      <w:pPr>
        <w:spacing w:line="400" w:lineRule="exact"/>
        <w:ind w:firstLine="440" w:firstLineChars="200"/>
        <w:rPr>
          <w:rFonts w:hint="default" w:ascii="宋体" w:hAnsi="宋体" w:eastAsia="宋体" w:cs="宋体"/>
          <w:color w:val="auto"/>
          <w:sz w:val="22"/>
          <w:szCs w:val="22"/>
          <w:lang w:val="en-US" w:eastAsia="zh-CN"/>
        </w:rPr>
      </w:pPr>
    </w:p>
    <w:p w14:paraId="35DA7F5F">
      <w:pPr>
        <w:pStyle w:val="6"/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 xml:space="preserve">       </w:t>
      </w:r>
    </w:p>
    <w:p w14:paraId="30544F41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3568" w:firstLineChars="1622"/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  <w:t>供应商：</w:t>
      </w:r>
      <w:r>
        <w:rPr>
          <w:rFonts w:hint="eastAsia" w:ascii="宋体" w:hAnsi="宋体" w:cs="宋体"/>
          <w:bCs/>
          <w:caps/>
          <w:color w:val="auto"/>
          <w:sz w:val="22"/>
          <w:szCs w:val="2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  <w:t>(</w:t>
      </w:r>
      <w:r>
        <w:rPr>
          <w:rFonts w:hint="eastAsia" w:ascii="宋体" w:hAnsi="宋体" w:cs="宋体"/>
          <w:bCs/>
          <w:caps/>
          <w:color w:val="auto"/>
          <w:sz w:val="22"/>
          <w:szCs w:val="22"/>
          <w:lang w:val="en-US" w:eastAsia="zh-CN"/>
        </w:rPr>
        <w:t>填写全称并加盖</w:t>
      </w:r>
      <w:r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  <w:t>公章)</w:t>
      </w:r>
    </w:p>
    <w:p w14:paraId="5652C81A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3568" w:firstLineChars="1622"/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  <w:t>法定代表人</w:t>
      </w:r>
      <w:bookmarkStart w:id="0" w:name="_GoBack"/>
      <w:bookmarkEnd w:id="0"/>
      <w:r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  <w:t>或被授权代表：</w:t>
      </w:r>
      <w:r>
        <w:rPr>
          <w:rFonts w:hint="eastAsia" w:ascii="宋体" w:hAnsi="宋体" w:cs="宋体"/>
          <w:bCs/>
          <w:caps/>
          <w:color w:val="auto"/>
          <w:sz w:val="22"/>
          <w:szCs w:val="2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  <w:t>（签字</w:t>
      </w:r>
      <w:r>
        <w:rPr>
          <w:rFonts w:hint="eastAsia" w:ascii="宋体" w:hAnsi="宋体" w:cs="宋体"/>
          <w:bCs/>
          <w:caps/>
          <w:color w:val="auto"/>
          <w:sz w:val="22"/>
          <w:szCs w:val="22"/>
          <w:lang w:val="en-US" w:eastAsia="zh-CN"/>
        </w:rPr>
        <w:t>或盖章</w:t>
      </w:r>
      <w:r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  <w:t>）</w:t>
      </w:r>
    </w:p>
    <w:p w14:paraId="6CE30BCC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3568" w:firstLineChars="1622"/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</w:pPr>
      <w:r>
        <w:rPr>
          <w:rFonts w:hint="eastAsia" w:ascii="宋体" w:hAnsi="宋体" w:eastAsia="宋体" w:cs="宋体"/>
          <w:bCs/>
          <w:caps/>
          <w:color w:val="auto"/>
          <w:sz w:val="22"/>
          <w:szCs w:val="22"/>
        </w:rPr>
        <w:t>日    期：</w:t>
      </w:r>
    </w:p>
    <w:p w14:paraId="5413D5A0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172A27"/>
    <w:rsid w:val="04BB66EF"/>
    <w:rsid w:val="093A3D54"/>
    <w:rsid w:val="0E296775"/>
    <w:rsid w:val="1EA77665"/>
    <w:rsid w:val="33220927"/>
    <w:rsid w:val="410D0FB5"/>
    <w:rsid w:val="46827CD6"/>
    <w:rsid w:val="4C3E2B07"/>
    <w:rsid w:val="4DB017E2"/>
    <w:rsid w:val="5A6C4CE3"/>
    <w:rsid w:val="5CDB2259"/>
    <w:rsid w:val="64700F6E"/>
    <w:rsid w:val="66CF6FA0"/>
    <w:rsid w:val="6769676B"/>
    <w:rsid w:val="6FDD114A"/>
    <w:rsid w:val="703A74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outlineLvl w:val="3"/>
    </w:pPr>
    <w:rPr>
      <w:color w:val="FF0000"/>
      <w:sz w:val="28"/>
      <w:u w:val="single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420"/>
    </w:pPr>
    <w:rPr>
      <w:szCs w:val="20"/>
    </w:rPr>
  </w:style>
  <w:style w:type="paragraph" w:styleId="4">
    <w:name w:val="Body Text First Indent 2"/>
    <w:basedOn w:val="5"/>
    <w:next w:val="1"/>
    <w:qFormat/>
    <w:uiPriority w:val="99"/>
    <w:pPr>
      <w:spacing w:after="120" w:line="240" w:lineRule="auto"/>
      <w:ind w:left="420" w:leftChars="200" w:firstLine="420" w:firstLineChars="200"/>
    </w:pPr>
    <w:rPr>
      <w:rFonts w:ascii="Times New Roman" w:hAnsi="Times New Roman"/>
      <w:sz w:val="21"/>
      <w:szCs w:val="24"/>
    </w:rPr>
  </w:style>
  <w:style w:type="paragraph" w:styleId="5">
    <w:name w:val="Body Text Indent"/>
    <w:basedOn w:val="1"/>
    <w:qFormat/>
    <w:uiPriority w:val="99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6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292</Words>
  <Characters>305</Characters>
  <Lines>0</Lines>
  <Paragraphs>0</Paragraphs>
  <TotalTime>0</TotalTime>
  <ScaleCrop>false</ScaleCrop>
  <LinksUpToDate>false</LinksUpToDate>
  <CharactersWithSpaces>346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2025-08-14T09:11:00Z</dcterms:created>
  <dc:creator>lenovo</dc:creator>
  <cp:lastModifiedBy>0002</cp:lastModifiedBy>
  <dcterms:modified xsi:type="dcterms:W3CDTF">2026-05-26T11:36:07Z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3CCF1DD56142478FB498F2B6365FFEC5_13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