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版本号：LZBB2026-113920260817001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医疗设备维保</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LZBB2026-1139</w:t>
      </w:r>
      <w:r>
        <w:br/>
      </w:r>
      <w:r>
        <w:br/>
      </w:r>
      <w:r>
        <w:br/>
      </w:r>
    </w:p>
    <w:p>
      <w:pPr>
        <w:pStyle w:val="null3"/>
        <w:jc w:val="center"/>
        <w:outlineLvl w:val="2"/>
      </w:pPr>
      <w:r>
        <w:rPr>
          <w:rFonts w:ascii="仿宋_GB2312" w:hAnsi="仿宋_GB2312" w:cs="仿宋_GB2312" w:eastAsia="仿宋_GB2312"/>
          <w:sz w:val="28"/>
          <w:b/>
        </w:rPr>
        <w:t>宝鸡市中医医院</w:t>
      </w:r>
    </w:p>
    <w:p>
      <w:pPr>
        <w:pStyle w:val="null3"/>
        <w:jc w:val="center"/>
        <w:outlineLvl w:val="2"/>
      </w:pPr>
      <w:r>
        <w:rPr>
          <w:rFonts w:ascii="仿宋_GB2312" w:hAnsi="仿宋_GB2312" w:cs="仿宋_GB2312" w:eastAsia="仿宋_GB2312"/>
          <w:sz w:val="28"/>
          <w:b/>
        </w:rPr>
        <w:t>龙寰项目管理咨询有限公司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2026年08月17日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龙寰项目管理咨询有限公司</w:t>
      </w:r>
      <w:r>
        <w:rPr>
          <w:rFonts w:ascii="仿宋_GB2312" w:hAnsi="仿宋_GB2312" w:cs="仿宋_GB2312" w:eastAsia="仿宋_GB2312"/>
        </w:rPr>
        <w:t>（以下简称“代理机构”）受</w:t>
      </w:r>
      <w:r>
        <w:rPr>
          <w:rFonts w:ascii="仿宋_GB2312" w:hAnsi="仿宋_GB2312" w:cs="仿宋_GB2312" w:eastAsia="仿宋_GB2312"/>
        </w:rPr>
        <w:t>宝鸡市中医医院</w:t>
      </w:r>
      <w:r>
        <w:rPr>
          <w:rFonts w:ascii="仿宋_GB2312" w:hAnsi="仿宋_GB2312" w:cs="仿宋_GB2312" w:eastAsia="仿宋_GB2312"/>
        </w:rPr>
        <w:t>委托，拟对</w:t>
      </w:r>
      <w:r>
        <w:rPr>
          <w:rFonts w:ascii="仿宋_GB2312" w:hAnsi="仿宋_GB2312" w:cs="仿宋_GB2312" w:eastAsia="仿宋_GB2312"/>
        </w:rPr>
        <w:t>医疗设备维保</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LZBB2026-1139</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医疗设备维保</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本项目拟对宝鸡市中医医院医疗设备维保进行采购，具体详见采购文件。</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中华人民共和国境内注册，能够独立承担民事责任的法人、其他组织或自然人：法人或者其他组织提供营业执照、事业单位法人证书等证明文件，自然人提供身份证件，供应商需在项目电子化交易系统中按要求上传相应证明文件并进行电子签章</w:t>
      </w:r>
    </w:p>
    <w:p>
      <w:pPr>
        <w:pStyle w:val="null3"/>
      </w:pPr>
      <w:r>
        <w:rPr>
          <w:rFonts w:ascii="仿宋_GB2312" w:hAnsi="仿宋_GB2312" w:cs="仿宋_GB2312" w:eastAsia="仿宋_GB2312"/>
        </w:rPr>
        <w:t>2、税收缴纳凭证及社会保险缴纳的凭证：供应商在本项目磋商响应文件递交截止时间前十二个月内任意一个月的税收缴纳凭证及社会保险缴纳的凭证。依法免税或不需要缴纳社会保障资金的供应商，应提供相应文件证明其依法免税或不需要缴纳社会保障资金，供应商需在项目电子化交易系统中按要求上传相应证明文件并进行电子签章</w:t>
      </w:r>
    </w:p>
    <w:p>
      <w:pPr>
        <w:pStyle w:val="null3"/>
      </w:pPr>
      <w:r>
        <w:rPr>
          <w:rFonts w:ascii="仿宋_GB2312" w:hAnsi="仿宋_GB2312" w:cs="仿宋_GB2312" w:eastAsia="仿宋_GB2312"/>
        </w:rPr>
        <w:t>3、财务状况：供应商2024年度或2025年度经审计完整的财务报告（审计报告应当经过注册会计师行业统一监管平台备案赋码可查询：https://acc.mof.gov.cn/）或磋商响应文件递交截止时间前六个月内其基本账户银行出具的资信证明（附《基本存款账户信息》或《银行开户许可证》）；或提供专业担保机构出具的投标担保函，供应商需在项目电子化交易系统中按要求上传相应证明文件并进行电子签章</w:t>
      </w:r>
    </w:p>
    <w:p>
      <w:pPr>
        <w:pStyle w:val="null3"/>
      </w:pPr>
      <w:r>
        <w:rPr>
          <w:rFonts w:ascii="仿宋_GB2312" w:hAnsi="仿宋_GB2312" w:cs="仿宋_GB2312" w:eastAsia="仿宋_GB2312"/>
        </w:rPr>
        <w:t>4、参加政府采购活动前3年内在经营活动中没有重大违法记录的书面声明：参加政府采购活动前3年内在经营活动中没有重大违法记录的书面声明，供应商需在项目电子化交易系统中按要求上传相应证明文件并进行电子签章</w:t>
      </w:r>
    </w:p>
    <w:p>
      <w:pPr>
        <w:pStyle w:val="null3"/>
      </w:pPr>
      <w:r>
        <w:rPr>
          <w:rFonts w:ascii="仿宋_GB2312" w:hAnsi="仿宋_GB2312" w:cs="仿宋_GB2312" w:eastAsia="仿宋_GB2312"/>
        </w:rPr>
        <w:t>5、履行合同所必需的设备和专业技术能力书面声明函：履行合同所必需的设备和专业技术能力书面声明函，供应商需在项目电子化交易系统中按要求上传相应证明文件并进行电子签章</w:t>
      </w:r>
    </w:p>
    <w:p>
      <w:pPr>
        <w:pStyle w:val="null3"/>
      </w:pPr>
      <w:r>
        <w:rPr>
          <w:rFonts w:ascii="仿宋_GB2312" w:hAnsi="仿宋_GB2312" w:cs="仿宋_GB2312" w:eastAsia="仿宋_GB2312"/>
        </w:rPr>
        <w:t>6、法定代表人授权委托书：法定代表人参加投标的提供法定代表人身份证明及身份证，委托代理人参加投标的提供授权委托书及委托代理人身份证，并提供被授权代表开标截止前三个月内任意一个月在本单位的社会保险缴纳证明（法定代表人参加只需提供法定代表人身份证明），供应商需在项目电子化交易系统中按要求上传相应证明文件并进行电子签章</w:t>
      </w:r>
    </w:p>
    <w:p>
      <w:pPr>
        <w:pStyle w:val="null3"/>
      </w:pPr>
      <w:r>
        <w:rPr>
          <w:rFonts w:ascii="仿宋_GB2312" w:hAnsi="仿宋_GB2312" w:cs="仿宋_GB2312" w:eastAsia="仿宋_GB2312"/>
        </w:rPr>
        <w:t>7、特殊资格条件：供应商为代理商的，所投产品纳入医疗器械管理的须提供《医疗器械经营许可证》或《医疗器械经营备案凭证》及所投产品医疗器械注册证或医疗器械备案凭证(含附件和附页)，并出具产品制造商的营业执照和医疗器械生产许可证；供应商为制造商的，所投产品纳入医疗器械管理的须提供《医疗器械经营许可证》或《医疗器械经营备案凭证》、《医疗器械生产许可证》及所投产品医疗器械注册证或医疗器械备案凭证(含附件和附页)，供应商需在项目电子化交易系统中按要求上传相应证明文件并进行电子签章</w:t>
      </w:r>
    </w:p>
    <w:p>
      <w:pPr>
        <w:pStyle w:val="null3"/>
      </w:pPr>
      <w:r>
        <w:rPr>
          <w:rFonts w:ascii="仿宋_GB2312" w:hAnsi="仿宋_GB2312" w:cs="仿宋_GB2312" w:eastAsia="仿宋_GB2312"/>
        </w:rPr>
        <w:t>8、信誉状况：供应商不得为“信用中国”网站（www.creditchina.gov.cn）中列入失信被执行人和重大税收违法失信主体的供应商，不得为中国政府采购网（www.ccgp.gov.cn）政府采购严重违法失信行为记录名单中被财政部门禁止参加政府采购活动的供应商，以响应文件递交截止时间后网站查询结果为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中华人民共和国境内注册，能够独立承担民事责任的法人、其他组织或自然人：法人或者其他组织提供营业执照、事业单位法人证书等证明文件，自然人提供身份证件，供应商需在项目电子化交易系统中按要求上传相应证明文件并进行电子签章</w:t>
      </w:r>
    </w:p>
    <w:p>
      <w:pPr>
        <w:pStyle w:val="null3"/>
      </w:pPr>
      <w:r>
        <w:rPr>
          <w:rFonts w:ascii="仿宋_GB2312" w:hAnsi="仿宋_GB2312" w:cs="仿宋_GB2312" w:eastAsia="仿宋_GB2312"/>
        </w:rPr>
        <w:t>2、税收缴纳凭证及社会保险缴纳的凭证：供应商在本项目磋商响应文件递交截止时间前十二个月内任意一个月的税收缴纳凭证及社会保险缴纳的凭证。依法免税或不需要缴纳社会保障资金的供应商，应提供相应文件证明其依法免税或不需要缴纳社会保障资金，供应商需在项目电子化交易系统中按要求上传相应证明文件并进行电子签章</w:t>
      </w:r>
    </w:p>
    <w:p>
      <w:pPr>
        <w:pStyle w:val="null3"/>
      </w:pPr>
      <w:r>
        <w:rPr>
          <w:rFonts w:ascii="仿宋_GB2312" w:hAnsi="仿宋_GB2312" w:cs="仿宋_GB2312" w:eastAsia="仿宋_GB2312"/>
        </w:rPr>
        <w:t>3、财务状况：供应商2024年度或2025年度经审计完整的财务报告（审计报告应当经过注册会计师行业统一监管平台备案赋码可查询：https://acc.mof.gov.cn/）或磋商响应文件递交截止时间前六个月内其基本账户银行出具的资信证明（附《基本存款账户信息》或《银行开户许可证》）；或提供专业担保机构出具的投标担保函，供应商需在项目电子化交易系统中按要求上传相应证明文件并进行电子签章</w:t>
      </w:r>
    </w:p>
    <w:p>
      <w:pPr>
        <w:pStyle w:val="null3"/>
      </w:pPr>
      <w:r>
        <w:rPr>
          <w:rFonts w:ascii="仿宋_GB2312" w:hAnsi="仿宋_GB2312" w:cs="仿宋_GB2312" w:eastAsia="仿宋_GB2312"/>
        </w:rPr>
        <w:t>4、参加政府采购活动前3年内在经营活动中没有重大违法记录的书面声明：参加政府采购活动前3年内在经营活动中没有重大违法记录的书面声明，供应商需在项目电子化交易系统中按要求上传相应证明文件并进行电子签章</w:t>
      </w:r>
    </w:p>
    <w:p>
      <w:pPr>
        <w:pStyle w:val="null3"/>
      </w:pPr>
      <w:r>
        <w:rPr>
          <w:rFonts w:ascii="仿宋_GB2312" w:hAnsi="仿宋_GB2312" w:cs="仿宋_GB2312" w:eastAsia="仿宋_GB2312"/>
        </w:rPr>
        <w:t>5、履行合同所必需的设备和专业技术能力书面声明函：履行合同所必需的设备和专业技术能力书面声明函，供应商需在项目电子化交易系统中按要求上传相应证明文件并进行电子签章</w:t>
      </w:r>
    </w:p>
    <w:p>
      <w:pPr>
        <w:pStyle w:val="null3"/>
      </w:pPr>
      <w:r>
        <w:rPr>
          <w:rFonts w:ascii="仿宋_GB2312" w:hAnsi="仿宋_GB2312" w:cs="仿宋_GB2312" w:eastAsia="仿宋_GB2312"/>
        </w:rPr>
        <w:t>6、法定代表人授权委托书：法定代表人参加投标的提供法定代表人身份证明及身份证，委托代理人参加投标的提供授权委托书及委托代理人身份证，并提供被授权代表开标截止前三个月内任意一个月在本单位的社会保险缴纳证明（法定代表人参加只需提供法定代表人身份证明），供应商需在项目电子化交易系统中按要求上传相应证明文件并进行电子签章</w:t>
      </w:r>
    </w:p>
    <w:p>
      <w:pPr>
        <w:pStyle w:val="null3"/>
      </w:pPr>
      <w:r>
        <w:rPr>
          <w:rFonts w:ascii="仿宋_GB2312" w:hAnsi="仿宋_GB2312" w:cs="仿宋_GB2312" w:eastAsia="仿宋_GB2312"/>
        </w:rPr>
        <w:t>7、特殊资格条件：供应商为代理商的，所投产品纳入医疗器械管理的须提供《医疗器械经营许可证》或《医疗器械经营备案凭证》及所投产品医疗器械注册证或医疗器械备案凭证(含附件和附页)，并出具产品制造商的营业执照和医疗器械生产许可证；供应商为制造商的，所投产品纳入医疗器械管理的须提供《医疗器械经营许可证》或《医疗器械经营备案凭证》、《医疗器械生产许可证》及所投产品医疗器械注册证或医疗器械备案凭证(含附件和附页)，供应商需在项目电子化交易系统中按要求上传相应证明文件并进行电子签章</w:t>
      </w:r>
    </w:p>
    <w:p>
      <w:pPr>
        <w:pStyle w:val="null3"/>
      </w:pPr>
      <w:r>
        <w:rPr>
          <w:rFonts w:ascii="仿宋_GB2312" w:hAnsi="仿宋_GB2312" w:cs="仿宋_GB2312" w:eastAsia="仿宋_GB2312"/>
        </w:rPr>
        <w:t>8、信誉状况：供应商不得为“信用中国”网站（www.creditchina.gov.cn）中列入失信被执行人和重大税收违法失信主体的供应商，不得为中国政府采购网（www.ccgp.gov.cn）政府采购严重违法失信行为记录名单中被财政部门禁止参加政府采购活动的供应商，以响应文件递交截止时间后网站查询结果为准</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中华人民共和国境内注册，能够独立承担民事责任的法人、其他组织或自然人：法人或者其他组织提供营业执照、事业单位法人证书等证明文件，自然人提供身份证件，供应商需在项目电子化交易系统中按要求上传相应证明文件并进行电子签章</w:t>
      </w:r>
    </w:p>
    <w:p>
      <w:pPr>
        <w:pStyle w:val="null3"/>
      </w:pPr>
      <w:r>
        <w:rPr>
          <w:rFonts w:ascii="仿宋_GB2312" w:hAnsi="仿宋_GB2312" w:cs="仿宋_GB2312" w:eastAsia="仿宋_GB2312"/>
        </w:rPr>
        <w:t>2、税收缴纳凭证及社会保险缴纳的凭证：供应商在本项目磋商响应文件递交截止时间前十二个月内任意一个月的税收缴纳凭证及社会保险缴纳的凭证。依法免税或不需要缴纳社会保障资金的供应商，应提供相应文件证明其依法免税或不需要缴纳社会保障资金，供应商需在项目电子化交易系统中按要求上传相应证明文件并进行电子签章</w:t>
      </w:r>
    </w:p>
    <w:p>
      <w:pPr>
        <w:pStyle w:val="null3"/>
      </w:pPr>
      <w:r>
        <w:rPr>
          <w:rFonts w:ascii="仿宋_GB2312" w:hAnsi="仿宋_GB2312" w:cs="仿宋_GB2312" w:eastAsia="仿宋_GB2312"/>
        </w:rPr>
        <w:t>3、财务状况：供应商2024年度或2025年度经审计完整的财务报告（审计报告应当经过注册会计师行业统一监管平台备案赋码可查询：https://acc.mof.gov.cn/）或磋商响应文件递交截止时间前六个月内其基本账户银行出具的资信证明（附《基本存款账户信息》或《银行开户许可证》）；或提供专业担保机构出具的投标担保函，供应商需在项目电子化交易系统中按要求上传相应证明文件并进行电子签章</w:t>
      </w:r>
    </w:p>
    <w:p>
      <w:pPr>
        <w:pStyle w:val="null3"/>
      </w:pPr>
      <w:r>
        <w:rPr>
          <w:rFonts w:ascii="仿宋_GB2312" w:hAnsi="仿宋_GB2312" w:cs="仿宋_GB2312" w:eastAsia="仿宋_GB2312"/>
        </w:rPr>
        <w:t>4、参加政府采购活动前3年内在经营活动中没有重大违法记录的书面声明：参加政府采购活动前3年内在经营活动中没有重大违法记录的书面声明，供应商需在项目电子化交易系统中按要求上传相应证明文件并进行电子签章</w:t>
      </w:r>
    </w:p>
    <w:p>
      <w:pPr>
        <w:pStyle w:val="null3"/>
      </w:pPr>
      <w:r>
        <w:rPr>
          <w:rFonts w:ascii="仿宋_GB2312" w:hAnsi="仿宋_GB2312" w:cs="仿宋_GB2312" w:eastAsia="仿宋_GB2312"/>
        </w:rPr>
        <w:t>5、履行合同所必需的设备和专业技术能力书面声明函：履行合同所必需的设备和专业技术能力书面声明函，供应商需在项目电子化交易系统中按要求上传相应证明文件并进行电子签章</w:t>
      </w:r>
    </w:p>
    <w:p>
      <w:pPr>
        <w:pStyle w:val="null3"/>
      </w:pPr>
      <w:r>
        <w:rPr>
          <w:rFonts w:ascii="仿宋_GB2312" w:hAnsi="仿宋_GB2312" w:cs="仿宋_GB2312" w:eastAsia="仿宋_GB2312"/>
        </w:rPr>
        <w:t>6、法定代表人授权委托书：法定代表人参加投标的提供法定代表人身份证明及身份证，委托代理人参加投标的提供授权委托书及委托代理人身份证，并提供被授权代表开标截止前三个月内任意一个月在本单位的社会保险缴纳证明（法定代表人参加只需提供法定代表人身份证明），供应商需在项目电子化交易系统中按要求上传相应证明文件并进行电子签章</w:t>
      </w:r>
    </w:p>
    <w:p>
      <w:pPr>
        <w:pStyle w:val="null3"/>
      </w:pPr>
      <w:r>
        <w:rPr>
          <w:rFonts w:ascii="仿宋_GB2312" w:hAnsi="仿宋_GB2312" w:cs="仿宋_GB2312" w:eastAsia="仿宋_GB2312"/>
        </w:rPr>
        <w:t>7、特殊资格条件：供应商为代理商的，所投产品纳入医疗器械管理的须提供《医疗器械经营许可证》或《医疗器械经营备案凭证》及所投产品医疗器械注册证或医疗器械备案凭证(含附件和附页)，并出具产品制造商的营业执照和医疗器械生产许可证；供应商为制造商的，所投产品纳入医疗器械管理的须提供《医疗器械经营许可证》或《医疗器械经营备案凭证》、《医疗器械生产许可证》及所投产品医疗器械注册证或医疗器械备案凭证(含附件和附页)，供应商需在项目电子化交易系统中按要求上传相应证明文件并进行电子签章</w:t>
      </w:r>
    </w:p>
    <w:p>
      <w:pPr>
        <w:pStyle w:val="null3"/>
      </w:pPr>
      <w:r>
        <w:rPr>
          <w:rFonts w:ascii="仿宋_GB2312" w:hAnsi="仿宋_GB2312" w:cs="仿宋_GB2312" w:eastAsia="仿宋_GB2312"/>
        </w:rPr>
        <w:t>8、信誉状况：供应商不得为“信用中国”网站（www.creditchina.gov.cn）中列入失信被执行人和重大税收违法失信主体的供应商，不得为中国政府采购网（www.ccgp.gov.cn）政府采购严重违法失信行为记录名单中被财政部门禁止参加政府采购活动的供应商，以响应文件递交截止时间后网站查询结果为准</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1、中华人民共和国境内注册，能够独立承担民事责任的法人、其他组织或自然人：法人或者其他组织提供营业执照、事业单位法人证书等证明文件，自然人提供身份证件，供应商需在项目电子化交易系统中按要求上传相应证明文件并进行电子签章</w:t>
      </w:r>
    </w:p>
    <w:p>
      <w:pPr>
        <w:pStyle w:val="null3"/>
      </w:pPr>
      <w:r>
        <w:rPr>
          <w:rFonts w:ascii="仿宋_GB2312" w:hAnsi="仿宋_GB2312" w:cs="仿宋_GB2312" w:eastAsia="仿宋_GB2312"/>
        </w:rPr>
        <w:t>2、税收缴纳凭证及社会保险缴纳的凭证：供应商在本项目磋商响应文件递交截止时间前十二个月内任意一个月的税收缴纳凭证及社会保险缴纳的凭证。依法免税或不需要缴纳社会保障资金的供应商，应提供相应文件证明其依法免税或不需要缴纳社会保障资金，供应商需在项目电子化交易系统中按要求上传相应证明文件并进行电子签章</w:t>
      </w:r>
    </w:p>
    <w:p>
      <w:pPr>
        <w:pStyle w:val="null3"/>
      </w:pPr>
      <w:r>
        <w:rPr>
          <w:rFonts w:ascii="仿宋_GB2312" w:hAnsi="仿宋_GB2312" w:cs="仿宋_GB2312" w:eastAsia="仿宋_GB2312"/>
        </w:rPr>
        <w:t>3、财务状况：供应商2024年度或2025年度经审计完整的财务报告（审计报告应当经过注册会计师行业统一监管平台备案赋码可查询：https://acc.mof.gov.cn/）或磋商响应文件递交截止时间前六个月内其基本账户银行出具的资信证明（附《基本存款账户信息》或《银行开户许可证》）；或提供专业担保机构出具的投标担保函，供应商需在项目电子化交易系统中按要求上传相应证明文件并进行电子签章</w:t>
      </w:r>
    </w:p>
    <w:p>
      <w:pPr>
        <w:pStyle w:val="null3"/>
      </w:pPr>
      <w:r>
        <w:rPr>
          <w:rFonts w:ascii="仿宋_GB2312" w:hAnsi="仿宋_GB2312" w:cs="仿宋_GB2312" w:eastAsia="仿宋_GB2312"/>
        </w:rPr>
        <w:t>4、参加政府采购活动前3年内在经营活动中没有重大违法记录的书面声明：参加政府采购活动前3年内在经营活动中没有重大违法记录的书面声明，供应商需在项目电子化交易系统中按要求上传相应证明文件并进行电子签章</w:t>
      </w:r>
    </w:p>
    <w:p>
      <w:pPr>
        <w:pStyle w:val="null3"/>
      </w:pPr>
      <w:r>
        <w:rPr>
          <w:rFonts w:ascii="仿宋_GB2312" w:hAnsi="仿宋_GB2312" w:cs="仿宋_GB2312" w:eastAsia="仿宋_GB2312"/>
        </w:rPr>
        <w:t>5、履行合同所必需的设备和专业技术能力书面声明函：履行合同所必需的设备和专业技术能力书面声明函，供应商需在项目电子化交易系统中按要求上传相应证明文件并进行电子签章</w:t>
      </w:r>
    </w:p>
    <w:p>
      <w:pPr>
        <w:pStyle w:val="null3"/>
      </w:pPr>
      <w:r>
        <w:rPr>
          <w:rFonts w:ascii="仿宋_GB2312" w:hAnsi="仿宋_GB2312" w:cs="仿宋_GB2312" w:eastAsia="仿宋_GB2312"/>
        </w:rPr>
        <w:t>6、法定代表人授权委托书：法定代表人参加投标的提供法定代表人身份证明及身份证，委托代理人参加投标的提供授权委托书及委托代理人身份证，并提供被授权代表开标截止前三个月内任意一个月在本单位的社会保险缴纳证明（法定代表人参加只需提供法定代表人身份证明），供应商需在项目电子化交易系统中按要求上传相应证明文件并进行电子签章</w:t>
      </w:r>
    </w:p>
    <w:p>
      <w:pPr>
        <w:pStyle w:val="null3"/>
      </w:pPr>
      <w:r>
        <w:rPr>
          <w:rFonts w:ascii="仿宋_GB2312" w:hAnsi="仿宋_GB2312" w:cs="仿宋_GB2312" w:eastAsia="仿宋_GB2312"/>
        </w:rPr>
        <w:t>7、特殊资格条件：供应商为代理商的，所投产品纳入医疗器械管理的须提供《医疗器械经营许可证》或《医疗器械经营备案凭证》及所投产品医疗器械注册证或医疗器械备案凭证(含附件和附页)，并出具产品制造商的营业执照和医疗器械生产许可证；供应商为制造商的，所投产品纳入医疗器械管理的须提供《医疗器械经营许可证》或《医疗器械经营备案凭证》、《医疗器械生产许可证》及所投产品医疗器械注册证或医疗器械备案凭证(含附件和附页)，供应商需在项目电子化交易系统中按要求上传相应证明文件并进行电子签章</w:t>
      </w:r>
    </w:p>
    <w:p>
      <w:pPr>
        <w:pStyle w:val="null3"/>
      </w:pPr>
      <w:r>
        <w:rPr>
          <w:rFonts w:ascii="仿宋_GB2312" w:hAnsi="仿宋_GB2312" w:cs="仿宋_GB2312" w:eastAsia="仿宋_GB2312"/>
        </w:rPr>
        <w:t>8、信誉状况：供应商不得为“信用中国”网站（www.creditchina.gov.cn）中列入失信被执行人和重大税收违法失信主体的供应商，不得为中国政府采购网（www.ccgp.gov.cn）政府采购严重违法失信行为记录名单中被财政部门禁止参加政府采购活动的供应商，以响应文件递交截止时间后网站查询结果为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宝鸡市中医医院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宝鸡市金台区行政大道58号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王祎</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0917-3886051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龙寰项目管理咨询有限公司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陕西省西安市高新区太白南路181号A座</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王万里、王飞、张波</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029-88228899-626</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宝鸡市财政局政府采购管理科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王 博</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0917-3262072</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采购包1：340,000.00元</w:t>
            </w:r>
          </w:p>
          <w:p>
            <w:pPr>
              <w:pStyle w:val="null3"/>
            </w:pPr>
            <w:r>
              <w:rPr>
                <w:rFonts w:ascii="仿宋_GB2312" w:hAnsi="仿宋_GB2312" w:cs="仿宋_GB2312" w:eastAsia="仿宋_GB2312"/>
              </w:rPr>
              <w:t>采购包2：370,000.00元</w:t>
            </w:r>
          </w:p>
          <w:p>
            <w:pPr>
              <w:pStyle w:val="null3"/>
            </w:pPr>
            <w:r>
              <w:rPr>
                <w:rFonts w:ascii="仿宋_GB2312" w:hAnsi="仿宋_GB2312" w:cs="仿宋_GB2312" w:eastAsia="仿宋_GB2312"/>
              </w:rPr>
              <w:t>采购包3：500,000.00元</w:t>
            </w:r>
          </w:p>
          <w:p>
            <w:pPr>
              <w:pStyle w:val="null3"/>
            </w:pPr>
            <w:r>
              <w:rPr>
                <w:rFonts w:ascii="仿宋_GB2312" w:hAnsi="仿宋_GB2312" w:cs="仿宋_GB2312" w:eastAsia="仿宋_GB2312"/>
              </w:rPr>
              <w:t>采购包4：500,000.00元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p>
          <w:p>
            <w:pPr>
              <w:pStyle w:val="null3"/>
            </w:pPr>
            <w:r>
              <w:rPr>
                <w:rFonts w:ascii="仿宋_GB2312" w:hAnsi="仿宋_GB2312" w:cs="仿宋_GB2312" w:eastAsia="仿宋_GB2312"/>
              </w:rPr>
              <w:t>采购包3：不接受</w:t>
            </w:r>
          </w:p>
          <w:p>
            <w:pPr>
              <w:pStyle w:val="null3"/>
            </w:pPr>
            <w:r>
              <w:rPr>
                <w:rFonts w:ascii="仿宋_GB2312" w:hAnsi="仿宋_GB2312" w:cs="仿宋_GB2312" w:eastAsia="仿宋_GB2312"/>
              </w:rPr>
              <w:t>采购包4：不接受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采购包1保证金金额：6,000.00元</w:t>
            </w:r>
          </w:p>
          <w:p>
            <w:pPr>
              <w:pStyle w:val="null3"/>
            </w:pPr>
            <w:r>
              <w:rPr>
                <w:rFonts w:ascii="仿宋_GB2312" w:hAnsi="仿宋_GB2312" w:cs="仿宋_GB2312" w:eastAsia="仿宋_GB2312"/>
              </w:rPr>
              <w:t>采购包2保证金金额：7,000.00元</w:t>
            </w:r>
          </w:p>
          <w:p>
            <w:pPr>
              <w:pStyle w:val="null3"/>
            </w:pPr>
            <w:r>
              <w:rPr>
                <w:rFonts w:ascii="仿宋_GB2312" w:hAnsi="仿宋_GB2312" w:cs="仿宋_GB2312" w:eastAsia="仿宋_GB2312"/>
              </w:rPr>
              <w:t>采购包3保证金金额：10,000.00元</w:t>
            </w:r>
          </w:p>
          <w:p>
            <w:pPr>
              <w:pStyle w:val="null3"/>
            </w:pPr>
            <w:r>
              <w:rPr>
                <w:rFonts w:ascii="仿宋_GB2312" w:hAnsi="仿宋_GB2312" w:cs="仿宋_GB2312" w:eastAsia="仿宋_GB2312"/>
              </w:rPr>
              <w:t>采购包4保证金金额：10,000.00元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开户名称：龙寰项目管理咨询有限公司</w:t>
            </w:r>
          </w:p>
          <w:p>
            <w:pPr>
              <w:pStyle w:val="null3"/>
            </w:pPr>
            <w:r>
              <w:rPr>
                <w:rFonts w:ascii="仿宋_GB2312" w:hAnsi="仿宋_GB2312" w:cs="仿宋_GB2312" w:eastAsia="仿宋_GB2312"/>
              </w:rPr>
              <w:t>开户银行：平安银行西安高新路支行</w:t>
            </w:r>
          </w:p>
          <w:p>
            <w:pPr>
              <w:pStyle w:val="null3"/>
            </w:pPr>
            <w:r>
              <w:rPr>
                <w:rFonts w:ascii="仿宋_GB2312" w:hAnsi="仿宋_GB2312" w:cs="仿宋_GB2312" w:eastAsia="仿宋_GB2312"/>
              </w:rPr>
              <w:t>银行账号：30201278019110</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p>
            <w:pPr>
              <w:pStyle w:val="null3"/>
            </w:pPr>
            <w:r>
              <w:rPr>
                <w:rFonts w:ascii="仿宋_GB2312" w:hAnsi="仿宋_GB2312" w:cs="仿宋_GB2312" w:eastAsia="仿宋_GB2312"/>
              </w:rPr>
              <w:t>采购包3：不缴纳</w:t>
            </w:r>
          </w:p>
          <w:p>
            <w:pPr>
              <w:pStyle w:val="null3"/>
            </w:pPr>
            <w:r>
              <w:rPr>
                <w:rFonts w:ascii="仿宋_GB2312" w:hAnsi="仿宋_GB2312" w:cs="仿宋_GB2312" w:eastAsia="仿宋_GB2312"/>
              </w:rPr>
              <w:t>采购包4：不缴纳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以中标金额做为计算基数，参照国家计委颁发的《招标代理服务收费管理暂行办法》（计价格[2002]1980号）和发改委办公厅颁发的《关于招标代理服务收费有关问题的通知》（发改办价格[2003]857号）的服务类标准计取。2、成交单位在领取成交通知书之前，须向代理机构支付招标代理服务费。3、招标代理服务费以转账或现金形式缴纳至以下账户： 开户名称：龙寰项目管理咨询有限公司，开户银行：平安银行西安高新路支行，账 号：30201278019110</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p>
            <w:pPr>
              <w:pStyle w:val="null3"/>
            </w:pPr>
            <w:r>
              <w:rPr>
                <w:rFonts w:ascii="仿宋_GB2312" w:hAnsi="仿宋_GB2312" w:cs="仿宋_GB2312" w:eastAsia="仿宋_GB2312"/>
              </w:rPr>
              <w:t>采购包3：组织现场踏勘：否</w:t>
            </w:r>
          </w:p>
          <w:p>
            <w:pPr>
              <w:pStyle w:val="null3"/>
            </w:pPr>
            <w:r>
              <w:rPr>
                <w:rFonts w:ascii="仿宋_GB2312" w:hAnsi="仿宋_GB2312" w:cs="仿宋_GB2312" w:eastAsia="仿宋_GB2312"/>
              </w:rPr>
              <w:t>采购包4：组织现场踏勘：否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宝鸡市中医医院</w:t>
      </w:r>
      <w:r>
        <w:rPr>
          <w:rFonts w:ascii="仿宋_GB2312" w:hAnsi="仿宋_GB2312" w:cs="仿宋_GB2312" w:eastAsia="仿宋_GB2312"/>
        </w:rPr>
        <w:t>和</w:t>
      </w:r>
      <w:r>
        <w:rPr>
          <w:rFonts w:ascii="仿宋_GB2312" w:hAnsi="仿宋_GB2312" w:cs="仿宋_GB2312" w:eastAsia="仿宋_GB2312"/>
        </w:rPr>
        <w:t>龙寰项目管理咨询有限公司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宝鸡市中医医院</w:t>
      </w:r>
      <w:r>
        <w:rPr>
          <w:rFonts w:ascii="仿宋_GB2312" w:hAnsi="仿宋_GB2312" w:cs="仿宋_GB2312" w:eastAsia="仿宋_GB2312"/>
        </w:rPr>
        <w:t>负责解释。除上述磋商文件内容，其他内容由</w:t>
      </w:r>
      <w:r>
        <w:rPr>
          <w:rFonts w:ascii="仿宋_GB2312" w:hAnsi="仿宋_GB2312" w:cs="仿宋_GB2312" w:eastAsia="仿宋_GB2312"/>
        </w:rPr>
        <w:t>龙寰项目管理咨询有限公司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宝鸡市中医医院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龙寰项目管理咨询有限公司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pPr>
      <w:r>
        <w:rPr>
          <w:rFonts w:ascii="仿宋_GB2312" w:hAnsi="仿宋_GB2312" w:cs="仿宋_GB2312" w:eastAsia="仿宋_GB2312"/>
        </w:rPr>
        <w:t>采购包3：不允许合同分包。</w:t>
      </w:r>
    </w:p>
    <w:p>
      <w:pPr>
        <w:pStyle w:val="null3"/>
      </w:pPr>
      <w:r>
        <w:rPr>
          <w:rFonts w:ascii="仿宋_GB2312" w:hAnsi="仿宋_GB2312" w:cs="仿宋_GB2312" w:eastAsia="仿宋_GB2312"/>
        </w:rPr>
        <w:t>采购包4：不允许合同分包。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详见合同文本</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详见合同文本</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详见合同文本</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详见合同文本</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龙寰项目管理咨询有限公司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龙寰项目管理咨询有限公司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龙寰项目管理咨询有限公司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联系人：王万里</w:t>
      </w:r>
    </w:p>
    <w:p>
      <w:pPr>
        <w:pStyle w:val="null3"/>
      </w:pPr>
      <w:r>
        <w:rPr>
          <w:rFonts w:ascii="仿宋_GB2312" w:hAnsi="仿宋_GB2312" w:cs="仿宋_GB2312" w:eastAsia="仿宋_GB2312"/>
        </w:rPr>
        <w:t>联系电话：029-88228899-626</w:t>
      </w:r>
    </w:p>
    <w:p>
      <w:pPr>
        <w:pStyle w:val="null3"/>
      </w:pPr>
      <w:r>
        <w:rPr>
          <w:rFonts w:ascii="仿宋_GB2312" w:hAnsi="仿宋_GB2312" w:cs="仿宋_GB2312" w:eastAsia="仿宋_GB2312"/>
        </w:rPr>
        <w:t>地址：西安市太白南路181号西部电子社区A座A区501室</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本项目拟对宝鸡中医医院医疗设备维保进行采购</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340,000.00</w:t>
      </w:r>
    </w:p>
    <w:p>
      <w:pPr>
        <w:pStyle w:val="null3"/>
      </w:pPr>
      <w:r>
        <w:rPr>
          <w:rFonts w:ascii="仿宋_GB2312" w:hAnsi="仿宋_GB2312" w:cs="仿宋_GB2312" w:eastAsia="仿宋_GB2312"/>
        </w:rPr>
        <w:t>采购包最高限价（元）: 340,000.00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悬吊DR</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340,000.00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370,000.00</w:t>
      </w:r>
    </w:p>
    <w:p>
      <w:pPr>
        <w:pStyle w:val="null3"/>
      </w:pPr>
      <w:r>
        <w:rPr>
          <w:rFonts w:ascii="仿宋_GB2312" w:hAnsi="仿宋_GB2312" w:cs="仿宋_GB2312" w:eastAsia="仿宋_GB2312"/>
        </w:rPr>
        <w:t>采购包最高限价（元）: 370,000.00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手术室内窥镜系统机手术设备维保</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370,000.00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采购包预算金额（元）: 500,000.00</w:t>
      </w:r>
    </w:p>
    <w:p>
      <w:pPr>
        <w:pStyle w:val="null3"/>
      </w:pPr>
      <w:r>
        <w:rPr>
          <w:rFonts w:ascii="仿宋_GB2312" w:hAnsi="仿宋_GB2312" w:cs="仿宋_GB2312" w:eastAsia="仿宋_GB2312"/>
        </w:rPr>
        <w:t>采购包最高限价（元）: 500,000.00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直线加速器维保</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500,000.00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采购包预算金额（元）: 500,000.00</w:t>
      </w:r>
    </w:p>
    <w:p>
      <w:pPr>
        <w:pStyle w:val="null3"/>
      </w:pPr>
      <w:r>
        <w:rPr>
          <w:rFonts w:ascii="仿宋_GB2312" w:hAnsi="仿宋_GB2312" w:cs="仿宋_GB2312" w:eastAsia="仿宋_GB2312"/>
        </w:rPr>
        <w:t>采购包最高限价（元）: 500,000.00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64排CT维保</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500,000.00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标的名称：悬吊DR</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0"/>
              </w:rPr>
              <w:t>一、</w:t>
            </w:r>
            <w:r>
              <w:rPr>
                <w:rFonts w:ascii="仿宋_GB2312" w:hAnsi="仿宋_GB2312" w:cs="仿宋_GB2312" w:eastAsia="仿宋_GB2312"/>
                <w:sz w:val="20"/>
              </w:rPr>
              <w:t>项目概况</w:t>
            </w:r>
          </w:p>
          <w:p>
            <w:pPr>
              <w:pStyle w:val="null3"/>
              <w:jc w:val="both"/>
            </w:pPr>
            <w:r>
              <w:rPr>
                <w:rFonts w:ascii="仿宋_GB2312" w:hAnsi="仿宋_GB2312" w:cs="仿宋_GB2312" w:eastAsia="仿宋_GB2312"/>
                <w:sz w:val="20"/>
              </w:rPr>
              <w:t>1.设备名称：悬吊式数字化X线摄影系统（DR）；</w:t>
            </w:r>
          </w:p>
          <w:p>
            <w:pPr>
              <w:pStyle w:val="null3"/>
              <w:jc w:val="both"/>
            </w:pPr>
            <w:r>
              <w:rPr>
                <w:rFonts w:ascii="仿宋_GB2312" w:hAnsi="仿宋_GB2312" w:cs="仿宋_GB2312" w:eastAsia="仿宋_GB2312"/>
                <w:sz w:val="20"/>
              </w:rPr>
              <w:t>2.设备型号：RAD speed Pro80；</w:t>
            </w:r>
          </w:p>
          <w:p>
            <w:pPr>
              <w:pStyle w:val="null3"/>
              <w:jc w:val="both"/>
            </w:pPr>
            <w:r>
              <w:rPr>
                <w:rFonts w:ascii="仿宋_GB2312" w:hAnsi="仿宋_GB2312" w:cs="仿宋_GB2312" w:eastAsia="仿宋_GB2312"/>
                <w:sz w:val="20"/>
              </w:rPr>
              <w:t>3.数量：3台/套；</w:t>
            </w:r>
          </w:p>
          <w:p>
            <w:pPr>
              <w:pStyle w:val="null3"/>
              <w:jc w:val="both"/>
            </w:pPr>
            <w:r>
              <w:rPr>
                <w:rFonts w:ascii="仿宋_GB2312" w:hAnsi="仿宋_GB2312" w:cs="仿宋_GB2312" w:eastAsia="仿宋_GB2312"/>
                <w:sz w:val="20"/>
              </w:rPr>
              <w:t>4.服务方式：全保服务（含所有人工、配件、耗材及球管、探测器等核心部件）。</w:t>
            </w:r>
          </w:p>
          <w:p>
            <w:pPr>
              <w:pStyle w:val="null3"/>
              <w:jc w:val="both"/>
            </w:pPr>
            <w:r>
              <w:rPr>
                <w:rFonts w:ascii="仿宋_GB2312" w:hAnsi="仿宋_GB2312" w:cs="仿宋_GB2312" w:eastAsia="仿宋_GB2312"/>
                <w:sz w:val="20"/>
              </w:rPr>
              <w:t>5.服务期：保修期1年，从合同签订次日起算</w:t>
            </w:r>
          </w:p>
          <w:p>
            <w:pPr>
              <w:pStyle w:val="null3"/>
              <w:jc w:val="both"/>
            </w:pPr>
            <w:r>
              <w:rPr>
                <w:rFonts w:ascii="仿宋_GB2312" w:hAnsi="仿宋_GB2312" w:cs="仿宋_GB2312" w:eastAsia="仿宋_GB2312"/>
                <w:sz w:val="20"/>
              </w:rPr>
              <w:t>二、</w:t>
            </w:r>
            <w:r>
              <w:rPr>
                <w:rFonts w:ascii="仿宋_GB2312" w:hAnsi="仿宋_GB2312" w:cs="仿宋_GB2312" w:eastAsia="仿宋_GB2312"/>
                <w:sz w:val="20"/>
              </w:rPr>
              <w:t>维保服务详细要求</w:t>
            </w:r>
          </w:p>
          <w:p>
            <w:pPr>
              <w:pStyle w:val="null3"/>
              <w:jc w:val="both"/>
            </w:pPr>
            <w:r>
              <w:rPr>
                <w:rFonts w:ascii="仿宋_GB2312" w:hAnsi="仿宋_GB2312" w:cs="仿宋_GB2312" w:eastAsia="仿宋_GB2312"/>
                <w:sz w:val="20"/>
              </w:rPr>
              <w:t>1.服务范围：必须包含：高压发生器、球管、平板探测器、悬吊机架、探测器移动臂、滤线栅、限束器、图像采集工作站（硬件及软件）及附属设备。</w:t>
            </w:r>
          </w:p>
          <w:p>
            <w:pPr>
              <w:pStyle w:val="null3"/>
              <w:jc w:val="both"/>
            </w:pPr>
            <w:r>
              <w:rPr>
                <w:rFonts w:ascii="仿宋_GB2312" w:hAnsi="仿宋_GB2312" w:cs="仿宋_GB2312" w:eastAsia="仿宋_GB2312"/>
                <w:sz w:val="20"/>
              </w:rPr>
              <w:t>2.承诺更换的所有零配件须为全新配件。严禁使用翻新件、拆机件。</w:t>
            </w:r>
          </w:p>
          <w:p>
            <w:pPr>
              <w:pStyle w:val="null3"/>
              <w:jc w:val="both"/>
            </w:pPr>
            <w:r>
              <w:rPr>
                <w:rFonts w:ascii="仿宋_GB2312" w:hAnsi="仿宋_GB2312" w:cs="仿宋_GB2312" w:eastAsia="仿宋_GB2312"/>
                <w:sz w:val="20"/>
              </w:rPr>
              <w:t>3.人员资质：驻场或派驻工程师需持有</w:t>
            </w:r>
            <w:r>
              <w:rPr>
                <w:rFonts w:ascii="仿宋_GB2312" w:hAnsi="仿宋_GB2312" w:cs="仿宋_GB2312" w:eastAsia="仿宋_GB2312"/>
                <w:sz w:val="20"/>
              </w:rPr>
              <w:t>原厂或专业机构</w:t>
            </w:r>
            <w:r>
              <w:rPr>
                <w:rFonts w:ascii="仿宋_GB2312" w:hAnsi="仿宋_GB2312" w:cs="仿宋_GB2312" w:eastAsia="仿宋_GB2312"/>
                <w:sz w:val="20"/>
              </w:rPr>
              <w:t>培训合格证书或放射医学技术相关高级职称。需提供工程师名单、资质证书复印件。</w:t>
            </w:r>
          </w:p>
          <w:p>
            <w:pPr>
              <w:pStyle w:val="null3"/>
              <w:jc w:val="both"/>
            </w:pPr>
            <w:r>
              <w:rPr>
                <w:rFonts w:ascii="仿宋_GB2312" w:hAnsi="仿宋_GB2312" w:cs="仿宋_GB2312" w:eastAsia="仿宋_GB2312"/>
                <w:sz w:val="20"/>
              </w:rPr>
              <w:t>4.响应时间：提供7×24小时全天候服务热线。接到医院报修通知后，≤</w:t>
            </w:r>
            <w:r>
              <w:rPr>
                <w:rFonts w:ascii="仿宋_GB2312" w:hAnsi="仿宋_GB2312" w:cs="仿宋_GB2312" w:eastAsia="仿宋_GB2312"/>
                <w:sz w:val="20"/>
              </w:rPr>
              <w:t>1</w:t>
            </w:r>
            <w:r>
              <w:rPr>
                <w:rFonts w:ascii="仿宋_GB2312" w:hAnsi="仿宋_GB2312" w:cs="仿宋_GB2312" w:eastAsia="仿宋_GB2312"/>
                <w:sz w:val="20"/>
              </w:rPr>
              <w:t>小时内响应（电话</w:t>
            </w:r>
            <w:r>
              <w:rPr>
                <w:rFonts w:ascii="仿宋_GB2312" w:hAnsi="仿宋_GB2312" w:cs="仿宋_GB2312" w:eastAsia="仿宋_GB2312"/>
                <w:sz w:val="20"/>
              </w:rPr>
              <w:t>/远程）；≤</w:t>
            </w:r>
            <w:r>
              <w:rPr>
                <w:rFonts w:ascii="仿宋_GB2312" w:hAnsi="仿宋_GB2312" w:cs="仿宋_GB2312" w:eastAsia="仿宋_GB2312"/>
                <w:sz w:val="20"/>
              </w:rPr>
              <w:t>12</w:t>
            </w:r>
            <w:r>
              <w:rPr>
                <w:rFonts w:ascii="仿宋_GB2312" w:hAnsi="仿宋_GB2312" w:cs="仿宋_GB2312" w:eastAsia="仿宋_GB2312"/>
                <w:sz w:val="20"/>
              </w:rPr>
              <w:t>小时内工程师到达现场（法定节假日及不可抗力除外）。</w:t>
            </w:r>
          </w:p>
          <w:p>
            <w:pPr>
              <w:pStyle w:val="null3"/>
              <w:jc w:val="both"/>
            </w:pPr>
            <w:r>
              <w:rPr>
                <w:rFonts w:ascii="仿宋_GB2312" w:hAnsi="仿宋_GB2312" w:cs="仿宋_GB2312" w:eastAsia="仿宋_GB2312"/>
                <w:sz w:val="20"/>
              </w:rPr>
              <w:t>5.修复时限：一般故障（如软件报错、机械卡顿）：≤48小时内修复；重大故障（如探测器失效、球管损坏）：≤5个工作日内修复；若超过5个工作日无法修复，需提供书面说明。</w:t>
            </w:r>
          </w:p>
          <w:p>
            <w:pPr>
              <w:pStyle w:val="null3"/>
              <w:jc w:val="both"/>
            </w:pPr>
            <w:r>
              <w:rPr>
                <w:rFonts w:ascii="仿宋_GB2312" w:hAnsi="仿宋_GB2312" w:cs="仿宋_GB2312" w:eastAsia="仿宋_GB2312"/>
                <w:sz w:val="20"/>
              </w:rPr>
              <w:t>6.开机率：全年开机率保证达到≥95%（按全年365天计算，停机时间不得超过18天）。若因维保方原因导致开机率不达标，每超1天，顺延保修期</w:t>
            </w:r>
            <w:r>
              <w:rPr>
                <w:rFonts w:ascii="仿宋_GB2312" w:hAnsi="仿宋_GB2312" w:cs="仿宋_GB2312" w:eastAsia="仿宋_GB2312"/>
                <w:sz w:val="20"/>
              </w:rPr>
              <w:t>3天</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7.预防性维护(PM)：合同期内提供每季度1次（全年共4次）的定期预防性维护保养。内容包括：机械润滑、球管训管、探测器校准、图像质量检测（MTF、噪声分析）、剂量检测、电气安全检查及球管管套清洁等。</w:t>
            </w:r>
          </w:p>
          <w:p>
            <w:pPr>
              <w:pStyle w:val="null3"/>
              <w:jc w:val="both"/>
            </w:pPr>
            <w:r>
              <w:rPr>
                <w:rFonts w:ascii="仿宋_GB2312" w:hAnsi="仿宋_GB2312" w:cs="仿宋_GB2312" w:eastAsia="仿宋_GB2312"/>
                <w:sz w:val="20"/>
              </w:rPr>
              <w:t>8.图像质控：每次保养后需提供《图像质量评估报告》。</w:t>
            </w:r>
          </w:p>
          <w:p>
            <w:pPr>
              <w:pStyle w:val="null3"/>
              <w:jc w:val="both"/>
            </w:pPr>
            <w:r>
              <w:rPr>
                <w:rFonts w:ascii="仿宋_GB2312" w:hAnsi="仿宋_GB2312" w:cs="仿宋_GB2312" w:eastAsia="仿宋_GB2312"/>
                <w:sz w:val="20"/>
              </w:rPr>
              <w:t>9.软件升级：维保期内，若厂家发布涉及安全性、合规性的软件版本更新或补丁，中标方应免费提供升级服务，负责与医院HIS/PACS系统的接口调试。</w:t>
            </w:r>
          </w:p>
          <w:p>
            <w:pPr>
              <w:pStyle w:val="null3"/>
              <w:jc w:val="both"/>
            </w:pPr>
            <w:r>
              <w:rPr>
                <w:rFonts w:ascii="仿宋_GB2312" w:hAnsi="仿宋_GB2312" w:cs="仿宋_GB2312" w:eastAsia="仿宋_GB2312"/>
                <w:sz w:val="20"/>
              </w:rPr>
              <w:t>10.培训服务：每半年提供一次针对临床操作医生/院方设备科工程师的设备规范操作及日常维护培训，提供培训课件及签到记录。</w:t>
            </w:r>
          </w:p>
          <w:p>
            <w:pPr>
              <w:pStyle w:val="null3"/>
              <w:jc w:val="both"/>
              <w:outlineLvl w:val="1"/>
            </w:pPr>
            <w:r>
              <w:rPr>
                <w:rFonts w:ascii="仿宋_GB2312" w:hAnsi="仿宋_GB2312" w:cs="仿宋_GB2312" w:eastAsia="仿宋_GB2312"/>
                <w:sz w:val="20"/>
                <w:b/>
              </w:rPr>
              <w:t>1</w:t>
            </w:r>
            <w:r>
              <w:rPr>
                <w:rFonts w:ascii="仿宋_GB2312" w:hAnsi="仿宋_GB2312" w:cs="仿宋_GB2312" w:eastAsia="仿宋_GB2312"/>
                <w:sz w:val="20"/>
                <w:b/>
              </w:rPr>
              <w:t>1</w:t>
            </w:r>
            <w:r>
              <w:rPr>
                <w:rFonts w:ascii="仿宋_GB2312" w:hAnsi="仿宋_GB2312" w:cs="仿宋_GB2312" w:eastAsia="仿宋_GB2312"/>
                <w:sz w:val="20"/>
                <w:b/>
              </w:rPr>
              <w:t>.建立完善的设备维修电子档案，每次维修/保养后3个工作日内提交《维修/保养报告单》，合同期满提交年度运行分析报告。</w:t>
            </w:r>
          </w:p>
          <w:p>
            <w:pPr>
              <w:pStyle w:val="null3"/>
              <w:jc w:val="both"/>
            </w:pPr>
            <w:r>
              <w:rPr>
                <w:rFonts w:ascii="仿宋_GB2312" w:hAnsi="仿宋_GB2312" w:cs="仿宋_GB2312" w:eastAsia="仿宋_GB2312"/>
                <w:sz w:val="20"/>
              </w:rPr>
              <w:t>1</w:t>
            </w:r>
            <w:r>
              <w:rPr>
                <w:rFonts w:ascii="仿宋_GB2312" w:hAnsi="仿宋_GB2312" w:cs="仿宋_GB2312" w:eastAsia="仿宋_GB2312"/>
                <w:sz w:val="20"/>
              </w:rPr>
              <w:t>2</w:t>
            </w:r>
            <w:r>
              <w:rPr>
                <w:rFonts w:ascii="仿宋_GB2312" w:hAnsi="仿宋_GB2312" w:cs="仿宋_GB2312" w:eastAsia="仿宋_GB2312"/>
                <w:sz w:val="20"/>
              </w:rPr>
              <w:t>.服务地点及服务质量：</w:t>
            </w:r>
          </w:p>
          <w:p>
            <w:pPr>
              <w:pStyle w:val="null3"/>
              <w:ind w:firstLine="400"/>
              <w:jc w:val="both"/>
            </w:pPr>
            <w:r>
              <w:rPr>
                <w:rFonts w:ascii="仿宋_GB2312" w:hAnsi="仿宋_GB2312" w:cs="仿宋_GB2312" w:eastAsia="仿宋_GB2312"/>
                <w:sz w:val="20"/>
              </w:rPr>
              <w:t>1</w:t>
            </w:r>
            <w:r>
              <w:rPr>
                <w:rFonts w:ascii="仿宋_GB2312" w:hAnsi="仿宋_GB2312" w:cs="仿宋_GB2312" w:eastAsia="仿宋_GB2312"/>
                <w:sz w:val="20"/>
              </w:rPr>
              <w:t>2</w:t>
            </w:r>
            <w:r>
              <w:rPr>
                <w:rFonts w:ascii="仿宋_GB2312" w:hAnsi="仿宋_GB2312" w:cs="仿宋_GB2312" w:eastAsia="仿宋_GB2312"/>
                <w:sz w:val="20"/>
              </w:rPr>
              <w:t>.</w:t>
            </w:r>
            <w:r>
              <w:rPr>
                <w:rFonts w:ascii="仿宋_GB2312" w:hAnsi="仿宋_GB2312" w:cs="仿宋_GB2312" w:eastAsia="仿宋_GB2312"/>
                <w:sz w:val="20"/>
              </w:rPr>
              <w:t>1</w:t>
            </w:r>
            <w:r>
              <w:rPr>
                <w:rFonts w:ascii="仿宋_GB2312" w:hAnsi="仿宋_GB2312" w:cs="仿宋_GB2312" w:eastAsia="仿宋_GB2312"/>
                <w:sz w:val="20"/>
              </w:rPr>
              <w:t xml:space="preserve"> </w:t>
            </w:r>
            <w:r>
              <w:rPr>
                <w:rFonts w:ascii="仿宋_GB2312" w:hAnsi="仿宋_GB2312" w:cs="仿宋_GB2312" w:eastAsia="仿宋_GB2312"/>
                <w:sz w:val="20"/>
              </w:rPr>
              <w:t>服务地点：</w:t>
            </w:r>
            <w:r>
              <w:rPr>
                <w:rFonts w:ascii="仿宋_GB2312" w:hAnsi="仿宋_GB2312" w:cs="仿宋_GB2312" w:eastAsia="仿宋_GB2312"/>
                <w:sz w:val="20"/>
              </w:rPr>
              <w:t>宝鸡市中医医院</w:t>
            </w:r>
            <w:r>
              <w:rPr>
                <w:rFonts w:ascii="仿宋_GB2312" w:hAnsi="仿宋_GB2312" w:cs="仿宋_GB2312" w:eastAsia="仿宋_GB2312"/>
                <w:sz w:val="20"/>
              </w:rPr>
              <w:t>（采购人指定地点）</w:t>
            </w:r>
          </w:p>
          <w:p>
            <w:pPr>
              <w:pStyle w:val="null3"/>
              <w:spacing w:after="120"/>
              <w:ind w:firstLine="400"/>
              <w:jc w:val="both"/>
            </w:pPr>
            <w:r>
              <w:rPr>
                <w:rFonts w:ascii="仿宋_GB2312" w:hAnsi="仿宋_GB2312" w:cs="仿宋_GB2312" w:eastAsia="仿宋_GB2312"/>
                <w:sz w:val="20"/>
              </w:rPr>
              <w:t>1</w:t>
            </w:r>
            <w:r>
              <w:rPr>
                <w:rFonts w:ascii="仿宋_GB2312" w:hAnsi="仿宋_GB2312" w:cs="仿宋_GB2312" w:eastAsia="仿宋_GB2312"/>
                <w:sz w:val="20"/>
              </w:rPr>
              <w:t>2</w:t>
            </w:r>
            <w:r>
              <w:rPr>
                <w:rFonts w:ascii="仿宋_GB2312" w:hAnsi="仿宋_GB2312" w:cs="仿宋_GB2312" w:eastAsia="仿宋_GB2312"/>
                <w:sz w:val="20"/>
              </w:rPr>
              <w:t>.</w:t>
            </w:r>
            <w:r>
              <w:rPr>
                <w:rFonts w:ascii="仿宋_GB2312" w:hAnsi="仿宋_GB2312" w:cs="仿宋_GB2312" w:eastAsia="仿宋_GB2312"/>
                <w:sz w:val="20"/>
              </w:rPr>
              <w:t>2</w:t>
            </w:r>
            <w:r>
              <w:rPr>
                <w:rFonts w:ascii="仿宋_GB2312" w:hAnsi="仿宋_GB2312" w:cs="仿宋_GB2312" w:eastAsia="仿宋_GB2312"/>
                <w:sz w:val="20"/>
              </w:rPr>
              <w:t xml:space="preserve"> </w:t>
            </w:r>
            <w:r>
              <w:rPr>
                <w:rFonts w:ascii="仿宋_GB2312" w:hAnsi="仿宋_GB2312" w:cs="仿宋_GB2312" w:eastAsia="仿宋_GB2312"/>
                <w:sz w:val="20"/>
              </w:rPr>
              <w:t>服务质量：质量达到现行合格标准，符合国家、行业、地方规定以及采购人</w:t>
            </w:r>
            <w:r>
              <w:rPr>
                <w:rFonts w:ascii="仿宋_GB2312" w:hAnsi="仿宋_GB2312" w:cs="仿宋_GB2312" w:eastAsia="仿宋_GB2312"/>
                <w:sz w:val="20"/>
              </w:rPr>
              <w:t>规定的合格质量及安全标准要求</w:t>
            </w:r>
          </w:p>
          <w:p>
            <w:pPr>
              <w:pStyle w:val="null3"/>
              <w:jc w:val="both"/>
            </w:pPr>
            <w:r>
              <w:rPr>
                <w:rFonts w:ascii="仿宋_GB2312" w:hAnsi="仿宋_GB2312" w:cs="仿宋_GB2312" w:eastAsia="仿宋_GB2312"/>
                <w:sz w:val="20"/>
              </w:rPr>
              <w:t>13</w:t>
            </w:r>
            <w:r>
              <w:rPr>
                <w:rFonts w:ascii="仿宋_GB2312" w:hAnsi="仿宋_GB2312" w:cs="仿宋_GB2312" w:eastAsia="仿宋_GB2312"/>
                <w:sz w:val="20"/>
              </w:rPr>
              <w:t>.付款方式：</w:t>
            </w:r>
          </w:p>
          <w:p>
            <w:pPr>
              <w:pStyle w:val="null3"/>
              <w:ind w:firstLine="400"/>
              <w:jc w:val="both"/>
            </w:pPr>
            <w:r>
              <w:rPr>
                <w:rFonts w:ascii="仿宋_GB2312" w:hAnsi="仿宋_GB2312" w:cs="仿宋_GB2312" w:eastAsia="仿宋_GB2312"/>
                <w:sz w:val="20"/>
                <w:color w:val="000000"/>
              </w:rPr>
              <w:t>13.1预付款，合同签订后，达到付款条件起10个⼯作⽇内，⽀付合同总⾦额的20.0%</w:t>
            </w:r>
          </w:p>
          <w:p>
            <w:pPr>
              <w:pStyle w:val="null3"/>
              <w:ind w:firstLine="400"/>
              <w:jc w:val="both"/>
            </w:pPr>
            <w:r>
              <w:rPr>
                <w:rFonts w:ascii="仿宋_GB2312" w:hAnsi="仿宋_GB2312" w:cs="仿宋_GB2312" w:eastAsia="仿宋_GB2312"/>
                <w:sz w:val="20"/>
                <w:color w:val="000000"/>
              </w:rPr>
              <w:t>13.2进度款，合同期中（服务期满6个⽉或其他），达到付款条件起10个⼯作⽇内，⽀付合同总⾦额的50.0%</w:t>
            </w:r>
          </w:p>
          <w:p>
            <w:pPr>
              <w:pStyle w:val="null3"/>
              <w:spacing w:after="195"/>
            </w:pPr>
            <w:r>
              <w:rPr>
                <w:rFonts w:ascii="仿宋_GB2312" w:hAnsi="仿宋_GB2312" w:cs="仿宋_GB2312" w:eastAsia="仿宋_GB2312"/>
                <w:sz w:val="20"/>
                <w:color w:val="000000"/>
              </w:rPr>
              <w:t xml:space="preserve">    13.3进度款，合同到期，达到付款条件起10个⼯作⽇内，⽀付合同总⾦额的30.0%</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标的名称：手术室内窥镜系统机手术设备维保</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0"/>
              </w:rPr>
              <w:t>一、基本保修条款</w:t>
            </w:r>
          </w:p>
          <w:p>
            <w:pPr>
              <w:pStyle w:val="null3"/>
              <w:jc w:val="both"/>
            </w:pPr>
            <w:r>
              <w:rPr>
                <w:rFonts w:ascii="仿宋_GB2312" w:hAnsi="仿宋_GB2312" w:cs="仿宋_GB2312" w:eastAsia="仿宋_GB2312"/>
                <w:sz w:val="20"/>
              </w:rPr>
              <w:t>1.</w:t>
            </w:r>
            <w:r>
              <w:rPr>
                <w:rFonts w:ascii="仿宋_GB2312" w:hAnsi="仿宋_GB2312" w:cs="仿宋_GB2312" w:eastAsia="仿宋_GB2312"/>
                <w:sz w:val="20"/>
              </w:rPr>
              <w:t>服务期</w:t>
            </w:r>
            <w:r>
              <w:rPr>
                <w:rFonts w:ascii="仿宋_GB2312" w:hAnsi="仿宋_GB2312" w:cs="仿宋_GB2312" w:eastAsia="仿宋_GB2312"/>
                <w:sz w:val="20"/>
              </w:rPr>
              <w:t>：保修期</w:t>
            </w:r>
            <w:r>
              <w:rPr>
                <w:rFonts w:ascii="仿宋_GB2312" w:hAnsi="仿宋_GB2312" w:cs="仿宋_GB2312" w:eastAsia="仿宋_GB2312"/>
                <w:sz w:val="20"/>
              </w:rPr>
              <w:t>1年，从合同签订次日起算。</w:t>
            </w:r>
          </w:p>
          <w:p>
            <w:pPr>
              <w:pStyle w:val="null3"/>
              <w:jc w:val="both"/>
            </w:pPr>
            <w:r>
              <w:rPr>
                <w:rFonts w:ascii="仿宋_GB2312" w:hAnsi="仿宋_GB2312" w:cs="仿宋_GB2312" w:eastAsia="仿宋_GB2312"/>
                <w:sz w:val="20"/>
              </w:rPr>
              <w:t>2.保修范围：包括内窥镜摄像系统主机、光源主机、动力主机、镜头等（详见附表1）。</w:t>
            </w:r>
          </w:p>
          <w:p>
            <w:pPr>
              <w:pStyle w:val="null3"/>
              <w:jc w:val="both"/>
            </w:pPr>
            <w:r>
              <w:rPr>
                <w:rFonts w:ascii="仿宋_GB2312" w:hAnsi="仿宋_GB2312" w:cs="仿宋_GB2312" w:eastAsia="仿宋_GB2312"/>
                <w:sz w:val="20"/>
              </w:rPr>
              <w:t>3.开机率保证：保证设备开机率</w:t>
            </w:r>
            <w:r>
              <w:rPr>
                <w:rFonts w:ascii="仿宋_GB2312" w:hAnsi="仿宋_GB2312" w:cs="仿宋_GB2312" w:eastAsia="仿宋_GB2312"/>
                <w:sz w:val="20"/>
              </w:rPr>
              <w:t>≥</w:t>
            </w:r>
            <w:r>
              <w:rPr>
                <w:rFonts w:ascii="仿宋_GB2312" w:hAnsi="仿宋_GB2312" w:cs="仿宋_GB2312" w:eastAsia="仿宋_GB2312"/>
                <w:sz w:val="20"/>
              </w:rPr>
              <w:t>95%，按照一年365个工作日计算，每超过一天，顺延保修</w:t>
            </w:r>
            <w:r>
              <w:rPr>
                <w:rFonts w:ascii="仿宋_GB2312" w:hAnsi="仿宋_GB2312" w:cs="仿宋_GB2312" w:eastAsia="仿宋_GB2312"/>
                <w:sz w:val="20"/>
              </w:rPr>
              <w:t>3</w:t>
            </w:r>
            <w:r>
              <w:rPr>
                <w:rFonts w:ascii="仿宋_GB2312" w:hAnsi="仿宋_GB2312" w:cs="仿宋_GB2312" w:eastAsia="仿宋_GB2312"/>
                <w:sz w:val="20"/>
              </w:rPr>
              <w:t>天。</w:t>
            </w:r>
          </w:p>
          <w:p>
            <w:pPr>
              <w:pStyle w:val="null3"/>
              <w:jc w:val="both"/>
            </w:pPr>
            <w:r>
              <w:rPr>
                <w:rFonts w:ascii="仿宋_GB2312" w:hAnsi="仿宋_GB2312" w:cs="仿宋_GB2312" w:eastAsia="仿宋_GB2312"/>
                <w:sz w:val="20"/>
              </w:rPr>
              <w:t>4.工程师资质：要求具备专业资格的专业工程师提供维修服务。</w:t>
            </w:r>
          </w:p>
          <w:p>
            <w:pPr>
              <w:pStyle w:val="null3"/>
              <w:jc w:val="both"/>
            </w:pPr>
            <w:r>
              <w:rPr>
                <w:rFonts w:ascii="仿宋_GB2312" w:hAnsi="仿宋_GB2312" w:cs="仿宋_GB2312" w:eastAsia="仿宋_GB2312"/>
                <w:sz w:val="20"/>
              </w:rPr>
              <w:t>5.原厂配件承诺：保修期内维修涉及的配件为</w:t>
            </w:r>
            <w:r>
              <w:rPr>
                <w:rFonts w:ascii="仿宋_GB2312" w:hAnsi="仿宋_GB2312" w:cs="仿宋_GB2312" w:eastAsia="仿宋_GB2312"/>
                <w:sz w:val="20"/>
              </w:rPr>
              <w:t>全新</w:t>
            </w:r>
            <w:r>
              <w:rPr>
                <w:rFonts w:ascii="仿宋_GB2312" w:hAnsi="仿宋_GB2312" w:cs="仿宋_GB2312" w:eastAsia="仿宋_GB2312"/>
                <w:sz w:val="20"/>
              </w:rPr>
              <w:t>配件，无额外收费项目。</w:t>
            </w:r>
          </w:p>
          <w:p>
            <w:pPr>
              <w:pStyle w:val="null3"/>
              <w:jc w:val="both"/>
            </w:pPr>
            <w:r>
              <w:rPr>
                <w:rFonts w:ascii="仿宋_GB2312" w:hAnsi="仿宋_GB2312" w:cs="仿宋_GB2312" w:eastAsia="仿宋_GB2312"/>
                <w:sz w:val="20"/>
              </w:rPr>
              <w:t>二、服务响应要求</w:t>
            </w:r>
          </w:p>
          <w:p>
            <w:pPr>
              <w:pStyle w:val="null3"/>
              <w:jc w:val="both"/>
            </w:pPr>
            <w:r>
              <w:rPr>
                <w:rFonts w:ascii="仿宋_GB2312" w:hAnsi="仿宋_GB2312" w:cs="仿宋_GB2312" w:eastAsia="仿宋_GB2312"/>
                <w:sz w:val="20"/>
              </w:rPr>
              <w:t>1.电话响应：厂商或服务商在接到报修申请后，响应时间≤1小时。</w:t>
            </w:r>
          </w:p>
          <w:p>
            <w:pPr>
              <w:pStyle w:val="null3"/>
              <w:jc w:val="both"/>
            </w:pPr>
            <w:r>
              <w:rPr>
                <w:rFonts w:ascii="仿宋_GB2312" w:hAnsi="仿宋_GB2312" w:cs="仿宋_GB2312" w:eastAsia="仿宋_GB2312"/>
                <w:sz w:val="20"/>
              </w:rPr>
              <w:t>2.现场响应：现场响应时间≤</w:t>
            </w:r>
            <w:r>
              <w:rPr>
                <w:rFonts w:ascii="仿宋_GB2312" w:hAnsi="仿宋_GB2312" w:cs="仿宋_GB2312" w:eastAsia="仿宋_GB2312"/>
                <w:sz w:val="20"/>
              </w:rPr>
              <w:t>12</w:t>
            </w:r>
            <w:r>
              <w:rPr>
                <w:rFonts w:ascii="仿宋_GB2312" w:hAnsi="仿宋_GB2312" w:cs="仿宋_GB2312" w:eastAsia="仿宋_GB2312"/>
                <w:sz w:val="20"/>
              </w:rPr>
              <w:t>小时。在设备</w:t>
            </w:r>
            <w:r>
              <w:rPr>
                <w:rFonts w:ascii="仿宋_GB2312" w:hAnsi="仿宋_GB2312" w:cs="仿宋_GB2312" w:eastAsia="仿宋_GB2312"/>
                <w:sz w:val="20"/>
              </w:rPr>
              <w:t>3日内</w:t>
            </w:r>
            <w:r>
              <w:rPr>
                <w:rFonts w:ascii="仿宋_GB2312" w:hAnsi="仿宋_GB2312" w:cs="仿宋_GB2312" w:eastAsia="仿宋_GB2312"/>
                <w:sz w:val="20"/>
              </w:rPr>
              <w:t>无法</w:t>
            </w:r>
            <w:r>
              <w:rPr>
                <w:rFonts w:ascii="仿宋_GB2312" w:hAnsi="仿宋_GB2312" w:cs="仿宋_GB2312" w:eastAsia="仿宋_GB2312"/>
                <w:sz w:val="20"/>
              </w:rPr>
              <w:t>修复</w:t>
            </w:r>
            <w:r>
              <w:rPr>
                <w:rFonts w:ascii="仿宋_GB2312" w:hAnsi="仿宋_GB2312" w:cs="仿宋_GB2312" w:eastAsia="仿宋_GB2312"/>
                <w:sz w:val="20"/>
              </w:rPr>
              <w:t>的情况下，提供备用设备，备用设备到场时间</w:t>
            </w:r>
            <w:r>
              <w:rPr>
                <w:rFonts w:ascii="仿宋_GB2312" w:hAnsi="仿宋_GB2312" w:cs="仿宋_GB2312" w:eastAsia="仿宋_GB2312"/>
                <w:sz w:val="20"/>
              </w:rPr>
              <w:t>≤</w:t>
            </w:r>
            <w:r>
              <w:rPr>
                <w:rFonts w:ascii="仿宋_GB2312" w:hAnsi="仿宋_GB2312" w:cs="仿宋_GB2312" w:eastAsia="仿宋_GB2312"/>
                <w:sz w:val="20"/>
              </w:rPr>
              <w:t>24</w:t>
            </w:r>
            <w:r>
              <w:rPr>
                <w:rFonts w:ascii="仿宋_GB2312" w:hAnsi="仿宋_GB2312" w:cs="仿宋_GB2312" w:eastAsia="仿宋_GB2312"/>
                <w:sz w:val="20"/>
              </w:rPr>
              <w:t>小时。</w:t>
            </w:r>
          </w:p>
          <w:p>
            <w:pPr>
              <w:pStyle w:val="null3"/>
              <w:jc w:val="both"/>
            </w:pPr>
            <w:r>
              <w:rPr>
                <w:rFonts w:ascii="仿宋_GB2312" w:hAnsi="仿宋_GB2312" w:cs="仿宋_GB2312" w:eastAsia="仿宋_GB2312"/>
                <w:sz w:val="20"/>
              </w:rPr>
              <w:t>3.寄件维修：对需要寄回厂商维修的设备，需承诺在约定时间内修复，且厂商或服务商负责寄件相关费用。</w:t>
            </w:r>
          </w:p>
          <w:p>
            <w:pPr>
              <w:pStyle w:val="null3"/>
              <w:jc w:val="both"/>
            </w:pPr>
            <w:r>
              <w:rPr>
                <w:rFonts w:ascii="仿宋_GB2312" w:hAnsi="仿宋_GB2312" w:cs="仿宋_GB2312" w:eastAsia="仿宋_GB2312"/>
                <w:sz w:val="20"/>
              </w:rPr>
              <w:t>三、维护与保养</w:t>
            </w:r>
          </w:p>
          <w:p>
            <w:pPr>
              <w:pStyle w:val="null3"/>
              <w:jc w:val="both"/>
            </w:pPr>
            <w:r>
              <w:rPr>
                <w:rFonts w:ascii="仿宋_GB2312" w:hAnsi="仿宋_GB2312" w:cs="仿宋_GB2312" w:eastAsia="仿宋_GB2312"/>
                <w:sz w:val="20"/>
              </w:rPr>
              <w:t>1.定期预防性维护保养：提供每年</w:t>
            </w:r>
            <w:r>
              <w:rPr>
                <w:rFonts w:ascii="仿宋_GB2312" w:hAnsi="仿宋_GB2312" w:cs="仿宋_GB2312" w:eastAsia="仿宋_GB2312"/>
                <w:sz w:val="20"/>
              </w:rPr>
              <w:t>≥</w:t>
            </w:r>
            <w:r>
              <w:rPr>
                <w:rFonts w:ascii="仿宋_GB2312" w:hAnsi="仿宋_GB2312" w:cs="仿宋_GB2312" w:eastAsia="仿宋_GB2312"/>
                <w:sz w:val="20"/>
              </w:rPr>
              <w:t>4次的预防性维护保养，包括设备清洁、性能测试及校准、必要的电气环境检测等。</w:t>
            </w:r>
          </w:p>
          <w:p>
            <w:pPr>
              <w:pStyle w:val="null3"/>
              <w:jc w:val="both"/>
            </w:pPr>
            <w:r>
              <w:rPr>
                <w:rFonts w:ascii="仿宋_GB2312" w:hAnsi="仿宋_GB2312" w:cs="仿宋_GB2312" w:eastAsia="仿宋_GB2312"/>
                <w:sz w:val="20"/>
              </w:rPr>
              <w:t>2.清洁与消毒指导：提供符合规范的设备清洗、消毒操作培训。</w:t>
            </w:r>
          </w:p>
          <w:p>
            <w:pPr>
              <w:pStyle w:val="null3"/>
              <w:jc w:val="both"/>
            </w:pPr>
            <w:r>
              <w:rPr>
                <w:rFonts w:ascii="仿宋_GB2312" w:hAnsi="仿宋_GB2312" w:cs="仿宋_GB2312" w:eastAsia="仿宋_GB2312"/>
                <w:sz w:val="20"/>
              </w:rPr>
              <w:t>3.耗材更换提醒：对光源灯泡、密封圈等易损件，需提前预警更换周期并提供原厂或认证配件。</w:t>
            </w:r>
          </w:p>
          <w:p>
            <w:pPr>
              <w:pStyle w:val="null3"/>
              <w:jc w:val="both"/>
            </w:pPr>
            <w:r>
              <w:rPr>
                <w:rFonts w:ascii="仿宋_GB2312" w:hAnsi="仿宋_GB2312" w:cs="仿宋_GB2312" w:eastAsia="仿宋_GB2312"/>
                <w:sz w:val="20"/>
              </w:rPr>
              <w:t>四、软件与技术支持</w:t>
            </w:r>
          </w:p>
          <w:p>
            <w:pPr>
              <w:pStyle w:val="null3"/>
              <w:jc w:val="both"/>
            </w:pPr>
            <w:r>
              <w:rPr>
                <w:rFonts w:ascii="仿宋_GB2312" w:hAnsi="仿宋_GB2312" w:cs="仿宋_GB2312" w:eastAsia="仿宋_GB2312"/>
                <w:sz w:val="20"/>
              </w:rPr>
              <w:t>1.软件升级：保修期内</w:t>
            </w:r>
            <w:r>
              <w:rPr>
                <w:rFonts w:ascii="仿宋_GB2312" w:hAnsi="仿宋_GB2312" w:cs="仿宋_GB2312" w:eastAsia="仿宋_GB2312"/>
                <w:sz w:val="20"/>
              </w:rPr>
              <w:t>负责承担</w:t>
            </w:r>
            <w:r>
              <w:rPr>
                <w:rFonts w:ascii="仿宋_GB2312" w:hAnsi="仿宋_GB2312" w:cs="仿宋_GB2312" w:eastAsia="仿宋_GB2312"/>
                <w:sz w:val="20"/>
              </w:rPr>
              <w:t>系统软件升级服务，</w:t>
            </w:r>
            <w:r>
              <w:rPr>
                <w:rFonts w:ascii="仿宋_GB2312" w:hAnsi="仿宋_GB2312" w:cs="仿宋_GB2312" w:eastAsia="仿宋_GB2312"/>
                <w:sz w:val="20"/>
              </w:rPr>
              <w:t>保证</w:t>
            </w:r>
            <w:r>
              <w:rPr>
                <w:rFonts w:ascii="仿宋_GB2312" w:hAnsi="仿宋_GB2312" w:cs="仿宋_GB2312" w:eastAsia="仿宋_GB2312"/>
                <w:sz w:val="20"/>
              </w:rPr>
              <w:t>设备兼容性和功能优化。</w:t>
            </w:r>
          </w:p>
          <w:p>
            <w:pPr>
              <w:pStyle w:val="null3"/>
              <w:jc w:val="both"/>
            </w:pPr>
            <w:r>
              <w:rPr>
                <w:rFonts w:ascii="仿宋_GB2312" w:hAnsi="仿宋_GB2312" w:cs="仿宋_GB2312" w:eastAsia="仿宋_GB2312"/>
                <w:sz w:val="20"/>
              </w:rPr>
              <w:t>2.远程支持：通过远程协助院方排查故障，提高维修效率。</w:t>
            </w:r>
          </w:p>
          <w:p>
            <w:pPr>
              <w:pStyle w:val="null3"/>
              <w:jc w:val="both"/>
            </w:pPr>
            <w:r>
              <w:rPr>
                <w:rFonts w:ascii="仿宋_GB2312" w:hAnsi="仿宋_GB2312" w:cs="仿宋_GB2312" w:eastAsia="仿宋_GB2312"/>
                <w:sz w:val="20"/>
              </w:rPr>
              <w:t>3.培训服务：按</w:t>
            </w:r>
            <w:r>
              <w:rPr>
                <w:rFonts w:ascii="仿宋_GB2312" w:hAnsi="仿宋_GB2312" w:cs="仿宋_GB2312" w:eastAsia="仿宋_GB2312"/>
                <w:sz w:val="20"/>
              </w:rPr>
              <w:t>采购人</w:t>
            </w:r>
            <w:r>
              <w:rPr>
                <w:rFonts w:ascii="仿宋_GB2312" w:hAnsi="仿宋_GB2312" w:cs="仿宋_GB2312" w:eastAsia="仿宋_GB2312"/>
                <w:sz w:val="20"/>
              </w:rPr>
              <w:t>要求提供培训人员现场培训。</w:t>
            </w:r>
          </w:p>
          <w:p>
            <w:pPr>
              <w:pStyle w:val="null3"/>
              <w:jc w:val="both"/>
            </w:pPr>
            <w:r>
              <w:rPr>
                <w:rFonts w:ascii="仿宋_GB2312" w:hAnsi="仿宋_GB2312" w:cs="仿宋_GB2312" w:eastAsia="仿宋_GB2312"/>
                <w:sz w:val="20"/>
              </w:rPr>
              <w:t>4</w:t>
            </w:r>
            <w:r>
              <w:rPr>
                <w:rFonts w:ascii="仿宋_GB2312" w:hAnsi="仿宋_GB2312" w:cs="仿宋_GB2312" w:eastAsia="仿宋_GB2312"/>
                <w:sz w:val="20"/>
              </w:rPr>
              <w:t>.服务地点及服务质量：</w:t>
            </w:r>
          </w:p>
          <w:p>
            <w:pPr>
              <w:pStyle w:val="null3"/>
              <w:jc w:val="both"/>
            </w:pPr>
            <w:r>
              <w:rPr>
                <w:rFonts w:ascii="仿宋_GB2312" w:hAnsi="仿宋_GB2312" w:cs="仿宋_GB2312" w:eastAsia="仿宋_GB2312"/>
                <w:sz w:val="20"/>
              </w:rPr>
              <w:t>4</w:t>
            </w:r>
            <w:r>
              <w:rPr>
                <w:rFonts w:ascii="仿宋_GB2312" w:hAnsi="仿宋_GB2312" w:cs="仿宋_GB2312" w:eastAsia="仿宋_GB2312"/>
                <w:sz w:val="20"/>
              </w:rPr>
              <w:t>.1 服务地点：宝鸡市中医医院（采购人指定地点）</w:t>
            </w:r>
          </w:p>
          <w:p>
            <w:pPr>
              <w:pStyle w:val="null3"/>
              <w:jc w:val="both"/>
            </w:pPr>
            <w:r>
              <w:rPr>
                <w:rFonts w:ascii="仿宋_GB2312" w:hAnsi="仿宋_GB2312" w:cs="仿宋_GB2312" w:eastAsia="仿宋_GB2312"/>
                <w:sz w:val="20"/>
              </w:rPr>
              <w:t>4</w:t>
            </w:r>
            <w:r>
              <w:rPr>
                <w:rFonts w:ascii="仿宋_GB2312" w:hAnsi="仿宋_GB2312" w:cs="仿宋_GB2312" w:eastAsia="仿宋_GB2312"/>
                <w:sz w:val="20"/>
              </w:rPr>
              <w:t>.2 服务质量：质量达到现行合格标准，符合国家、行业、地方规定以及采购人规定的合格质量及安全标准要求</w:t>
            </w:r>
          </w:p>
          <w:p>
            <w:pPr>
              <w:pStyle w:val="null3"/>
              <w:jc w:val="both"/>
            </w:pPr>
            <w:r>
              <w:rPr>
                <w:rFonts w:ascii="仿宋_GB2312" w:hAnsi="仿宋_GB2312" w:cs="仿宋_GB2312" w:eastAsia="仿宋_GB2312"/>
                <w:sz w:val="20"/>
              </w:rPr>
              <w:t>5</w:t>
            </w:r>
            <w:r>
              <w:rPr>
                <w:rFonts w:ascii="仿宋_GB2312" w:hAnsi="仿宋_GB2312" w:cs="仿宋_GB2312" w:eastAsia="仿宋_GB2312"/>
                <w:sz w:val="20"/>
              </w:rPr>
              <w:t>.付款方式：</w:t>
            </w:r>
          </w:p>
          <w:p>
            <w:pPr>
              <w:pStyle w:val="null3"/>
              <w:jc w:val="both"/>
            </w:pPr>
            <w:r>
              <w:rPr>
                <w:rFonts w:ascii="仿宋_GB2312" w:hAnsi="仿宋_GB2312" w:cs="仿宋_GB2312" w:eastAsia="仿宋_GB2312"/>
                <w:sz w:val="20"/>
              </w:rPr>
              <w:t>5</w:t>
            </w:r>
            <w:r>
              <w:rPr>
                <w:rFonts w:ascii="仿宋_GB2312" w:hAnsi="仿宋_GB2312" w:cs="仿宋_GB2312" w:eastAsia="仿宋_GB2312"/>
                <w:sz w:val="20"/>
              </w:rPr>
              <w:t>.1预付款，合同签订后，达到付款条件起10个⼯作⽇内，⽀付合同总⾦额的20.0%</w:t>
            </w:r>
          </w:p>
          <w:p>
            <w:pPr>
              <w:pStyle w:val="null3"/>
              <w:jc w:val="both"/>
            </w:pPr>
            <w:r>
              <w:rPr>
                <w:rFonts w:ascii="仿宋_GB2312" w:hAnsi="仿宋_GB2312" w:cs="仿宋_GB2312" w:eastAsia="仿宋_GB2312"/>
                <w:sz w:val="20"/>
              </w:rPr>
              <w:t>5</w:t>
            </w:r>
            <w:r>
              <w:rPr>
                <w:rFonts w:ascii="仿宋_GB2312" w:hAnsi="仿宋_GB2312" w:cs="仿宋_GB2312" w:eastAsia="仿宋_GB2312"/>
                <w:sz w:val="20"/>
              </w:rPr>
              <w:t>.2进度款，合同期中（服务期满6个⽉或其他），达到付款条件起10个⼯作⽇内，⽀付合同总⾦额的50.0%</w:t>
            </w:r>
          </w:p>
          <w:p>
            <w:pPr>
              <w:pStyle w:val="null3"/>
              <w:jc w:val="both"/>
            </w:pPr>
            <w:r>
              <w:rPr>
                <w:rFonts w:ascii="仿宋_GB2312" w:hAnsi="仿宋_GB2312" w:cs="仿宋_GB2312" w:eastAsia="仿宋_GB2312"/>
                <w:sz w:val="20"/>
              </w:rPr>
              <w:t>5</w:t>
            </w:r>
            <w:r>
              <w:rPr>
                <w:rFonts w:ascii="仿宋_GB2312" w:hAnsi="仿宋_GB2312" w:cs="仿宋_GB2312" w:eastAsia="仿宋_GB2312"/>
                <w:sz w:val="20"/>
              </w:rPr>
              <w:t>.3进度款，合同到期，达到付款条件起10个⼯作⽇内，⽀付合同总⾦额的30.0%</w:t>
            </w:r>
          </w:p>
          <w:p>
            <w:pPr>
              <w:pStyle w:val="null3"/>
              <w:jc w:val="both"/>
            </w:pPr>
            <w:r>
              <w:rPr>
                <w:rFonts w:ascii="仿宋_GB2312" w:hAnsi="仿宋_GB2312" w:cs="仿宋_GB2312" w:eastAsia="仿宋_GB2312"/>
                <w:sz w:val="20"/>
              </w:rPr>
              <w:t>五、保修期外服务选项</w:t>
            </w:r>
          </w:p>
          <w:p>
            <w:pPr>
              <w:pStyle w:val="null3"/>
              <w:jc w:val="both"/>
            </w:pPr>
            <w:r>
              <w:rPr>
                <w:rFonts w:ascii="仿宋_GB2312" w:hAnsi="仿宋_GB2312" w:cs="仿宋_GB2312" w:eastAsia="仿宋_GB2312"/>
                <w:sz w:val="20"/>
              </w:rPr>
              <w:t>1.延长保修：提供可购买的延保服务（如延长至5年），覆盖核心部件维修。</w:t>
            </w:r>
          </w:p>
          <w:p>
            <w:pPr>
              <w:pStyle w:val="null3"/>
              <w:jc w:val="both"/>
            </w:pPr>
            <w:r>
              <w:rPr>
                <w:rFonts w:ascii="仿宋_GB2312" w:hAnsi="仿宋_GB2312" w:cs="仿宋_GB2312" w:eastAsia="仿宋_GB2312"/>
                <w:sz w:val="20"/>
              </w:rPr>
              <w:t>2.按次付费维修：明确保修期外的维修费用标准（如人工费、配件费），提供保修外单次维修折扣优惠。</w:t>
            </w:r>
          </w:p>
          <w:p>
            <w:pPr>
              <w:pStyle w:val="null3"/>
              <w:jc w:val="both"/>
            </w:pPr>
            <w:r>
              <w:rPr>
                <w:rFonts w:ascii="仿宋_GB2312" w:hAnsi="仿宋_GB2312" w:cs="仿宋_GB2312" w:eastAsia="仿宋_GB2312"/>
                <w:sz w:val="20"/>
              </w:rPr>
              <w:t>3.针对老旧设备，提供折价换新机的优惠政策。</w:t>
            </w:r>
          </w:p>
          <w:p>
            <w:pPr>
              <w:pStyle w:val="null3"/>
              <w:jc w:val="both"/>
            </w:pPr>
            <w:r>
              <w:rPr>
                <w:rFonts w:ascii="仿宋_GB2312" w:hAnsi="仿宋_GB2312" w:cs="仿宋_GB2312" w:eastAsia="仿宋_GB2312"/>
                <w:sz w:val="20"/>
              </w:rPr>
              <w:t>六、用户权益保障</w:t>
            </w:r>
          </w:p>
          <w:p>
            <w:pPr>
              <w:pStyle w:val="null3"/>
              <w:jc w:val="both"/>
            </w:pPr>
            <w:r>
              <w:rPr>
                <w:rFonts w:ascii="仿宋_GB2312" w:hAnsi="仿宋_GB2312" w:cs="仿宋_GB2312" w:eastAsia="仿宋_GB2312"/>
                <w:sz w:val="20"/>
              </w:rPr>
              <w:t>1.服务透明度：维修前需提供书面故障诊断报告及费用预估，用户确认后再实施。</w:t>
            </w:r>
          </w:p>
          <w:p>
            <w:pPr>
              <w:pStyle w:val="null3"/>
              <w:jc w:val="both"/>
            </w:pPr>
            <w:r>
              <w:rPr>
                <w:rFonts w:ascii="仿宋_GB2312" w:hAnsi="仿宋_GB2312" w:cs="仿宋_GB2312" w:eastAsia="仿宋_GB2312"/>
                <w:sz w:val="20"/>
              </w:rPr>
              <w:t>2.保修记录存档：所有服务记录需书面备案/电子备案，便于追溯查询和设备管理。</w:t>
            </w:r>
          </w:p>
          <w:p>
            <w:pPr>
              <w:pStyle w:val="null3"/>
              <w:jc w:val="both"/>
            </w:pPr>
            <w:r>
              <w:rPr>
                <w:rFonts w:ascii="仿宋_GB2312" w:hAnsi="仿宋_GB2312" w:cs="仿宋_GB2312" w:eastAsia="仿宋_GB2312"/>
                <w:sz w:val="20"/>
              </w:rPr>
              <w:t>维保清单附表</w:t>
            </w:r>
          </w:p>
          <w:tbl>
            <w:tblPr>
              <w:tblBorders>
                <w:top w:val="none" w:color="000000" w:sz="4"/>
                <w:left w:val="none" w:color="000000" w:sz="4"/>
                <w:bottom w:val="none" w:color="000000" w:sz="4"/>
                <w:right w:val="none" w:color="000000" w:sz="4"/>
                <w:insideH w:val="none"/>
                <w:insideV w:val="none"/>
              </w:tblBorders>
            </w:tblPr>
            <w:tblGrid>
              <w:gridCol w:w="262"/>
              <w:gridCol w:w="170"/>
              <w:gridCol w:w="615"/>
              <w:gridCol w:w="438"/>
              <w:gridCol w:w="404"/>
              <w:gridCol w:w="393"/>
              <w:gridCol w:w="250"/>
            </w:tblGrid>
            <w:tr>
              <w:tc>
                <w:tcPr>
                  <w:tcW w:type="dxa" w:w="26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系统名称</w:t>
                  </w:r>
                </w:p>
              </w:tc>
              <w:tc>
                <w:tcPr>
                  <w:tcW w:type="dxa" w:w="17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序号</w:t>
                  </w:r>
                </w:p>
              </w:tc>
              <w:tc>
                <w:tcPr>
                  <w:tcW w:type="dxa" w:w="61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设备名称</w:t>
                  </w:r>
                </w:p>
              </w:tc>
              <w:tc>
                <w:tcPr>
                  <w:tcW w:type="dxa" w:w="43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品牌</w:t>
                  </w:r>
                </w:p>
              </w:tc>
              <w:tc>
                <w:tcPr>
                  <w:tcW w:type="dxa" w:w="40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型号</w:t>
                  </w:r>
                </w:p>
              </w:tc>
              <w:tc>
                <w:tcPr>
                  <w:tcW w:type="dxa" w:w="39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序列号</w:t>
                  </w:r>
                </w:p>
              </w:tc>
              <w:tc>
                <w:tcPr>
                  <w:tcW w:type="dxa" w:w="25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数量</w:t>
                  </w:r>
                </w:p>
              </w:tc>
            </w:tr>
            <w:tr>
              <w:tc>
                <w:tcPr>
                  <w:tcW w:type="dxa" w:w="26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关节镜系统</w:t>
                  </w:r>
                  <w:r>
                    <w:rPr>
                      <w:rFonts w:ascii="仿宋_GB2312" w:hAnsi="仿宋_GB2312" w:cs="仿宋_GB2312" w:eastAsia="仿宋_GB2312"/>
                      <w:sz w:val="20"/>
                      <w:color w:val="000000"/>
                    </w:rPr>
                    <w:t>①</w:t>
                  </w: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施乐辉摄像主机</w:t>
                  </w:r>
                </w:p>
              </w:tc>
              <w:tc>
                <w:tcPr>
                  <w:tcW w:type="dxa" w:w="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施乐辉</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560P  72201919</w:t>
                  </w:r>
                </w:p>
              </w:tc>
              <w:tc>
                <w:tcPr>
                  <w:tcW w:type="dxa" w:w="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BBS10481</w:t>
                  </w:r>
                </w:p>
              </w:tc>
              <w:tc>
                <w:tcPr>
                  <w:tcW w:type="dxa" w:w="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62"/>
                  <w:vMerge/>
                  <w:tcBorders>
                    <w:top w:val="none" w:color="000000" w:sz="4"/>
                    <w:left w:val="single" w:color="000000" w:sz="4"/>
                    <w:bottom w:val="single" w:color="000000" w:sz="4"/>
                    <w:right w:val="single" w:color="000000" w:sz="4"/>
                  </w:tcBorders>
                </w:tcP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施乐辉光源主机</w:t>
                  </w:r>
                </w:p>
              </w:tc>
              <w:tc>
                <w:tcPr>
                  <w:tcW w:type="dxa" w:w="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施乐辉</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500XL  72200568</w:t>
                  </w:r>
                </w:p>
              </w:tc>
              <w:tc>
                <w:tcPr>
                  <w:tcW w:type="dxa" w:w="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BBR10302</w:t>
                  </w:r>
                </w:p>
              </w:tc>
              <w:tc>
                <w:tcPr>
                  <w:tcW w:type="dxa" w:w="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62"/>
                  <w:vMerge/>
                  <w:tcBorders>
                    <w:top w:val="none" w:color="000000" w:sz="4"/>
                    <w:left w:val="single" w:color="000000" w:sz="4"/>
                    <w:bottom w:val="single" w:color="000000" w:sz="4"/>
                    <w:right w:val="single" w:color="000000" w:sz="4"/>
                  </w:tcBorders>
                </w:tcP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施乐辉动力主机</w:t>
                  </w:r>
                </w:p>
              </w:tc>
              <w:tc>
                <w:tcPr>
                  <w:tcW w:type="dxa" w:w="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施乐辉</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72200873</w:t>
                  </w:r>
                </w:p>
              </w:tc>
              <w:tc>
                <w:tcPr>
                  <w:tcW w:type="dxa" w:w="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AAX35012</w:t>
                  </w:r>
                </w:p>
              </w:tc>
              <w:tc>
                <w:tcPr>
                  <w:tcW w:type="dxa" w:w="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62"/>
                  <w:vMerge/>
                  <w:tcBorders>
                    <w:top w:val="none" w:color="000000" w:sz="4"/>
                    <w:left w:val="single" w:color="000000" w:sz="4"/>
                    <w:bottom w:val="single" w:color="000000" w:sz="4"/>
                    <w:right w:val="single" w:color="000000" w:sz="4"/>
                  </w:tcBorders>
                </w:tcP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Vantum等离子主机</w:t>
                  </w:r>
                </w:p>
              </w:tc>
              <w:tc>
                <w:tcPr>
                  <w:tcW w:type="dxa" w:w="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Vantum</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Rf12000</w:t>
                  </w:r>
                </w:p>
              </w:tc>
              <w:tc>
                <w:tcPr>
                  <w:tcW w:type="dxa" w:w="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FFH1440</w:t>
                  </w:r>
                </w:p>
              </w:tc>
              <w:tc>
                <w:tcPr>
                  <w:tcW w:type="dxa" w:w="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62"/>
                  <w:vMerge/>
                  <w:tcBorders>
                    <w:top w:val="none" w:color="000000" w:sz="4"/>
                    <w:left w:val="single" w:color="000000" w:sz="4"/>
                    <w:bottom w:val="single" w:color="000000" w:sz="4"/>
                    <w:right w:val="single" w:color="000000" w:sz="4"/>
                  </w:tcBorders>
                </w:tcP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Vantum等离子脚踏开关</w:t>
                  </w:r>
                </w:p>
              </w:tc>
              <w:tc>
                <w:tcPr>
                  <w:tcW w:type="dxa" w:w="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Vantum</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62"/>
                  <w:vMerge/>
                  <w:tcBorders>
                    <w:top w:val="none" w:color="000000" w:sz="4"/>
                    <w:left w:val="single" w:color="000000" w:sz="4"/>
                    <w:bottom w:val="single" w:color="000000" w:sz="4"/>
                    <w:right w:val="single" w:color="000000" w:sz="4"/>
                  </w:tcBorders>
                </w:tcP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施乐辉摄像线</w:t>
                  </w:r>
                </w:p>
              </w:tc>
              <w:tc>
                <w:tcPr>
                  <w:tcW w:type="dxa" w:w="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施乐辉</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4号线</w:t>
                  </w:r>
                </w:p>
              </w:tc>
              <w:tc>
                <w:tcPr>
                  <w:tcW w:type="dxa" w:w="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AAR67069</w:t>
                  </w:r>
                </w:p>
              </w:tc>
              <w:tc>
                <w:tcPr>
                  <w:tcW w:type="dxa" w:w="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62"/>
                  <w:vMerge/>
                  <w:tcBorders>
                    <w:top w:val="none" w:color="000000" w:sz="4"/>
                    <w:left w:val="single" w:color="000000" w:sz="4"/>
                    <w:bottom w:val="single" w:color="000000" w:sz="4"/>
                    <w:right w:val="single" w:color="000000" w:sz="4"/>
                  </w:tcBorders>
                </w:tcP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施乐辉摄像线</w:t>
                  </w:r>
                </w:p>
              </w:tc>
              <w:tc>
                <w:tcPr>
                  <w:tcW w:type="dxa" w:w="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施乐辉</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1号线</w:t>
                  </w:r>
                </w:p>
              </w:tc>
              <w:tc>
                <w:tcPr>
                  <w:tcW w:type="dxa" w:w="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AAR75250</w:t>
                  </w:r>
                </w:p>
              </w:tc>
              <w:tc>
                <w:tcPr>
                  <w:tcW w:type="dxa" w:w="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62"/>
                  <w:vMerge/>
                  <w:tcBorders>
                    <w:top w:val="none" w:color="000000" w:sz="4"/>
                    <w:left w:val="single" w:color="000000" w:sz="4"/>
                    <w:bottom w:val="single" w:color="000000" w:sz="4"/>
                    <w:right w:val="single" w:color="000000" w:sz="4"/>
                  </w:tcBorders>
                </w:tcP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施乐辉摄像线</w:t>
                  </w:r>
                </w:p>
              </w:tc>
              <w:tc>
                <w:tcPr>
                  <w:tcW w:type="dxa" w:w="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施乐辉</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运医专用线</w:t>
                  </w:r>
                  <w:r>
                    <w:rPr>
                      <w:rFonts w:ascii="仿宋_GB2312" w:hAnsi="仿宋_GB2312" w:cs="仿宋_GB2312" w:eastAsia="仿宋_GB2312"/>
                      <w:sz w:val="20"/>
                      <w:color w:val="000000"/>
                    </w:rPr>
                    <w:t>2</w:t>
                  </w:r>
                </w:p>
              </w:tc>
              <w:tc>
                <w:tcPr>
                  <w:tcW w:type="dxa" w:w="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AAR76121</w:t>
                  </w:r>
                </w:p>
              </w:tc>
              <w:tc>
                <w:tcPr>
                  <w:tcW w:type="dxa" w:w="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62"/>
                  <w:vMerge/>
                  <w:tcBorders>
                    <w:top w:val="none" w:color="000000" w:sz="4"/>
                    <w:left w:val="single" w:color="000000" w:sz="4"/>
                    <w:bottom w:val="single" w:color="000000" w:sz="4"/>
                    <w:right w:val="single" w:color="000000" w:sz="4"/>
                  </w:tcBorders>
                </w:tcP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施乐辉摄像线</w:t>
                  </w:r>
                </w:p>
              </w:tc>
              <w:tc>
                <w:tcPr>
                  <w:tcW w:type="dxa" w:w="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施乐辉</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5号关节镜线</w:t>
                  </w:r>
                </w:p>
              </w:tc>
              <w:tc>
                <w:tcPr>
                  <w:tcW w:type="dxa" w:w="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AAR74122</w:t>
                  </w:r>
                </w:p>
              </w:tc>
              <w:tc>
                <w:tcPr>
                  <w:tcW w:type="dxa" w:w="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62"/>
                  <w:vMerge/>
                  <w:tcBorders>
                    <w:top w:val="none" w:color="000000" w:sz="4"/>
                    <w:left w:val="single" w:color="000000" w:sz="4"/>
                    <w:bottom w:val="single" w:color="000000" w:sz="4"/>
                    <w:right w:val="single" w:color="000000" w:sz="4"/>
                  </w:tcBorders>
                </w:tcP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施乐辉摄像线</w:t>
                  </w:r>
                </w:p>
              </w:tc>
              <w:tc>
                <w:tcPr>
                  <w:tcW w:type="dxa" w:w="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施乐辉</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72200561</w:t>
                  </w:r>
                </w:p>
              </w:tc>
              <w:tc>
                <w:tcPr>
                  <w:tcW w:type="dxa" w:w="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AAR70172</w:t>
                  </w:r>
                </w:p>
              </w:tc>
              <w:tc>
                <w:tcPr>
                  <w:tcW w:type="dxa" w:w="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62"/>
                  <w:vMerge/>
                  <w:tcBorders>
                    <w:top w:val="none" w:color="000000" w:sz="4"/>
                    <w:left w:val="single" w:color="000000" w:sz="4"/>
                    <w:bottom w:val="single" w:color="000000" w:sz="4"/>
                    <w:right w:val="single" w:color="000000" w:sz="4"/>
                  </w:tcBorders>
                </w:tcP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施乐辉摄像线</w:t>
                  </w:r>
                </w:p>
              </w:tc>
              <w:tc>
                <w:tcPr>
                  <w:tcW w:type="dxa" w:w="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施乐辉</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72200561</w:t>
                  </w:r>
                </w:p>
              </w:tc>
              <w:tc>
                <w:tcPr>
                  <w:tcW w:type="dxa" w:w="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62"/>
                  <w:vMerge/>
                  <w:tcBorders>
                    <w:top w:val="none" w:color="000000" w:sz="4"/>
                    <w:left w:val="single" w:color="000000" w:sz="4"/>
                    <w:bottom w:val="single" w:color="000000" w:sz="4"/>
                    <w:right w:val="single" w:color="000000" w:sz="4"/>
                  </w:tcBorders>
                </w:tcP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施乐辉摄像线</w:t>
                  </w:r>
                </w:p>
              </w:tc>
              <w:tc>
                <w:tcPr>
                  <w:tcW w:type="dxa" w:w="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施乐辉</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72200561</w:t>
                  </w:r>
                </w:p>
              </w:tc>
              <w:tc>
                <w:tcPr>
                  <w:tcW w:type="dxa" w:w="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62"/>
                  <w:vMerge/>
                  <w:tcBorders>
                    <w:top w:val="none" w:color="000000" w:sz="4"/>
                    <w:left w:val="single" w:color="000000" w:sz="4"/>
                    <w:bottom w:val="single" w:color="000000" w:sz="4"/>
                    <w:right w:val="single" w:color="000000" w:sz="4"/>
                  </w:tcBorders>
                </w:tcP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施乐辉导光束</w:t>
                  </w:r>
                </w:p>
              </w:tc>
              <w:tc>
                <w:tcPr>
                  <w:tcW w:type="dxa" w:w="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施乐辉</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蓝色无规格型号</w:t>
                  </w:r>
                </w:p>
              </w:tc>
              <w:tc>
                <w:tcPr>
                  <w:tcW w:type="dxa" w:w="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蓝色无规格型号</w:t>
                  </w:r>
                </w:p>
              </w:tc>
              <w:tc>
                <w:tcPr>
                  <w:tcW w:type="dxa" w:w="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62"/>
                  <w:vMerge/>
                  <w:tcBorders>
                    <w:top w:val="none" w:color="000000" w:sz="4"/>
                    <w:left w:val="single" w:color="000000" w:sz="4"/>
                    <w:bottom w:val="single" w:color="000000" w:sz="4"/>
                    <w:right w:val="single" w:color="000000" w:sz="4"/>
                  </w:tcBorders>
                </w:tcP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施乐辉导光束</w:t>
                  </w:r>
                </w:p>
              </w:tc>
              <w:tc>
                <w:tcPr>
                  <w:tcW w:type="dxa" w:w="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施乐辉</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蓝色无规格型号</w:t>
                  </w:r>
                </w:p>
              </w:tc>
              <w:tc>
                <w:tcPr>
                  <w:tcW w:type="dxa" w:w="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蓝色无规格型号</w:t>
                  </w:r>
                </w:p>
              </w:tc>
              <w:tc>
                <w:tcPr>
                  <w:tcW w:type="dxa" w:w="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62"/>
                  <w:vMerge/>
                  <w:tcBorders>
                    <w:top w:val="none" w:color="000000" w:sz="4"/>
                    <w:left w:val="single" w:color="000000" w:sz="4"/>
                    <w:bottom w:val="single" w:color="000000" w:sz="4"/>
                    <w:right w:val="single" w:color="000000" w:sz="4"/>
                  </w:tcBorders>
                </w:tcP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施乐辉导光束</w:t>
                  </w:r>
                </w:p>
              </w:tc>
              <w:tc>
                <w:tcPr>
                  <w:tcW w:type="dxa" w:w="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施乐辉</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蓝色无规格型号</w:t>
                  </w:r>
                </w:p>
              </w:tc>
              <w:tc>
                <w:tcPr>
                  <w:tcW w:type="dxa" w:w="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蓝色无规格型号</w:t>
                  </w:r>
                </w:p>
              </w:tc>
              <w:tc>
                <w:tcPr>
                  <w:tcW w:type="dxa" w:w="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62"/>
                  <w:vMerge/>
                  <w:tcBorders>
                    <w:top w:val="none" w:color="000000" w:sz="4"/>
                    <w:left w:val="single" w:color="000000" w:sz="4"/>
                    <w:bottom w:val="single" w:color="000000" w:sz="4"/>
                    <w:right w:val="single" w:color="000000" w:sz="4"/>
                  </w:tcBorders>
                </w:tcP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16</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施乐辉导光束</w:t>
                  </w:r>
                </w:p>
              </w:tc>
              <w:tc>
                <w:tcPr>
                  <w:tcW w:type="dxa" w:w="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施乐辉</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蓝色无规格型号</w:t>
                  </w:r>
                </w:p>
              </w:tc>
              <w:tc>
                <w:tcPr>
                  <w:tcW w:type="dxa" w:w="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蓝色无规格型号</w:t>
                  </w:r>
                </w:p>
              </w:tc>
              <w:tc>
                <w:tcPr>
                  <w:tcW w:type="dxa" w:w="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62"/>
                  <w:vMerge/>
                  <w:tcBorders>
                    <w:top w:val="none" w:color="000000" w:sz="4"/>
                    <w:left w:val="single" w:color="000000" w:sz="4"/>
                    <w:bottom w:val="single" w:color="000000" w:sz="4"/>
                    <w:right w:val="single" w:color="000000" w:sz="4"/>
                  </w:tcBorders>
                </w:tcP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17</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施乐辉导光束</w:t>
                  </w:r>
                </w:p>
              </w:tc>
              <w:tc>
                <w:tcPr>
                  <w:tcW w:type="dxa" w:w="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施乐辉</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蓝色无规格型号</w:t>
                  </w:r>
                </w:p>
              </w:tc>
              <w:tc>
                <w:tcPr>
                  <w:tcW w:type="dxa" w:w="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蓝色无规格型号</w:t>
                  </w:r>
                </w:p>
              </w:tc>
              <w:tc>
                <w:tcPr>
                  <w:tcW w:type="dxa" w:w="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62"/>
                  <w:vMerge/>
                  <w:tcBorders>
                    <w:top w:val="none" w:color="000000" w:sz="4"/>
                    <w:left w:val="single" w:color="000000" w:sz="4"/>
                    <w:bottom w:val="single" w:color="000000" w:sz="4"/>
                    <w:right w:val="single" w:color="000000" w:sz="4"/>
                  </w:tcBorders>
                </w:tcP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18</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施乐辉导光束</w:t>
                  </w:r>
                </w:p>
              </w:tc>
              <w:tc>
                <w:tcPr>
                  <w:tcW w:type="dxa" w:w="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施乐辉</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蓝色</w:t>
                  </w:r>
                </w:p>
              </w:tc>
              <w:tc>
                <w:tcPr>
                  <w:tcW w:type="dxa" w:w="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25221</w:t>
                  </w:r>
                </w:p>
              </w:tc>
              <w:tc>
                <w:tcPr>
                  <w:tcW w:type="dxa" w:w="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62"/>
                  <w:vMerge/>
                  <w:tcBorders>
                    <w:top w:val="none" w:color="000000" w:sz="4"/>
                    <w:left w:val="single" w:color="000000" w:sz="4"/>
                    <w:bottom w:val="single" w:color="000000" w:sz="4"/>
                    <w:right w:val="single" w:color="000000" w:sz="4"/>
                  </w:tcBorders>
                </w:tcP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19</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施乐辉导光束</w:t>
                  </w:r>
                </w:p>
              </w:tc>
              <w:tc>
                <w:tcPr>
                  <w:tcW w:type="dxa" w:w="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施乐辉</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62"/>
                  <w:vMerge/>
                  <w:tcBorders>
                    <w:top w:val="none" w:color="000000" w:sz="4"/>
                    <w:left w:val="single" w:color="000000" w:sz="4"/>
                    <w:bottom w:val="single" w:color="000000" w:sz="4"/>
                    <w:right w:val="single" w:color="000000" w:sz="4"/>
                  </w:tcBorders>
                </w:tcP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施乐辉</w:t>
                  </w:r>
                  <w:r>
                    <w:rPr>
                      <w:rFonts w:ascii="仿宋_GB2312" w:hAnsi="仿宋_GB2312" w:cs="仿宋_GB2312" w:eastAsia="仿宋_GB2312"/>
                      <w:sz w:val="20"/>
                      <w:color w:val="000000"/>
                    </w:rPr>
                    <w:t>30°镜头</w:t>
                  </w:r>
                </w:p>
              </w:tc>
              <w:tc>
                <w:tcPr>
                  <w:tcW w:type="dxa" w:w="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施乐辉</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72202087</w:t>
                  </w:r>
                </w:p>
              </w:tc>
              <w:tc>
                <w:tcPr>
                  <w:tcW w:type="dxa" w:w="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BBJ1545134</w:t>
                  </w:r>
                </w:p>
              </w:tc>
              <w:tc>
                <w:tcPr>
                  <w:tcW w:type="dxa" w:w="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62"/>
                  <w:vMerge/>
                  <w:tcBorders>
                    <w:top w:val="none" w:color="000000" w:sz="4"/>
                    <w:left w:val="single" w:color="000000" w:sz="4"/>
                    <w:bottom w:val="single" w:color="000000" w:sz="4"/>
                    <w:right w:val="single" w:color="000000" w:sz="4"/>
                  </w:tcBorders>
                </w:tcP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21</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施乐辉</w:t>
                  </w:r>
                  <w:r>
                    <w:rPr>
                      <w:rFonts w:ascii="仿宋_GB2312" w:hAnsi="仿宋_GB2312" w:cs="仿宋_GB2312" w:eastAsia="仿宋_GB2312"/>
                      <w:sz w:val="20"/>
                      <w:color w:val="000000"/>
                    </w:rPr>
                    <w:t>30°镜头</w:t>
                  </w:r>
                </w:p>
              </w:tc>
              <w:tc>
                <w:tcPr>
                  <w:tcW w:type="dxa" w:w="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施乐辉</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72202087</w:t>
                  </w:r>
                </w:p>
              </w:tc>
              <w:tc>
                <w:tcPr>
                  <w:tcW w:type="dxa" w:w="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BBJ1677123</w:t>
                  </w:r>
                </w:p>
              </w:tc>
              <w:tc>
                <w:tcPr>
                  <w:tcW w:type="dxa" w:w="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62"/>
                  <w:vMerge/>
                  <w:tcBorders>
                    <w:top w:val="none" w:color="000000" w:sz="4"/>
                    <w:left w:val="single" w:color="000000" w:sz="4"/>
                    <w:bottom w:val="single" w:color="000000" w:sz="4"/>
                    <w:right w:val="single" w:color="000000" w:sz="4"/>
                  </w:tcBorders>
                </w:tcP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22</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施乐辉</w:t>
                  </w:r>
                  <w:r>
                    <w:rPr>
                      <w:rFonts w:ascii="仿宋_GB2312" w:hAnsi="仿宋_GB2312" w:cs="仿宋_GB2312" w:eastAsia="仿宋_GB2312"/>
                      <w:sz w:val="20"/>
                      <w:color w:val="000000"/>
                    </w:rPr>
                    <w:t>30°镜头</w:t>
                  </w:r>
                </w:p>
              </w:tc>
              <w:tc>
                <w:tcPr>
                  <w:tcW w:type="dxa" w:w="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施乐辉</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72202087</w:t>
                  </w:r>
                </w:p>
              </w:tc>
              <w:tc>
                <w:tcPr>
                  <w:tcW w:type="dxa" w:w="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BBJ1878242</w:t>
                  </w:r>
                </w:p>
              </w:tc>
              <w:tc>
                <w:tcPr>
                  <w:tcW w:type="dxa" w:w="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62"/>
                  <w:vMerge/>
                  <w:tcBorders>
                    <w:top w:val="none" w:color="000000" w:sz="4"/>
                    <w:left w:val="single" w:color="000000" w:sz="4"/>
                    <w:bottom w:val="single" w:color="000000" w:sz="4"/>
                    <w:right w:val="single" w:color="000000" w:sz="4"/>
                  </w:tcBorders>
                </w:tcP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23</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施乐辉</w:t>
                  </w:r>
                  <w:r>
                    <w:rPr>
                      <w:rFonts w:ascii="仿宋_GB2312" w:hAnsi="仿宋_GB2312" w:cs="仿宋_GB2312" w:eastAsia="仿宋_GB2312"/>
                      <w:sz w:val="20"/>
                      <w:color w:val="000000"/>
                    </w:rPr>
                    <w:t>30°镜头</w:t>
                  </w:r>
                </w:p>
              </w:tc>
              <w:tc>
                <w:tcPr>
                  <w:tcW w:type="dxa" w:w="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施乐辉</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72202087</w:t>
                  </w:r>
                </w:p>
              </w:tc>
              <w:tc>
                <w:tcPr>
                  <w:tcW w:type="dxa" w:w="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BBJ1850638</w:t>
                  </w:r>
                </w:p>
              </w:tc>
              <w:tc>
                <w:tcPr>
                  <w:tcW w:type="dxa" w:w="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62"/>
                  <w:vMerge/>
                  <w:tcBorders>
                    <w:top w:val="none" w:color="000000" w:sz="4"/>
                    <w:left w:val="single" w:color="000000" w:sz="4"/>
                    <w:bottom w:val="single" w:color="000000" w:sz="4"/>
                    <w:right w:val="single" w:color="000000" w:sz="4"/>
                  </w:tcBorders>
                </w:tcP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24</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施乐辉</w:t>
                  </w:r>
                  <w:r>
                    <w:rPr>
                      <w:rFonts w:ascii="仿宋_GB2312" w:hAnsi="仿宋_GB2312" w:cs="仿宋_GB2312" w:eastAsia="仿宋_GB2312"/>
                      <w:sz w:val="20"/>
                      <w:color w:val="000000"/>
                    </w:rPr>
                    <w:t>30°镜头</w:t>
                  </w:r>
                </w:p>
              </w:tc>
              <w:tc>
                <w:tcPr>
                  <w:tcW w:type="dxa" w:w="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施乐辉</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72202087</w:t>
                  </w:r>
                </w:p>
              </w:tc>
              <w:tc>
                <w:tcPr>
                  <w:tcW w:type="dxa" w:w="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BBJ1891241</w:t>
                  </w:r>
                </w:p>
              </w:tc>
              <w:tc>
                <w:tcPr>
                  <w:tcW w:type="dxa" w:w="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62"/>
                  <w:vMerge/>
                  <w:tcBorders>
                    <w:top w:val="none" w:color="000000" w:sz="4"/>
                    <w:left w:val="single" w:color="000000" w:sz="4"/>
                    <w:bottom w:val="single" w:color="000000" w:sz="4"/>
                    <w:right w:val="single" w:color="000000" w:sz="4"/>
                  </w:tcBorders>
                </w:tcP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施乐辉</w:t>
                  </w:r>
                  <w:r>
                    <w:rPr>
                      <w:rFonts w:ascii="仿宋_GB2312" w:hAnsi="仿宋_GB2312" w:cs="仿宋_GB2312" w:eastAsia="仿宋_GB2312"/>
                      <w:sz w:val="20"/>
                      <w:color w:val="000000"/>
                    </w:rPr>
                    <w:t>30°镜头</w:t>
                  </w:r>
                </w:p>
              </w:tc>
              <w:tc>
                <w:tcPr>
                  <w:tcW w:type="dxa" w:w="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施乐辉</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72202087</w:t>
                  </w:r>
                </w:p>
              </w:tc>
              <w:tc>
                <w:tcPr>
                  <w:tcW w:type="dxa" w:w="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BBJ1531338</w:t>
                  </w:r>
                </w:p>
              </w:tc>
              <w:tc>
                <w:tcPr>
                  <w:tcW w:type="dxa" w:w="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62"/>
                  <w:vMerge/>
                  <w:tcBorders>
                    <w:top w:val="none" w:color="000000" w:sz="4"/>
                    <w:left w:val="single" w:color="000000" w:sz="4"/>
                    <w:bottom w:val="single" w:color="000000" w:sz="4"/>
                    <w:right w:val="single" w:color="000000" w:sz="4"/>
                  </w:tcBorders>
                </w:tcP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26</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施乐辉动力手柄</w:t>
                  </w:r>
                </w:p>
              </w:tc>
              <w:tc>
                <w:tcPr>
                  <w:tcW w:type="dxa" w:w="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施乐辉</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72200617</w:t>
                  </w:r>
                </w:p>
              </w:tc>
              <w:tc>
                <w:tcPr>
                  <w:tcW w:type="dxa" w:w="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AAM12135</w:t>
                  </w:r>
                </w:p>
              </w:tc>
              <w:tc>
                <w:tcPr>
                  <w:tcW w:type="dxa" w:w="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62"/>
                  <w:vMerge/>
                  <w:tcBorders>
                    <w:top w:val="none" w:color="000000" w:sz="4"/>
                    <w:left w:val="single" w:color="000000" w:sz="4"/>
                    <w:bottom w:val="single" w:color="000000" w:sz="4"/>
                    <w:right w:val="single" w:color="000000" w:sz="4"/>
                  </w:tcBorders>
                </w:tcP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27</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施乐辉动力手柄</w:t>
                  </w:r>
                </w:p>
              </w:tc>
              <w:tc>
                <w:tcPr>
                  <w:tcW w:type="dxa" w:w="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施乐辉</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72200617</w:t>
                  </w:r>
                </w:p>
              </w:tc>
              <w:tc>
                <w:tcPr>
                  <w:tcW w:type="dxa" w:w="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AAM12780</w:t>
                  </w:r>
                </w:p>
              </w:tc>
              <w:tc>
                <w:tcPr>
                  <w:tcW w:type="dxa" w:w="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62"/>
                  <w:vMerge/>
                  <w:tcBorders>
                    <w:top w:val="none" w:color="000000" w:sz="4"/>
                    <w:left w:val="single" w:color="000000" w:sz="4"/>
                    <w:bottom w:val="single" w:color="000000" w:sz="4"/>
                    <w:right w:val="single" w:color="000000" w:sz="4"/>
                  </w:tcBorders>
                </w:tcP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28</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施乐辉动力手柄</w:t>
                  </w:r>
                </w:p>
              </w:tc>
              <w:tc>
                <w:tcPr>
                  <w:tcW w:type="dxa" w:w="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施乐辉</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72200617</w:t>
                  </w:r>
                </w:p>
              </w:tc>
              <w:tc>
                <w:tcPr>
                  <w:tcW w:type="dxa" w:w="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AAM12928</w:t>
                  </w:r>
                </w:p>
              </w:tc>
              <w:tc>
                <w:tcPr>
                  <w:tcW w:type="dxa" w:w="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62"/>
                  <w:vMerge/>
                  <w:tcBorders>
                    <w:top w:val="none" w:color="000000" w:sz="4"/>
                    <w:left w:val="single" w:color="000000" w:sz="4"/>
                    <w:bottom w:val="single" w:color="000000" w:sz="4"/>
                    <w:right w:val="single" w:color="000000" w:sz="4"/>
                  </w:tcBorders>
                </w:tcP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29</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施乐辉动力手柄</w:t>
                  </w:r>
                </w:p>
              </w:tc>
              <w:tc>
                <w:tcPr>
                  <w:tcW w:type="dxa" w:w="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施乐辉</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72200617</w:t>
                  </w:r>
                </w:p>
              </w:tc>
              <w:tc>
                <w:tcPr>
                  <w:tcW w:type="dxa" w:w="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AAM1292424</w:t>
                  </w:r>
                </w:p>
              </w:tc>
              <w:tc>
                <w:tcPr>
                  <w:tcW w:type="dxa" w:w="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62"/>
                  <w:vMerge/>
                  <w:tcBorders>
                    <w:top w:val="none" w:color="000000" w:sz="4"/>
                    <w:left w:val="single" w:color="000000" w:sz="4"/>
                    <w:bottom w:val="single" w:color="000000" w:sz="4"/>
                    <w:right w:val="single" w:color="000000" w:sz="4"/>
                  </w:tcBorders>
                </w:tcP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施乐辉动力手柄</w:t>
                  </w:r>
                </w:p>
              </w:tc>
              <w:tc>
                <w:tcPr>
                  <w:tcW w:type="dxa" w:w="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施乐辉</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72200617</w:t>
                  </w:r>
                </w:p>
              </w:tc>
              <w:tc>
                <w:tcPr>
                  <w:tcW w:type="dxa" w:w="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AAL169090</w:t>
                  </w:r>
                </w:p>
              </w:tc>
              <w:tc>
                <w:tcPr>
                  <w:tcW w:type="dxa" w:w="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62"/>
                  <w:vMerge/>
                  <w:tcBorders>
                    <w:top w:val="none" w:color="000000" w:sz="4"/>
                    <w:left w:val="single" w:color="000000" w:sz="4"/>
                    <w:bottom w:val="single" w:color="000000" w:sz="4"/>
                    <w:right w:val="single" w:color="000000" w:sz="4"/>
                  </w:tcBorders>
                </w:tcP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31</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施乐辉动力手柄</w:t>
                  </w:r>
                </w:p>
              </w:tc>
              <w:tc>
                <w:tcPr>
                  <w:tcW w:type="dxa" w:w="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施乐辉</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72200617</w:t>
                  </w:r>
                </w:p>
              </w:tc>
              <w:tc>
                <w:tcPr>
                  <w:tcW w:type="dxa" w:w="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AAM9684</w:t>
                  </w:r>
                </w:p>
              </w:tc>
              <w:tc>
                <w:tcPr>
                  <w:tcW w:type="dxa" w:w="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62"/>
                  <w:vMerge/>
                  <w:tcBorders>
                    <w:top w:val="none" w:color="000000" w:sz="4"/>
                    <w:left w:val="single" w:color="000000" w:sz="4"/>
                    <w:bottom w:val="single" w:color="000000" w:sz="4"/>
                    <w:right w:val="single" w:color="000000" w:sz="4"/>
                  </w:tcBorders>
                </w:tcP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32</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施乐辉动力手柄</w:t>
                  </w:r>
                </w:p>
              </w:tc>
              <w:tc>
                <w:tcPr>
                  <w:tcW w:type="dxa" w:w="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施乐辉</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72200617</w:t>
                  </w:r>
                </w:p>
              </w:tc>
              <w:tc>
                <w:tcPr>
                  <w:tcW w:type="dxa" w:w="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62"/>
                  <w:vMerge/>
                  <w:tcBorders>
                    <w:top w:val="none" w:color="000000" w:sz="4"/>
                    <w:left w:val="single" w:color="000000" w:sz="4"/>
                    <w:bottom w:val="single" w:color="000000" w:sz="4"/>
                    <w:right w:val="single" w:color="000000" w:sz="4"/>
                  </w:tcBorders>
                </w:tcP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33</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Vantum等离子脚踏开关</w:t>
                  </w:r>
                </w:p>
              </w:tc>
              <w:tc>
                <w:tcPr>
                  <w:tcW w:type="dxa" w:w="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Vantum</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62"/>
                  <w:vMerge/>
                  <w:tcBorders>
                    <w:top w:val="none" w:color="000000" w:sz="4"/>
                    <w:left w:val="single" w:color="000000" w:sz="4"/>
                    <w:bottom w:val="single" w:color="000000" w:sz="4"/>
                    <w:right w:val="single" w:color="000000" w:sz="4"/>
                  </w:tcBorders>
                </w:tcP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34</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Vantum等离子脚踏开关</w:t>
                  </w:r>
                </w:p>
              </w:tc>
              <w:tc>
                <w:tcPr>
                  <w:tcW w:type="dxa" w:w="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Vantum</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62"/>
                  <w:vMerge/>
                  <w:tcBorders>
                    <w:top w:val="none" w:color="000000" w:sz="4"/>
                    <w:left w:val="single" w:color="000000" w:sz="4"/>
                    <w:bottom w:val="single" w:color="000000" w:sz="4"/>
                    <w:right w:val="single" w:color="000000" w:sz="4"/>
                  </w:tcBorders>
                </w:tcP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35</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施乐辉动力系统脚踏开关</w:t>
                  </w:r>
                </w:p>
              </w:tc>
              <w:tc>
                <w:tcPr>
                  <w:tcW w:type="dxa" w:w="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施乐辉</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72201092</w:t>
                  </w:r>
                </w:p>
              </w:tc>
              <w:tc>
                <w:tcPr>
                  <w:tcW w:type="dxa" w:w="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62"/>
                  <w:vMerge/>
                  <w:tcBorders>
                    <w:top w:val="none" w:color="000000" w:sz="4"/>
                    <w:left w:val="single" w:color="000000" w:sz="4"/>
                    <w:bottom w:val="single" w:color="000000" w:sz="4"/>
                    <w:right w:val="single" w:color="000000" w:sz="4"/>
                  </w:tcBorders>
                </w:tcP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36</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施乐辉动力系统脚踏开关</w:t>
                  </w:r>
                </w:p>
              </w:tc>
              <w:tc>
                <w:tcPr>
                  <w:tcW w:type="dxa" w:w="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施乐辉</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72201092</w:t>
                  </w:r>
                </w:p>
              </w:tc>
              <w:tc>
                <w:tcPr>
                  <w:tcW w:type="dxa" w:w="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62"/>
                  <w:vMerge/>
                  <w:tcBorders>
                    <w:top w:val="none" w:color="000000" w:sz="4"/>
                    <w:left w:val="single" w:color="000000" w:sz="4"/>
                    <w:bottom w:val="single" w:color="000000" w:sz="4"/>
                    <w:right w:val="single" w:color="000000" w:sz="4"/>
                  </w:tcBorders>
                </w:tcP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37</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施乐辉动力系统脚踏开关</w:t>
                  </w:r>
                </w:p>
              </w:tc>
              <w:tc>
                <w:tcPr>
                  <w:tcW w:type="dxa" w:w="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施乐辉</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72201092</w:t>
                  </w:r>
                </w:p>
              </w:tc>
              <w:tc>
                <w:tcPr>
                  <w:tcW w:type="dxa" w:w="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6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关节镜系统</w:t>
                  </w:r>
                  <w:r>
                    <w:rPr>
                      <w:rFonts w:ascii="仿宋_GB2312" w:hAnsi="仿宋_GB2312" w:cs="仿宋_GB2312" w:eastAsia="仿宋_GB2312"/>
                      <w:sz w:val="20"/>
                      <w:color w:val="000000"/>
                    </w:rPr>
                    <w:t>②</w:t>
                  </w: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38</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施乐辉动力主机</w:t>
                  </w:r>
                </w:p>
              </w:tc>
              <w:tc>
                <w:tcPr>
                  <w:tcW w:type="dxa" w:w="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施乐辉</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72200873</w:t>
                  </w:r>
                </w:p>
              </w:tc>
              <w:tc>
                <w:tcPr>
                  <w:tcW w:type="dxa" w:w="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AAX29891</w:t>
                  </w:r>
                </w:p>
              </w:tc>
              <w:tc>
                <w:tcPr>
                  <w:tcW w:type="dxa" w:w="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62"/>
                  <w:vMerge/>
                  <w:tcBorders>
                    <w:top w:val="none" w:color="000000" w:sz="4"/>
                    <w:left w:val="single" w:color="000000" w:sz="4"/>
                    <w:bottom w:val="single" w:color="000000" w:sz="4"/>
                    <w:right w:val="single" w:color="000000" w:sz="4"/>
                  </w:tcBorders>
                </w:tcP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39</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Vantum等离子主机</w:t>
                  </w:r>
                </w:p>
              </w:tc>
              <w:tc>
                <w:tcPr>
                  <w:tcW w:type="dxa" w:w="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Vantum</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Rf12000</w:t>
                  </w:r>
                </w:p>
              </w:tc>
              <w:tc>
                <w:tcPr>
                  <w:tcW w:type="dxa" w:w="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FFH1372</w:t>
                  </w:r>
                </w:p>
              </w:tc>
              <w:tc>
                <w:tcPr>
                  <w:tcW w:type="dxa" w:w="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6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关节镜系统</w:t>
                  </w:r>
                  <w:r>
                    <w:rPr>
                      <w:rFonts w:ascii="仿宋_GB2312" w:hAnsi="仿宋_GB2312" w:cs="仿宋_GB2312" w:eastAsia="仿宋_GB2312"/>
                      <w:sz w:val="20"/>
                      <w:color w:val="000000"/>
                    </w:rPr>
                    <w:t>③</w:t>
                  </w: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40</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施乐辉动力主机</w:t>
                  </w:r>
                </w:p>
              </w:tc>
              <w:tc>
                <w:tcPr>
                  <w:tcW w:type="dxa" w:w="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施乐辉</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72200873</w:t>
                  </w:r>
                </w:p>
              </w:tc>
              <w:tc>
                <w:tcPr>
                  <w:tcW w:type="dxa" w:w="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AAX40135</w:t>
                  </w:r>
                </w:p>
              </w:tc>
              <w:tc>
                <w:tcPr>
                  <w:tcW w:type="dxa" w:w="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62"/>
                  <w:vMerge/>
                  <w:tcBorders>
                    <w:top w:val="none" w:color="000000" w:sz="4"/>
                    <w:left w:val="single" w:color="000000" w:sz="4"/>
                    <w:bottom w:val="single" w:color="000000" w:sz="4"/>
                    <w:right w:val="single" w:color="000000" w:sz="4"/>
                  </w:tcBorders>
                </w:tcP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41</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Vantum等离子主机</w:t>
                  </w:r>
                </w:p>
              </w:tc>
              <w:tc>
                <w:tcPr>
                  <w:tcW w:type="dxa" w:w="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Vantum</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Rf12000</w:t>
                  </w:r>
                </w:p>
              </w:tc>
              <w:tc>
                <w:tcPr>
                  <w:tcW w:type="dxa" w:w="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14799</w:t>
                  </w:r>
                </w:p>
              </w:tc>
              <w:tc>
                <w:tcPr>
                  <w:tcW w:type="dxa" w:w="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6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椎间孔镜系统</w:t>
                  </w:r>
                  <w:r>
                    <w:rPr>
                      <w:rFonts w:ascii="仿宋_GB2312" w:hAnsi="仿宋_GB2312" w:cs="仿宋_GB2312" w:eastAsia="仿宋_GB2312"/>
                      <w:sz w:val="20"/>
                      <w:color w:val="000000"/>
                    </w:rPr>
                    <w:t>①</w:t>
                  </w: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42</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雪力摄像主机</w:t>
                  </w:r>
                </w:p>
              </w:tc>
              <w:tc>
                <w:tcPr>
                  <w:tcW w:type="dxa" w:w="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雪力</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95.373</w:t>
                  </w:r>
                </w:p>
              </w:tc>
              <w:tc>
                <w:tcPr>
                  <w:tcW w:type="dxa" w:w="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795692</w:t>
                  </w:r>
                </w:p>
              </w:tc>
              <w:tc>
                <w:tcPr>
                  <w:tcW w:type="dxa" w:w="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62"/>
                  <w:vMerge/>
                  <w:tcBorders>
                    <w:top w:val="none" w:color="000000" w:sz="4"/>
                    <w:left w:val="single" w:color="000000" w:sz="4"/>
                    <w:bottom w:val="single" w:color="000000" w:sz="4"/>
                    <w:right w:val="single" w:color="000000" w:sz="4"/>
                  </w:tcBorders>
                </w:tcP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43</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雪力光源主机</w:t>
                  </w:r>
                </w:p>
              </w:tc>
              <w:tc>
                <w:tcPr>
                  <w:tcW w:type="dxa" w:w="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雪力</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05.0740LED</w:t>
                  </w:r>
                </w:p>
              </w:tc>
              <w:tc>
                <w:tcPr>
                  <w:tcW w:type="dxa" w:w="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795505</w:t>
                  </w:r>
                </w:p>
              </w:tc>
              <w:tc>
                <w:tcPr>
                  <w:tcW w:type="dxa" w:w="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62"/>
                  <w:vMerge/>
                  <w:tcBorders>
                    <w:top w:val="none" w:color="000000" w:sz="4"/>
                    <w:left w:val="single" w:color="000000" w:sz="4"/>
                    <w:bottom w:val="single" w:color="000000" w:sz="4"/>
                    <w:right w:val="single" w:color="000000" w:sz="4"/>
                  </w:tcBorders>
                </w:tcP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44</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joimax动力主机</w:t>
                  </w:r>
                </w:p>
              </w:tc>
              <w:tc>
                <w:tcPr>
                  <w:tcW w:type="dxa" w:w="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joimax</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JSDC2500C</w:t>
                  </w:r>
                </w:p>
              </w:tc>
              <w:tc>
                <w:tcPr>
                  <w:tcW w:type="dxa" w:w="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N211049</w:t>
                  </w:r>
                </w:p>
              </w:tc>
              <w:tc>
                <w:tcPr>
                  <w:tcW w:type="dxa" w:w="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62"/>
                  <w:vMerge/>
                  <w:tcBorders>
                    <w:top w:val="none" w:color="000000" w:sz="4"/>
                    <w:left w:val="single" w:color="000000" w:sz="4"/>
                    <w:bottom w:val="single" w:color="000000" w:sz="4"/>
                    <w:right w:val="single" w:color="000000" w:sz="4"/>
                  </w:tcBorders>
                </w:tcP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45</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joimax射频消融主机</w:t>
                  </w:r>
                </w:p>
              </w:tc>
              <w:tc>
                <w:tcPr>
                  <w:tcW w:type="dxa" w:w="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joimax</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Endovapor</w:t>
                  </w:r>
                </w:p>
              </w:tc>
              <w:tc>
                <w:tcPr>
                  <w:tcW w:type="dxa" w:w="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35201279</w:t>
                  </w:r>
                </w:p>
              </w:tc>
              <w:tc>
                <w:tcPr>
                  <w:tcW w:type="dxa" w:w="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62"/>
                  <w:vMerge/>
                  <w:tcBorders>
                    <w:top w:val="none" w:color="000000" w:sz="4"/>
                    <w:left w:val="single" w:color="000000" w:sz="4"/>
                    <w:bottom w:val="single" w:color="000000" w:sz="4"/>
                    <w:right w:val="single" w:color="000000" w:sz="4"/>
                  </w:tcBorders>
                </w:tcP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46</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UNINTECH摄像线</w:t>
                  </w:r>
                </w:p>
              </w:tc>
              <w:tc>
                <w:tcPr>
                  <w:tcW w:type="dxa" w:w="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UNINTECH</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62"/>
                  <w:vMerge/>
                  <w:tcBorders>
                    <w:top w:val="none" w:color="000000" w:sz="4"/>
                    <w:left w:val="single" w:color="000000" w:sz="4"/>
                    <w:bottom w:val="single" w:color="000000" w:sz="4"/>
                    <w:right w:val="single" w:color="000000" w:sz="4"/>
                  </w:tcBorders>
                </w:tcP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47</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UNINTECH导光束</w:t>
                  </w:r>
                </w:p>
              </w:tc>
              <w:tc>
                <w:tcPr>
                  <w:tcW w:type="dxa" w:w="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UNINTECH</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62"/>
                  <w:vMerge/>
                  <w:tcBorders>
                    <w:top w:val="none" w:color="000000" w:sz="4"/>
                    <w:left w:val="single" w:color="000000" w:sz="4"/>
                    <w:bottom w:val="single" w:color="000000" w:sz="4"/>
                    <w:right w:val="single" w:color="000000" w:sz="4"/>
                  </w:tcBorders>
                </w:tcP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48</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UNINTECH动力手柄</w:t>
                  </w:r>
                </w:p>
              </w:tc>
              <w:tc>
                <w:tcPr>
                  <w:tcW w:type="dxa" w:w="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UNINTECH</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62"/>
                  <w:vMerge/>
                  <w:tcBorders>
                    <w:top w:val="none" w:color="000000" w:sz="4"/>
                    <w:left w:val="single" w:color="000000" w:sz="4"/>
                    <w:bottom w:val="single" w:color="000000" w:sz="4"/>
                    <w:right w:val="single" w:color="000000" w:sz="4"/>
                  </w:tcBorders>
                </w:tcP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49</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joimax侧路镜</w:t>
                  </w:r>
                </w:p>
              </w:tc>
              <w:tc>
                <w:tcPr>
                  <w:tcW w:type="dxa" w:w="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joinmax</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w:t>
                  </w:r>
                </w:p>
              </w:tc>
              <w:tc>
                <w:tcPr>
                  <w:tcW w:type="dxa" w:w="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19-33005S</w:t>
                  </w:r>
                </w:p>
              </w:tc>
              <w:tc>
                <w:tcPr>
                  <w:tcW w:type="dxa" w:w="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62"/>
                  <w:vMerge/>
                  <w:tcBorders>
                    <w:top w:val="none" w:color="000000" w:sz="4"/>
                    <w:left w:val="single" w:color="000000" w:sz="4"/>
                    <w:bottom w:val="single" w:color="000000" w:sz="4"/>
                    <w:right w:val="single" w:color="000000" w:sz="4"/>
                  </w:tcBorders>
                </w:tcP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50</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joimax后路镜</w:t>
                  </w:r>
                </w:p>
              </w:tc>
              <w:tc>
                <w:tcPr>
                  <w:tcW w:type="dxa" w:w="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joinmax</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62"/>
                  <w:vMerge/>
                  <w:tcBorders>
                    <w:top w:val="none" w:color="000000" w:sz="4"/>
                    <w:left w:val="single" w:color="000000" w:sz="4"/>
                    <w:bottom w:val="single" w:color="000000" w:sz="4"/>
                    <w:right w:val="single" w:color="000000" w:sz="4"/>
                  </w:tcBorders>
                </w:tcP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51</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joimax脚踏开关</w:t>
                  </w:r>
                </w:p>
              </w:tc>
              <w:tc>
                <w:tcPr>
                  <w:tcW w:type="dxa" w:w="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joinmax</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REFUSS01</w:t>
                  </w:r>
                </w:p>
              </w:tc>
              <w:tc>
                <w:tcPr>
                  <w:tcW w:type="dxa" w:w="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10940</w:t>
                  </w:r>
                </w:p>
              </w:tc>
              <w:tc>
                <w:tcPr>
                  <w:tcW w:type="dxa" w:w="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62"/>
                  <w:vMerge/>
                  <w:tcBorders>
                    <w:top w:val="none" w:color="000000" w:sz="4"/>
                    <w:left w:val="single" w:color="000000" w:sz="4"/>
                    <w:bottom w:val="single" w:color="000000" w:sz="4"/>
                    <w:right w:val="single" w:color="000000" w:sz="4"/>
                  </w:tcBorders>
                </w:tcP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52</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UNINTECH脚踏开关</w:t>
                  </w:r>
                </w:p>
              </w:tc>
              <w:tc>
                <w:tcPr>
                  <w:tcW w:type="dxa" w:w="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UNINTECH</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6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椎间孔镜系统</w:t>
                  </w:r>
                  <w:r>
                    <w:rPr>
                      <w:rFonts w:ascii="仿宋_GB2312" w:hAnsi="仿宋_GB2312" w:cs="仿宋_GB2312" w:eastAsia="仿宋_GB2312"/>
                      <w:sz w:val="20"/>
                      <w:color w:val="000000"/>
                    </w:rPr>
                    <w:t>② （GIMMI)</w:t>
                  </w: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53</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GIMMI摄像线</w:t>
                  </w:r>
                </w:p>
              </w:tc>
              <w:tc>
                <w:tcPr>
                  <w:tcW w:type="dxa" w:w="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GIMMI</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62"/>
                  <w:vMerge/>
                  <w:tcBorders>
                    <w:top w:val="none" w:color="000000" w:sz="4"/>
                    <w:left w:val="single" w:color="000000" w:sz="4"/>
                    <w:bottom w:val="single" w:color="000000" w:sz="4"/>
                    <w:right w:val="single" w:color="000000" w:sz="4"/>
                  </w:tcBorders>
                </w:tcP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54</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GIMMI导光束</w:t>
                  </w:r>
                </w:p>
              </w:tc>
              <w:tc>
                <w:tcPr>
                  <w:tcW w:type="dxa" w:w="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GIMMI</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62"/>
                  <w:vMerge/>
                  <w:tcBorders>
                    <w:top w:val="none" w:color="000000" w:sz="4"/>
                    <w:left w:val="single" w:color="000000" w:sz="4"/>
                    <w:bottom w:val="single" w:color="000000" w:sz="4"/>
                    <w:right w:val="single" w:color="000000" w:sz="4"/>
                  </w:tcBorders>
                </w:tcP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55</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NSK动力手柄</w:t>
                  </w:r>
                </w:p>
              </w:tc>
              <w:tc>
                <w:tcPr>
                  <w:tcW w:type="dxa" w:w="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NSK</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P200-HMH</w:t>
                  </w:r>
                </w:p>
              </w:tc>
              <w:tc>
                <w:tcPr>
                  <w:tcW w:type="dxa" w:w="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OBJ60012</w:t>
                  </w:r>
                </w:p>
              </w:tc>
              <w:tc>
                <w:tcPr>
                  <w:tcW w:type="dxa" w:w="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62"/>
                  <w:vMerge/>
                  <w:tcBorders>
                    <w:top w:val="none" w:color="000000" w:sz="4"/>
                    <w:left w:val="single" w:color="000000" w:sz="4"/>
                    <w:bottom w:val="single" w:color="000000" w:sz="4"/>
                    <w:right w:val="single" w:color="000000" w:sz="4"/>
                  </w:tcBorders>
                </w:tcP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56</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GIMMI侧路镜</w:t>
                  </w:r>
                </w:p>
              </w:tc>
              <w:tc>
                <w:tcPr>
                  <w:tcW w:type="dxa" w:w="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GIMMI</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62"/>
                  <w:vMerge/>
                  <w:tcBorders>
                    <w:top w:val="none" w:color="000000" w:sz="4"/>
                    <w:left w:val="single" w:color="000000" w:sz="4"/>
                    <w:bottom w:val="single" w:color="000000" w:sz="4"/>
                    <w:right w:val="single" w:color="000000" w:sz="4"/>
                  </w:tcBorders>
                </w:tcP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57</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GIMMI后路镜</w:t>
                  </w:r>
                </w:p>
              </w:tc>
              <w:tc>
                <w:tcPr>
                  <w:tcW w:type="dxa" w:w="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GIMMI</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62"/>
                  <w:vMerge/>
                  <w:tcBorders>
                    <w:top w:val="none" w:color="000000" w:sz="4"/>
                    <w:left w:val="single" w:color="000000" w:sz="4"/>
                    <w:bottom w:val="single" w:color="000000" w:sz="4"/>
                    <w:right w:val="single" w:color="000000" w:sz="4"/>
                  </w:tcBorders>
                </w:tcP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58</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GIMMI后路镜</w:t>
                  </w:r>
                </w:p>
              </w:tc>
              <w:tc>
                <w:tcPr>
                  <w:tcW w:type="dxa" w:w="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GIMMI</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62"/>
                  <w:vMerge/>
                  <w:tcBorders>
                    <w:top w:val="none" w:color="000000" w:sz="4"/>
                    <w:left w:val="single" w:color="000000" w:sz="4"/>
                    <w:bottom w:val="single" w:color="000000" w:sz="4"/>
                    <w:right w:val="single" w:color="000000" w:sz="4"/>
                  </w:tcBorders>
                </w:tcP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59</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NSK脚踏开关</w:t>
                  </w:r>
                </w:p>
              </w:tc>
              <w:tc>
                <w:tcPr>
                  <w:tcW w:type="dxa" w:w="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NSK</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FC-73</w:t>
                  </w:r>
                </w:p>
              </w:tc>
              <w:tc>
                <w:tcPr>
                  <w:tcW w:type="dxa" w:w="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6501369</w:t>
                  </w:r>
                </w:p>
              </w:tc>
              <w:tc>
                <w:tcPr>
                  <w:tcW w:type="dxa" w:w="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62"/>
                  <w:vMerge/>
                  <w:tcBorders>
                    <w:top w:val="none" w:color="000000" w:sz="4"/>
                    <w:left w:val="single" w:color="000000" w:sz="4"/>
                    <w:bottom w:val="single" w:color="000000" w:sz="4"/>
                    <w:right w:val="single" w:color="000000" w:sz="4"/>
                  </w:tcBorders>
                </w:tcP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60</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elliquence脚踏开关</w:t>
                  </w:r>
                </w:p>
              </w:tc>
              <w:tc>
                <w:tcPr>
                  <w:tcW w:type="dxa" w:w="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elliquence</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BF-FSC#</w:t>
                  </w:r>
                </w:p>
              </w:tc>
              <w:tc>
                <w:tcPr>
                  <w:tcW w:type="dxa" w:w="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42096</w:t>
                  </w:r>
                </w:p>
              </w:tc>
              <w:tc>
                <w:tcPr>
                  <w:tcW w:type="dxa" w:w="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耳鼻喉动力系（</w:t>
                  </w:r>
                  <w:r>
                    <w:rPr>
                      <w:rFonts w:ascii="仿宋_GB2312" w:hAnsi="仿宋_GB2312" w:cs="仿宋_GB2312" w:eastAsia="仿宋_GB2312"/>
                      <w:sz w:val="20"/>
                      <w:color w:val="000000"/>
                    </w:rPr>
                    <w:t>STOZE）</w:t>
                  </w: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61</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STOZE动力手柄</w:t>
                  </w:r>
                </w:p>
              </w:tc>
              <w:tc>
                <w:tcPr>
                  <w:tcW w:type="dxa" w:w="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STOZE</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6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4K超高清腹腔镜系统(奥林巴斯）</w:t>
                  </w: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62</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奥林巴斯</w:t>
                  </w:r>
                  <w:r>
                    <w:rPr>
                      <w:rFonts w:ascii="仿宋_GB2312" w:hAnsi="仿宋_GB2312" w:cs="仿宋_GB2312" w:eastAsia="仿宋_GB2312"/>
                      <w:sz w:val="20"/>
                      <w:color w:val="000000"/>
                    </w:rPr>
                    <w:t>4K超高清摄像线</w:t>
                  </w:r>
                </w:p>
              </w:tc>
              <w:tc>
                <w:tcPr>
                  <w:tcW w:type="dxa" w:w="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奥林巴斯</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CH-S400-XZ-EB</w:t>
                  </w:r>
                </w:p>
              </w:tc>
              <w:tc>
                <w:tcPr>
                  <w:tcW w:type="dxa" w:w="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7030173</w:t>
                  </w:r>
                </w:p>
              </w:tc>
              <w:tc>
                <w:tcPr>
                  <w:tcW w:type="dxa" w:w="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62"/>
                  <w:vMerge/>
                  <w:tcBorders>
                    <w:top w:val="none" w:color="000000" w:sz="4"/>
                    <w:left w:val="single" w:color="000000" w:sz="4"/>
                    <w:bottom w:val="single" w:color="000000" w:sz="4"/>
                    <w:right w:val="single" w:color="000000" w:sz="4"/>
                  </w:tcBorders>
                </w:tcP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63</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奥林巴斯导光束</w:t>
                  </w:r>
                </w:p>
              </w:tc>
              <w:tc>
                <w:tcPr>
                  <w:tcW w:type="dxa" w:w="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奥林巴斯</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WA03310A</w:t>
                  </w:r>
                </w:p>
              </w:tc>
              <w:tc>
                <w:tcPr>
                  <w:tcW w:type="dxa" w:w="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232W0009</w:t>
                  </w:r>
                </w:p>
              </w:tc>
              <w:tc>
                <w:tcPr>
                  <w:tcW w:type="dxa" w:w="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62"/>
                  <w:vMerge/>
                  <w:tcBorders>
                    <w:top w:val="none" w:color="000000" w:sz="4"/>
                    <w:left w:val="single" w:color="000000" w:sz="4"/>
                    <w:bottom w:val="single" w:color="000000" w:sz="4"/>
                    <w:right w:val="single" w:color="000000" w:sz="4"/>
                  </w:tcBorders>
                </w:tcP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64</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奥林巴斯导光束</w:t>
                  </w:r>
                </w:p>
              </w:tc>
              <w:tc>
                <w:tcPr>
                  <w:tcW w:type="dxa" w:w="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奥林巴斯</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6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高清腹腔镜（奥林巴斯）</w:t>
                  </w: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65</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奥林巴斯高清摄像线</w:t>
                  </w:r>
                </w:p>
              </w:tc>
              <w:tc>
                <w:tcPr>
                  <w:tcW w:type="dxa" w:w="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奥林巴斯</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OTV-S7H-N</w:t>
                  </w:r>
                </w:p>
              </w:tc>
              <w:tc>
                <w:tcPr>
                  <w:tcW w:type="dxa" w:w="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7122982</w:t>
                  </w:r>
                </w:p>
              </w:tc>
              <w:tc>
                <w:tcPr>
                  <w:tcW w:type="dxa" w:w="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62"/>
                  <w:vMerge/>
                  <w:tcBorders>
                    <w:top w:val="none" w:color="000000" w:sz="4"/>
                    <w:left w:val="single" w:color="000000" w:sz="4"/>
                    <w:bottom w:val="single" w:color="000000" w:sz="4"/>
                    <w:right w:val="single" w:color="000000" w:sz="4"/>
                  </w:tcBorders>
                </w:tcP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66</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奥林巴斯镜头</w:t>
                  </w:r>
                </w:p>
              </w:tc>
              <w:tc>
                <w:tcPr>
                  <w:tcW w:type="dxa" w:w="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奥林巴斯</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WA4KL130</w:t>
                  </w:r>
                </w:p>
              </w:tc>
              <w:tc>
                <w:tcPr>
                  <w:tcW w:type="dxa" w:w="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801648</w:t>
                  </w:r>
                </w:p>
              </w:tc>
              <w:tc>
                <w:tcPr>
                  <w:tcW w:type="dxa" w:w="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62"/>
                  <w:vMerge/>
                  <w:tcBorders>
                    <w:top w:val="none" w:color="000000" w:sz="4"/>
                    <w:left w:val="single" w:color="000000" w:sz="4"/>
                    <w:bottom w:val="single" w:color="000000" w:sz="4"/>
                    <w:right w:val="single" w:color="000000" w:sz="4"/>
                  </w:tcBorders>
                </w:tcP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67</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奥林巴斯镜头</w:t>
                  </w:r>
                </w:p>
              </w:tc>
              <w:tc>
                <w:tcPr>
                  <w:tcW w:type="dxa" w:w="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奥林巴斯</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62"/>
                  <w:vMerge/>
                  <w:tcBorders>
                    <w:top w:val="none" w:color="000000" w:sz="4"/>
                    <w:left w:val="single" w:color="000000" w:sz="4"/>
                    <w:bottom w:val="single" w:color="000000" w:sz="4"/>
                    <w:right w:val="single" w:color="000000" w:sz="4"/>
                  </w:tcBorders>
                </w:tcP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68</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奥林巴斯镜头</w:t>
                  </w:r>
                </w:p>
              </w:tc>
              <w:tc>
                <w:tcPr>
                  <w:tcW w:type="dxa" w:w="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奥林巴斯</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62"/>
                  <w:vMerge/>
                  <w:tcBorders>
                    <w:top w:val="none" w:color="000000" w:sz="4"/>
                    <w:left w:val="single" w:color="000000" w:sz="4"/>
                    <w:bottom w:val="single" w:color="000000" w:sz="4"/>
                    <w:right w:val="single" w:color="000000" w:sz="4"/>
                  </w:tcBorders>
                </w:tcP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69</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奥林巴斯镜头</w:t>
                  </w:r>
                </w:p>
              </w:tc>
              <w:tc>
                <w:tcPr>
                  <w:tcW w:type="dxa" w:w="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奥林巴斯</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62"/>
                  <w:vMerge/>
                  <w:tcBorders>
                    <w:top w:val="none" w:color="000000" w:sz="4"/>
                    <w:left w:val="single" w:color="000000" w:sz="4"/>
                    <w:bottom w:val="single" w:color="000000" w:sz="4"/>
                    <w:right w:val="single" w:color="000000" w:sz="4"/>
                  </w:tcBorders>
                </w:tcP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70</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美敦力动力手柄</w:t>
                  </w:r>
                </w:p>
              </w:tc>
              <w:tc>
                <w:tcPr>
                  <w:tcW w:type="dxa" w:w="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美敦力</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18-97200</w:t>
                  </w:r>
                </w:p>
              </w:tc>
              <w:tc>
                <w:tcPr>
                  <w:tcW w:type="dxa" w:w="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5864</w:t>
                  </w:r>
                </w:p>
              </w:tc>
              <w:tc>
                <w:tcPr>
                  <w:tcW w:type="dxa" w:w="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62"/>
                  <w:vMerge/>
                  <w:tcBorders>
                    <w:top w:val="none" w:color="000000" w:sz="4"/>
                    <w:left w:val="single" w:color="000000" w:sz="4"/>
                    <w:bottom w:val="single" w:color="000000" w:sz="4"/>
                    <w:right w:val="single" w:color="000000" w:sz="4"/>
                  </w:tcBorders>
                </w:tcP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71</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美敦力脚踏开关</w:t>
                  </w:r>
                </w:p>
              </w:tc>
              <w:tc>
                <w:tcPr>
                  <w:tcW w:type="dxa" w:w="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美敦力</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18-95410</w:t>
                  </w:r>
                </w:p>
              </w:tc>
              <w:tc>
                <w:tcPr>
                  <w:tcW w:type="dxa" w:w="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2252</w:t>
                  </w:r>
                </w:p>
              </w:tc>
              <w:tc>
                <w:tcPr>
                  <w:tcW w:type="dxa" w:w="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72</w:t>
                  </w: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奥林巴斯摄像线</w:t>
                  </w:r>
                </w:p>
              </w:tc>
              <w:tc>
                <w:tcPr>
                  <w:tcW w:type="dxa" w:w="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奥林巴斯</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CH-S190-XZ</w:t>
                  </w:r>
                </w:p>
              </w:tc>
              <w:tc>
                <w:tcPr>
                  <w:tcW w:type="dxa" w:w="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7030110</w:t>
                  </w:r>
                </w:p>
              </w:tc>
              <w:tc>
                <w:tcPr>
                  <w:tcW w:type="dxa" w:w="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bl>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标的名称：直线加速器维保</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0"/>
              </w:rPr>
              <w:t>1、 保修</w:t>
            </w:r>
            <w:r>
              <w:rPr>
                <w:rFonts w:ascii="仿宋_GB2312" w:hAnsi="仿宋_GB2312" w:cs="仿宋_GB2312" w:eastAsia="仿宋_GB2312"/>
                <w:sz w:val="20"/>
              </w:rPr>
              <w:t>内容和</w:t>
            </w:r>
            <w:r>
              <w:rPr>
                <w:rFonts w:ascii="仿宋_GB2312" w:hAnsi="仿宋_GB2312" w:cs="仿宋_GB2312" w:eastAsia="仿宋_GB2312"/>
                <w:sz w:val="20"/>
              </w:rPr>
              <w:t>服务内容：</w:t>
            </w:r>
          </w:p>
          <w:p>
            <w:pPr>
              <w:pStyle w:val="null3"/>
              <w:jc w:val="left"/>
            </w:pPr>
            <w:r>
              <w:rPr>
                <w:rFonts w:ascii="仿宋_GB2312" w:hAnsi="仿宋_GB2312" w:cs="仿宋_GB2312" w:eastAsia="仿宋_GB2312"/>
                <w:sz w:val="20"/>
              </w:rPr>
              <w:t>TrueBeam  1台</w:t>
            </w:r>
          </w:p>
          <w:p>
            <w:pPr>
              <w:pStyle w:val="null3"/>
              <w:spacing w:before="180"/>
              <w:jc w:val="left"/>
            </w:pPr>
            <w:r>
              <w:rPr>
                <w:rFonts w:ascii="仿宋_GB2312" w:hAnsi="仿宋_GB2312" w:cs="仿宋_GB2312" w:eastAsia="仿宋_GB2312"/>
                <w:sz w:val="20"/>
              </w:rPr>
              <w:t>整机全保；</w:t>
            </w:r>
            <w:r>
              <w:rPr>
                <w:rFonts w:ascii="仿宋_GB2312" w:hAnsi="仿宋_GB2312" w:cs="仿宋_GB2312" w:eastAsia="仿宋_GB2312"/>
                <w:sz w:val="20"/>
              </w:rPr>
              <w:t>TrueBeam - Essentials，MLC 120，MV Imager， KV Imager ，Rapid Arc，Optical Imaging；ARIA（网络系统）Eclipse（治疗计划系统）、（含其他非 Varian 产品： CCTV 监视系统 、对讲系统 、激光灯 、水冷机、 稳压器、 空气压缩机</w:t>
            </w:r>
            <w:r>
              <w:rPr>
                <w:rFonts w:ascii="仿宋_GB2312" w:hAnsi="仿宋_GB2312" w:cs="仿宋_GB2312" w:eastAsia="仿宋_GB2312"/>
                <w:sz w:val="20"/>
              </w:rPr>
              <w:t>等</w:t>
            </w:r>
            <w:r>
              <w:rPr>
                <w:rFonts w:ascii="仿宋_GB2312" w:hAnsi="仿宋_GB2312" w:cs="仿宋_GB2312" w:eastAsia="仿宋_GB2312"/>
                <w:sz w:val="20"/>
              </w:rPr>
              <w:t>）。保修期</w:t>
            </w:r>
            <w:r>
              <w:rPr>
                <w:rFonts w:ascii="仿宋_GB2312" w:hAnsi="仿宋_GB2312" w:cs="仿宋_GB2312" w:eastAsia="仿宋_GB2312"/>
                <w:sz w:val="20"/>
              </w:rPr>
              <w:t>1年，从合同签订次日起算</w:t>
            </w:r>
          </w:p>
          <w:p>
            <w:pPr>
              <w:pStyle w:val="null3"/>
              <w:jc w:val="both"/>
            </w:pPr>
            <w:r>
              <w:rPr>
                <w:rFonts w:ascii="仿宋_GB2312" w:hAnsi="仿宋_GB2312" w:cs="仿宋_GB2312" w:eastAsia="仿宋_GB2312"/>
                <w:sz w:val="20"/>
              </w:rPr>
              <w:t>2</w:t>
            </w:r>
            <w:r>
              <w:rPr>
                <w:rFonts w:ascii="仿宋_GB2312" w:hAnsi="仿宋_GB2312" w:cs="仿宋_GB2312" w:eastAsia="仿宋_GB2312"/>
                <w:sz w:val="20"/>
              </w:rPr>
              <w:t>、</w:t>
            </w:r>
            <w:r>
              <w:rPr>
                <w:rFonts w:ascii="仿宋_GB2312" w:hAnsi="仿宋_GB2312" w:cs="仿宋_GB2312" w:eastAsia="仿宋_GB2312"/>
                <w:sz w:val="20"/>
              </w:rPr>
              <w:t>具有</w:t>
            </w:r>
            <w:r>
              <w:rPr>
                <w:rFonts w:ascii="仿宋_GB2312" w:hAnsi="仿宋_GB2312" w:cs="仿宋_GB2312" w:eastAsia="仿宋_GB2312"/>
                <w:sz w:val="20"/>
              </w:rPr>
              <w:t>保修服务</w:t>
            </w:r>
            <w:r>
              <w:rPr>
                <w:rFonts w:ascii="仿宋_GB2312" w:hAnsi="仿宋_GB2312" w:cs="仿宋_GB2312" w:eastAsia="仿宋_GB2312"/>
                <w:sz w:val="20"/>
              </w:rPr>
              <w:t>专用</w:t>
            </w:r>
            <w:r>
              <w:rPr>
                <w:rFonts w:ascii="仿宋_GB2312" w:hAnsi="仿宋_GB2312" w:cs="仿宋_GB2312" w:eastAsia="仿宋_GB2312"/>
                <w:sz w:val="20"/>
              </w:rPr>
              <w:t>电话，能提供快速诊断和技术支持服务，</w:t>
            </w:r>
            <w:r>
              <w:rPr>
                <w:rFonts w:ascii="仿宋_GB2312" w:hAnsi="仿宋_GB2312" w:cs="仿宋_GB2312" w:eastAsia="仿宋_GB2312"/>
                <w:sz w:val="20"/>
              </w:rPr>
              <w:t>能</w:t>
            </w:r>
            <w:r>
              <w:rPr>
                <w:rFonts w:ascii="仿宋_GB2312" w:hAnsi="仿宋_GB2312" w:cs="仿宋_GB2312" w:eastAsia="仿宋_GB2312"/>
                <w:sz w:val="20"/>
              </w:rPr>
              <w:t>24小时×365天</w:t>
            </w:r>
            <w:r>
              <w:rPr>
                <w:rFonts w:ascii="仿宋_GB2312" w:hAnsi="仿宋_GB2312" w:cs="仿宋_GB2312" w:eastAsia="仿宋_GB2312"/>
                <w:sz w:val="20"/>
              </w:rPr>
              <w:t>服务</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3、</w:t>
            </w:r>
            <w:r>
              <w:rPr>
                <w:rFonts w:ascii="仿宋_GB2312" w:hAnsi="仿宋_GB2312" w:cs="仿宋_GB2312" w:eastAsia="仿宋_GB2312"/>
                <w:sz w:val="20"/>
              </w:rPr>
              <w:t>服务响应时间：在设备出现故障后，需</w:t>
            </w:r>
            <w:r>
              <w:rPr>
                <w:rFonts w:ascii="仿宋_GB2312" w:hAnsi="仿宋_GB2312" w:cs="仿宋_GB2312" w:eastAsia="仿宋_GB2312"/>
                <w:sz w:val="20"/>
              </w:rPr>
              <w:t>2小时内电话响应，如无法通过电话解决问题，则工程师需在报修后12小时内抵达故障现场，维修时间不限节假日。</w:t>
            </w:r>
          </w:p>
          <w:p>
            <w:pPr>
              <w:pStyle w:val="null3"/>
              <w:jc w:val="left"/>
            </w:pPr>
            <w:r>
              <w:rPr>
                <w:rFonts w:ascii="仿宋_GB2312" w:hAnsi="仿宋_GB2312" w:cs="仿宋_GB2312" w:eastAsia="仿宋_GB2312"/>
                <w:sz w:val="20"/>
              </w:rPr>
              <w:t>4</w:t>
            </w:r>
            <w:r>
              <w:rPr>
                <w:rFonts w:ascii="仿宋_GB2312" w:hAnsi="仿宋_GB2312" w:cs="仿宋_GB2312" w:eastAsia="仿宋_GB2312"/>
                <w:sz w:val="20"/>
              </w:rPr>
              <w:t>、在保修服务期内，</w:t>
            </w:r>
            <w:r>
              <w:rPr>
                <w:rFonts w:ascii="仿宋_GB2312" w:hAnsi="仿宋_GB2312" w:cs="仿宋_GB2312" w:eastAsia="仿宋_GB2312"/>
                <w:sz w:val="20"/>
              </w:rPr>
              <w:t>服务商</w:t>
            </w:r>
            <w:r>
              <w:rPr>
                <w:rFonts w:ascii="仿宋_GB2312" w:hAnsi="仿宋_GB2312" w:cs="仿宋_GB2312" w:eastAsia="仿宋_GB2312"/>
                <w:sz w:val="20"/>
              </w:rPr>
              <w:t>应对设备每年提供</w:t>
            </w:r>
            <w:r>
              <w:rPr>
                <w:rFonts w:ascii="仿宋_GB2312" w:hAnsi="仿宋_GB2312" w:cs="仿宋_GB2312" w:eastAsia="仿宋_GB2312"/>
                <w:sz w:val="20"/>
              </w:rPr>
              <w:t>≥</w:t>
            </w:r>
            <w:r>
              <w:rPr>
                <w:rFonts w:ascii="仿宋_GB2312" w:hAnsi="仿宋_GB2312" w:cs="仿宋_GB2312" w:eastAsia="仿宋_GB2312"/>
                <w:sz w:val="20"/>
              </w:rPr>
              <w:t>4次</w:t>
            </w:r>
            <w:r>
              <w:rPr>
                <w:rFonts w:ascii="仿宋_GB2312" w:hAnsi="仿宋_GB2312" w:cs="仿宋_GB2312" w:eastAsia="仿宋_GB2312"/>
                <w:sz w:val="20"/>
              </w:rPr>
              <w:t>深度</w:t>
            </w:r>
            <w:r>
              <w:rPr>
                <w:rFonts w:ascii="仿宋_GB2312" w:hAnsi="仿宋_GB2312" w:cs="仿宋_GB2312" w:eastAsia="仿宋_GB2312"/>
                <w:sz w:val="20"/>
              </w:rPr>
              <w:t>维护保养服务，提供设备的安全检查、运行状态检查等，按照厂家标准规定的保养，并出具保养报告。</w:t>
            </w:r>
          </w:p>
          <w:p>
            <w:pPr>
              <w:pStyle w:val="null3"/>
              <w:jc w:val="left"/>
            </w:pPr>
            <w:r>
              <w:rPr>
                <w:rFonts w:ascii="仿宋_GB2312" w:hAnsi="仿宋_GB2312" w:cs="仿宋_GB2312" w:eastAsia="仿宋_GB2312"/>
                <w:sz w:val="20"/>
              </w:rPr>
              <w:t>5</w:t>
            </w:r>
            <w:r>
              <w:rPr>
                <w:rFonts w:ascii="仿宋_GB2312" w:hAnsi="仿宋_GB2312" w:cs="仿宋_GB2312" w:eastAsia="仿宋_GB2312"/>
                <w:sz w:val="20"/>
              </w:rPr>
              <w:t>、服务人员</w:t>
            </w:r>
            <w:r>
              <w:rPr>
                <w:rFonts w:ascii="仿宋_GB2312" w:hAnsi="仿宋_GB2312" w:cs="仿宋_GB2312" w:eastAsia="仿宋_GB2312"/>
                <w:sz w:val="20"/>
              </w:rPr>
              <w:t>须</w:t>
            </w:r>
            <w:r>
              <w:rPr>
                <w:rFonts w:ascii="仿宋_GB2312" w:hAnsi="仿宋_GB2312" w:cs="仿宋_GB2312" w:eastAsia="仿宋_GB2312"/>
                <w:sz w:val="20"/>
              </w:rPr>
              <w:t>取得直线加速器培训资</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6</w:t>
            </w:r>
            <w:r>
              <w:rPr>
                <w:rFonts w:ascii="仿宋_GB2312" w:hAnsi="仿宋_GB2312" w:cs="仿宋_GB2312" w:eastAsia="仿宋_GB2312"/>
                <w:sz w:val="20"/>
              </w:rPr>
              <w:t>、年开机率</w:t>
            </w:r>
            <w:r>
              <w:rPr>
                <w:rFonts w:ascii="仿宋_GB2312" w:hAnsi="仿宋_GB2312" w:cs="仿宋_GB2312" w:eastAsia="仿宋_GB2312"/>
                <w:sz w:val="20"/>
              </w:rPr>
              <w:t>≥</w:t>
            </w:r>
            <w:r>
              <w:rPr>
                <w:rFonts w:ascii="仿宋_GB2312" w:hAnsi="仿宋_GB2312" w:cs="仿宋_GB2312" w:eastAsia="仿宋_GB2312"/>
                <w:sz w:val="20"/>
              </w:rPr>
              <w:t>95％，即每年停机不超过18天（按一年365天计算），超过时间按1：</w:t>
            </w:r>
            <w:r>
              <w:rPr>
                <w:rFonts w:ascii="仿宋_GB2312" w:hAnsi="仿宋_GB2312" w:cs="仿宋_GB2312" w:eastAsia="仿宋_GB2312"/>
                <w:sz w:val="20"/>
              </w:rPr>
              <w:t>3</w:t>
            </w:r>
            <w:r>
              <w:rPr>
                <w:rFonts w:ascii="仿宋_GB2312" w:hAnsi="仿宋_GB2312" w:cs="仿宋_GB2312" w:eastAsia="仿宋_GB2312"/>
                <w:sz w:val="20"/>
              </w:rPr>
              <w:t>顺延。</w:t>
            </w:r>
          </w:p>
          <w:p>
            <w:pPr>
              <w:pStyle w:val="null3"/>
              <w:jc w:val="both"/>
            </w:pPr>
            <w:r>
              <w:rPr>
                <w:rFonts w:ascii="仿宋_GB2312" w:hAnsi="仿宋_GB2312" w:cs="仿宋_GB2312" w:eastAsia="仿宋_GB2312"/>
                <w:sz w:val="20"/>
              </w:rPr>
              <w:t>7</w:t>
            </w:r>
            <w:r>
              <w:rPr>
                <w:rFonts w:ascii="仿宋_GB2312" w:hAnsi="仿宋_GB2312" w:cs="仿宋_GB2312" w:eastAsia="仿宋_GB2312"/>
                <w:sz w:val="20"/>
              </w:rPr>
              <w:t>、须提供全套完整的系统安全性升级补丁，确保设备安全稳定运行。包括但不限于：（</w:t>
            </w:r>
            <w:r>
              <w:rPr>
                <w:rFonts w:ascii="仿宋_GB2312" w:hAnsi="仿宋_GB2312" w:cs="仿宋_GB2312" w:eastAsia="仿宋_GB2312"/>
                <w:sz w:val="20"/>
              </w:rPr>
              <w:t>1）持续监控设备是否需要升级；（2）提供安全性升级；（3）提供建议性升级；（4）记录升级程序。</w:t>
            </w:r>
            <w:r>
              <w:rPr>
                <w:rFonts w:ascii="仿宋_GB2312" w:hAnsi="仿宋_GB2312" w:cs="仿宋_GB2312" w:eastAsia="仿宋_GB2312"/>
                <w:sz w:val="20"/>
                <w:b/>
              </w:rPr>
              <w:t>（提供</w:t>
            </w:r>
            <w:r>
              <w:rPr>
                <w:rFonts w:ascii="仿宋_GB2312" w:hAnsi="仿宋_GB2312" w:cs="仿宋_GB2312" w:eastAsia="仿宋_GB2312"/>
                <w:sz w:val="20"/>
                <w:b/>
              </w:rPr>
              <w:t>承诺函</w:t>
            </w:r>
            <w:r>
              <w:rPr>
                <w:rFonts w:ascii="仿宋_GB2312" w:hAnsi="仿宋_GB2312" w:cs="仿宋_GB2312" w:eastAsia="仿宋_GB2312"/>
                <w:sz w:val="20"/>
                <w:b/>
              </w:rPr>
              <w:t>）</w:t>
            </w:r>
          </w:p>
          <w:p>
            <w:pPr>
              <w:pStyle w:val="null3"/>
              <w:ind w:left="15"/>
              <w:jc w:val="both"/>
            </w:pPr>
            <w:r>
              <w:rPr>
                <w:rFonts w:ascii="仿宋_GB2312" w:hAnsi="仿宋_GB2312" w:cs="仿宋_GB2312" w:eastAsia="仿宋_GB2312"/>
                <w:sz w:val="20"/>
              </w:rPr>
              <w:t>8</w:t>
            </w:r>
            <w:r>
              <w:rPr>
                <w:rFonts w:ascii="仿宋_GB2312" w:hAnsi="仿宋_GB2312" w:cs="仿宋_GB2312" w:eastAsia="仿宋_GB2312"/>
                <w:sz w:val="20"/>
              </w:rPr>
              <w:t>、</w:t>
            </w:r>
            <w:r>
              <w:rPr>
                <w:rFonts w:ascii="仿宋_GB2312" w:hAnsi="仿宋_GB2312" w:cs="仿宋_GB2312" w:eastAsia="仿宋_GB2312"/>
                <w:sz w:val="20"/>
              </w:rPr>
              <w:t>有备品备件仓库</w:t>
            </w:r>
            <w:r>
              <w:rPr>
                <w:rFonts w:ascii="仿宋_GB2312" w:hAnsi="仿宋_GB2312" w:cs="仿宋_GB2312" w:eastAsia="仿宋_GB2312"/>
                <w:sz w:val="20"/>
                <w:b/>
              </w:rPr>
              <w:t>（提供备件仓库证明</w:t>
            </w:r>
            <w:r>
              <w:rPr>
                <w:rFonts w:ascii="仿宋_GB2312" w:hAnsi="仿宋_GB2312" w:cs="仿宋_GB2312" w:eastAsia="仿宋_GB2312"/>
                <w:sz w:val="20"/>
                <w:b/>
              </w:rPr>
              <w:t>材料</w:t>
            </w:r>
            <w:r>
              <w:rPr>
                <w:rFonts w:ascii="仿宋_GB2312" w:hAnsi="仿宋_GB2312" w:cs="仿宋_GB2312" w:eastAsia="仿宋_GB2312"/>
                <w:sz w:val="20"/>
                <w:b/>
              </w:rPr>
              <w:t>）</w:t>
            </w:r>
            <w:r>
              <w:rPr>
                <w:rFonts w:ascii="仿宋_GB2312" w:hAnsi="仿宋_GB2312" w:cs="仿宋_GB2312" w:eastAsia="仿宋_GB2312"/>
                <w:sz w:val="20"/>
              </w:rPr>
              <w:t>；</w:t>
            </w:r>
            <w:r>
              <w:rPr>
                <w:rFonts w:ascii="仿宋_GB2312" w:hAnsi="仿宋_GB2312" w:cs="仿宋_GB2312" w:eastAsia="仿宋_GB2312"/>
                <w:sz w:val="20"/>
              </w:rPr>
              <w:t>服务商</w:t>
            </w:r>
            <w:r>
              <w:rPr>
                <w:rFonts w:ascii="仿宋_GB2312" w:hAnsi="仿宋_GB2312" w:cs="仿宋_GB2312" w:eastAsia="仿宋_GB2312"/>
                <w:sz w:val="20"/>
              </w:rPr>
              <w:t>在仓库内所存储的用于维修的零件的种类，并提供常备零件清单</w:t>
            </w:r>
            <w:r>
              <w:rPr>
                <w:rFonts w:ascii="仿宋_GB2312" w:hAnsi="仿宋_GB2312" w:cs="仿宋_GB2312" w:eastAsia="仿宋_GB2312"/>
                <w:sz w:val="20"/>
                <w:b/>
              </w:rPr>
              <w:t>。</w:t>
            </w:r>
          </w:p>
          <w:p>
            <w:pPr>
              <w:pStyle w:val="null3"/>
              <w:jc w:val="both"/>
            </w:pPr>
            <w:r>
              <w:rPr>
                <w:rFonts w:ascii="仿宋_GB2312" w:hAnsi="仿宋_GB2312" w:cs="仿宋_GB2312" w:eastAsia="仿宋_GB2312"/>
                <w:sz w:val="20"/>
              </w:rPr>
              <w:t>9</w:t>
            </w:r>
            <w:r>
              <w:rPr>
                <w:rFonts w:ascii="仿宋_GB2312" w:hAnsi="仿宋_GB2312" w:cs="仿宋_GB2312" w:eastAsia="仿宋_GB2312"/>
                <w:sz w:val="20"/>
              </w:rPr>
              <w:t>、提供设备远程诊断和远程接入系统支持服务，必须能够远程连接设备并且实时监控设备状态。</w:t>
            </w:r>
            <w:r>
              <w:rPr>
                <w:rFonts w:ascii="仿宋_GB2312" w:hAnsi="仿宋_GB2312" w:cs="仿宋_GB2312" w:eastAsia="仿宋_GB2312"/>
                <w:sz w:val="20"/>
                <w:b/>
              </w:rPr>
              <w:t>（提供证明资料）</w:t>
            </w:r>
          </w:p>
          <w:p>
            <w:pPr>
              <w:pStyle w:val="null3"/>
              <w:jc w:val="both"/>
            </w:pPr>
            <w:r>
              <w:rPr>
                <w:rFonts w:ascii="仿宋_GB2312" w:hAnsi="仿宋_GB2312" w:cs="仿宋_GB2312" w:eastAsia="仿宋_GB2312"/>
                <w:sz w:val="20"/>
              </w:rPr>
              <w:t>10、建立完备的维修维护档案：包含维修记录、保养记录、巡检记录等，每合同年度结束后，提供设备运行年度总结报告</w:t>
            </w:r>
            <w:r>
              <w:rPr>
                <w:rFonts w:ascii="仿宋_GB2312" w:hAnsi="仿宋_GB2312" w:cs="仿宋_GB2312" w:eastAsia="仿宋_GB2312"/>
                <w:sz w:val="20"/>
              </w:rPr>
              <w:t>并装订成册</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11、</w:t>
            </w:r>
            <w:r>
              <w:rPr>
                <w:rFonts w:ascii="仿宋_GB2312" w:hAnsi="仿宋_GB2312" w:cs="仿宋_GB2312" w:eastAsia="仿宋_GB2312"/>
                <w:sz w:val="20"/>
              </w:rPr>
              <w:t>保养机器，更换加速管等核心备件后，绝对剂量，对称性，平坦度都不能超过正负</w:t>
            </w:r>
            <w:r>
              <w:rPr>
                <w:rFonts w:ascii="仿宋_GB2312" w:hAnsi="仿宋_GB2312" w:cs="仿宋_GB2312" w:eastAsia="仿宋_GB2312"/>
                <w:sz w:val="20"/>
              </w:rPr>
              <w:t>2%，要达国标，满足临床科室使用。</w:t>
            </w:r>
          </w:p>
          <w:p>
            <w:pPr>
              <w:pStyle w:val="null3"/>
              <w:jc w:val="both"/>
            </w:pPr>
            <w:r>
              <w:rPr>
                <w:rFonts w:ascii="仿宋_GB2312" w:hAnsi="仿宋_GB2312" w:cs="仿宋_GB2312" w:eastAsia="仿宋_GB2312"/>
                <w:sz w:val="20"/>
              </w:rPr>
              <w:t>12、</w:t>
            </w:r>
            <w:r>
              <w:rPr>
                <w:rFonts w:ascii="仿宋_GB2312" w:hAnsi="仿宋_GB2312" w:cs="仿宋_GB2312" w:eastAsia="仿宋_GB2312"/>
                <w:sz w:val="20"/>
              </w:rPr>
              <w:t>服务商</w:t>
            </w:r>
            <w:r>
              <w:rPr>
                <w:rFonts w:ascii="仿宋_GB2312" w:hAnsi="仿宋_GB2312" w:cs="仿宋_GB2312" w:eastAsia="仿宋_GB2312"/>
                <w:sz w:val="20"/>
              </w:rPr>
              <w:t>须提供</w:t>
            </w:r>
            <w:r>
              <w:rPr>
                <w:rFonts w:ascii="仿宋_GB2312" w:hAnsi="仿宋_GB2312" w:cs="仿宋_GB2312" w:eastAsia="仿宋_GB2312"/>
                <w:sz w:val="20"/>
              </w:rPr>
              <w:t>Laserguard防碰撞升级服务并保证不违反国家有关知识产权的法律规定。</w:t>
            </w:r>
          </w:p>
          <w:p>
            <w:pPr>
              <w:pStyle w:val="null3"/>
              <w:jc w:val="both"/>
            </w:pPr>
            <w:r>
              <w:rPr>
                <w:rFonts w:ascii="仿宋_GB2312" w:hAnsi="仿宋_GB2312" w:cs="仿宋_GB2312" w:eastAsia="仿宋_GB2312"/>
                <w:sz w:val="20"/>
              </w:rPr>
              <w:t>1</w:t>
            </w:r>
            <w:r>
              <w:rPr>
                <w:rFonts w:ascii="仿宋_GB2312" w:hAnsi="仿宋_GB2312" w:cs="仿宋_GB2312" w:eastAsia="仿宋_GB2312"/>
                <w:sz w:val="20"/>
              </w:rPr>
              <w:t>3</w:t>
            </w:r>
            <w:r>
              <w:rPr>
                <w:rFonts w:ascii="仿宋_GB2312" w:hAnsi="仿宋_GB2312" w:cs="仿宋_GB2312" w:eastAsia="仿宋_GB2312"/>
                <w:sz w:val="20"/>
              </w:rPr>
              <w:t>、保修期满前</w:t>
            </w:r>
            <w:r>
              <w:rPr>
                <w:rFonts w:ascii="仿宋_GB2312" w:hAnsi="仿宋_GB2312" w:cs="仿宋_GB2312" w:eastAsia="仿宋_GB2312"/>
                <w:sz w:val="20"/>
              </w:rPr>
              <w:t>1个月，</w:t>
            </w:r>
            <w:r>
              <w:rPr>
                <w:rFonts w:ascii="仿宋_GB2312" w:hAnsi="仿宋_GB2312" w:cs="仿宋_GB2312" w:eastAsia="仿宋_GB2312"/>
                <w:sz w:val="20"/>
              </w:rPr>
              <w:t>须</w:t>
            </w:r>
            <w:r>
              <w:rPr>
                <w:rFonts w:ascii="仿宋_GB2312" w:hAnsi="仿宋_GB2312" w:cs="仿宋_GB2312" w:eastAsia="仿宋_GB2312"/>
                <w:sz w:val="20"/>
              </w:rPr>
              <w:t>派</w:t>
            </w:r>
            <w:r>
              <w:rPr>
                <w:rFonts w:ascii="仿宋_GB2312" w:hAnsi="仿宋_GB2312" w:cs="仿宋_GB2312" w:eastAsia="仿宋_GB2312"/>
                <w:sz w:val="20"/>
              </w:rPr>
              <w:t>人</w:t>
            </w:r>
            <w:r>
              <w:rPr>
                <w:rFonts w:ascii="仿宋_GB2312" w:hAnsi="仿宋_GB2312" w:cs="仿宋_GB2312" w:eastAsia="仿宋_GB2312"/>
                <w:sz w:val="20"/>
              </w:rPr>
              <w:t>员上门全面检测，</w:t>
            </w:r>
            <w:r>
              <w:rPr>
                <w:rFonts w:ascii="仿宋_GB2312" w:hAnsi="仿宋_GB2312" w:cs="仿宋_GB2312" w:eastAsia="仿宋_GB2312"/>
                <w:sz w:val="20"/>
              </w:rPr>
              <w:t>确保各项</w:t>
            </w:r>
            <w:r>
              <w:rPr>
                <w:rFonts w:ascii="仿宋_GB2312" w:hAnsi="仿宋_GB2312" w:cs="仿宋_GB2312" w:eastAsia="仿宋_GB2312"/>
                <w:sz w:val="20"/>
              </w:rPr>
              <w:t>指标达标。</w:t>
            </w:r>
          </w:p>
          <w:p>
            <w:pPr>
              <w:pStyle w:val="null3"/>
              <w:jc w:val="both"/>
              <w:outlineLvl w:val="1"/>
            </w:pPr>
            <w:r>
              <w:rPr>
                <w:rFonts w:ascii="仿宋_GB2312" w:hAnsi="仿宋_GB2312" w:cs="仿宋_GB2312" w:eastAsia="仿宋_GB2312"/>
                <w:sz w:val="20"/>
                <w:b/>
              </w:rPr>
              <w:t>1</w:t>
            </w:r>
            <w:r>
              <w:rPr>
                <w:rFonts w:ascii="仿宋_GB2312" w:hAnsi="仿宋_GB2312" w:cs="仿宋_GB2312" w:eastAsia="仿宋_GB2312"/>
                <w:sz w:val="20"/>
                <w:b/>
              </w:rPr>
              <w:t>4</w:t>
            </w:r>
            <w:r>
              <w:rPr>
                <w:rFonts w:ascii="仿宋_GB2312" w:hAnsi="仿宋_GB2312" w:cs="仿宋_GB2312" w:eastAsia="仿宋_GB2312"/>
                <w:sz w:val="20"/>
                <w:b/>
              </w:rPr>
              <w:t>、每年提供</w:t>
            </w:r>
            <w:r>
              <w:rPr>
                <w:rFonts w:ascii="仿宋_GB2312" w:hAnsi="仿宋_GB2312" w:cs="仿宋_GB2312" w:eastAsia="仿宋_GB2312"/>
                <w:sz w:val="20"/>
                <w:b/>
              </w:rPr>
              <w:t>≥</w:t>
            </w:r>
            <w:r>
              <w:rPr>
                <w:rFonts w:ascii="仿宋_GB2312" w:hAnsi="仿宋_GB2312" w:cs="仿宋_GB2312" w:eastAsia="仿宋_GB2312"/>
                <w:sz w:val="20"/>
                <w:b/>
              </w:rPr>
              <w:t>4人次的操作使用、维修维护、物理质控及新功能拓展的现场或远程培训。</w:t>
            </w:r>
          </w:p>
          <w:p>
            <w:pPr>
              <w:pStyle w:val="null3"/>
              <w:jc w:val="both"/>
            </w:pPr>
            <w:r>
              <w:rPr>
                <w:rFonts w:ascii="仿宋_GB2312" w:hAnsi="仿宋_GB2312" w:cs="仿宋_GB2312" w:eastAsia="仿宋_GB2312"/>
                <w:sz w:val="20"/>
              </w:rPr>
              <w:t>1</w:t>
            </w:r>
            <w:r>
              <w:rPr>
                <w:rFonts w:ascii="仿宋_GB2312" w:hAnsi="仿宋_GB2312" w:cs="仿宋_GB2312" w:eastAsia="仿宋_GB2312"/>
                <w:sz w:val="20"/>
              </w:rPr>
              <w:t>5</w:t>
            </w:r>
            <w:r>
              <w:rPr>
                <w:rFonts w:ascii="仿宋_GB2312" w:hAnsi="仿宋_GB2312" w:cs="仿宋_GB2312" w:eastAsia="仿宋_GB2312"/>
                <w:sz w:val="20"/>
              </w:rPr>
              <w:t>.服务地点及服务质量：</w:t>
            </w:r>
          </w:p>
          <w:p>
            <w:pPr>
              <w:pStyle w:val="null3"/>
              <w:ind w:firstLine="800"/>
              <w:jc w:val="both"/>
            </w:pPr>
            <w:r>
              <w:rPr>
                <w:rFonts w:ascii="仿宋_GB2312" w:hAnsi="仿宋_GB2312" w:cs="仿宋_GB2312" w:eastAsia="仿宋_GB2312"/>
                <w:sz w:val="20"/>
              </w:rPr>
              <w:t>1</w:t>
            </w:r>
            <w:r>
              <w:rPr>
                <w:rFonts w:ascii="仿宋_GB2312" w:hAnsi="仿宋_GB2312" w:cs="仿宋_GB2312" w:eastAsia="仿宋_GB2312"/>
                <w:sz w:val="20"/>
              </w:rPr>
              <w:t>5</w:t>
            </w:r>
            <w:r>
              <w:rPr>
                <w:rFonts w:ascii="仿宋_GB2312" w:hAnsi="仿宋_GB2312" w:cs="仿宋_GB2312" w:eastAsia="仿宋_GB2312"/>
                <w:sz w:val="20"/>
              </w:rPr>
              <w:t>.</w:t>
            </w:r>
            <w:r>
              <w:rPr>
                <w:rFonts w:ascii="仿宋_GB2312" w:hAnsi="仿宋_GB2312" w:cs="仿宋_GB2312" w:eastAsia="仿宋_GB2312"/>
                <w:sz w:val="20"/>
              </w:rPr>
              <w:t>1</w:t>
            </w:r>
            <w:r>
              <w:rPr>
                <w:rFonts w:ascii="仿宋_GB2312" w:hAnsi="仿宋_GB2312" w:cs="仿宋_GB2312" w:eastAsia="仿宋_GB2312"/>
                <w:sz w:val="20"/>
              </w:rPr>
              <w:t xml:space="preserve"> </w:t>
            </w:r>
            <w:r>
              <w:rPr>
                <w:rFonts w:ascii="仿宋_GB2312" w:hAnsi="仿宋_GB2312" w:cs="仿宋_GB2312" w:eastAsia="仿宋_GB2312"/>
                <w:sz w:val="20"/>
              </w:rPr>
              <w:t>服务地点：</w:t>
            </w:r>
            <w:r>
              <w:rPr>
                <w:rFonts w:ascii="仿宋_GB2312" w:hAnsi="仿宋_GB2312" w:cs="仿宋_GB2312" w:eastAsia="仿宋_GB2312"/>
                <w:sz w:val="20"/>
              </w:rPr>
              <w:t>宝鸡市中医医院</w:t>
            </w:r>
            <w:r>
              <w:rPr>
                <w:rFonts w:ascii="仿宋_GB2312" w:hAnsi="仿宋_GB2312" w:cs="仿宋_GB2312" w:eastAsia="仿宋_GB2312"/>
                <w:sz w:val="20"/>
              </w:rPr>
              <w:t>（采购人指定地点）</w:t>
            </w:r>
          </w:p>
          <w:p>
            <w:pPr>
              <w:pStyle w:val="null3"/>
              <w:spacing w:after="120"/>
              <w:ind w:firstLine="800"/>
              <w:jc w:val="both"/>
            </w:pPr>
            <w:r>
              <w:rPr>
                <w:rFonts w:ascii="仿宋_GB2312" w:hAnsi="仿宋_GB2312" w:cs="仿宋_GB2312" w:eastAsia="仿宋_GB2312"/>
                <w:sz w:val="20"/>
              </w:rPr>
              <w:t>1</w:t>
            </w:r>
            <w:r>
              <w:rPr>
                <w:rFonts w:ascii="仿宋_GB2312" w:hAnsi="仿宋_GB2312" w:cs="仿宋_GB2312" w:eastAsia="仿宋_GB2312"/>
                <w:sz w:val="20"/>
              </w:rPr>
              <w:t>5</w:t>
            </w:r>
            <w:r>
              <w:rPr>
                <w:rFonts w:ascii="仿宋_GB2312" w:hAnsi="仿宋_GB2312" w:cs="仿宋_GB2312" w:eastAsia="仿宋_GB2312"/>
                <w:sz w:val="20"/>
              </w:rPr>
              <w:t>.</w:t>
            </w:r>
            <w:r>
              <w:rPr>
                <w:rFonts w:ascii="仿宋_GB2312" w:hAnsi="仿宋_GB2312" w:cs="仿宋_GB2312" w:eastAsia="仿宋_GB2312"/>
                <w:sz w:val="20"/>
              </w:rPr>
              <w:t>2</w:t>
            </w:r>
            <w:r>
              <w:rPr>
                <w:rFonts w:ascii="仿宋_GB2312" w:hAnsi="仿宋_GB2312" w:cs="仿宋_GB2312" w:eastAsia="仿宋_GB2312"/>
                <w:sz w:val="20"/>
              </w:rPr>
              <w:t xml:space="preserve"> </w:t>
            </w:r>
            <w:r>
              <w:rPr>
                <w:rFonts w:ascii="仿宋_GB2312" w:hAnsi="仿宋_GB2312" w:cs="仿宋_GB2312" w:eastAsia="仿宋_GB2312"/>
                <w:sz w:val="20"/>
              </w:rPr>
              <w:t>服务期：保修期</w:t>
            </w:r>
            <w:r>
              <w:rPr>
                <w:rFonts w:ascii="仿宋_GB2312" w:hAnsi="仿宋_GB2312" w:cs="仿宋_GB2312" w:eastAsia="仿宋_GB2312"/>
                <w:sz w:val="20"/>
              </w:rPr>
              <w:t>1年，从合同签订次日起算</w:t>
            </w:r>
          </w:p>
          <w:p>
            <w:pPr>
              <w:pStyle w:val="null3"/>
              <w:spacing w:after="120"/>
              <w:ind w:firstLine="800"/>
              <w:jc w:val="both"/>
            </w:pPr>
            <w:r>
              <w:rPr>
                <w:rFonts w:ascii="仿宋_GB2312" w:hAnsi="仿宋_GB2312" w:cs="仿宋_GB2312" w:eastAsia="仿宋_GB2312"/>
                <w:sz w:val="20"/>
              </w:rPr>
              <w:t>15.3</w:t>
            </w:r>
            <w:r>
              <w:rPr>
                <w:rFonts w:ascii="仿宋_GB2312" w:hAnsi="仿宋_GB2312" w:cs="仿宋_GB2312" w:eastAsia="仿宋_GB2312"/>
                <w:sz w:val="20"/>
              </w:rPr>
              <w:t>服务质量：质量达到现行合格标准，符合国家、行业、地方规定以及采购人</w:t>
            </w:r>
            <w:r>
              <w:rPr>
                <w:rFonts w:ascii="仿宋_GB2312" w:hAnsi="仿宋_GB2312" w:cs="仿宋_GB2312" w:eastAsia="仿宋_GB2312"/>
                <w:sz w:val="20"/>
              </w:rPr>
              <w:t>规定的合格质量及安全标准要求</w:t>
            </w:r>
          </w:p>
          <w:p>
            <w:pPr>
              <w:pStyle w:val="null3"/>
              <w:jc w:val="both"/>
            </w:pPr>
            <w:r>
              <w:rPr>
                <w:rFonts w:ascii="仿宋_GB2312" w:hAnsi="仿宋_GB2312" w:cs="仿宋_GB2312" w:eastAsia="仿宋_GB2312"/>
                <w:sz w:val="20"/>
              </w:rPr>
              <w:t>16</w:t>
            </w:r>
            <w:r>
              <w:rPr>
                <w:rFonts w:ascii="仿宋_GB2312" w:hAnsi="仿宋_GB2312" w:cs="仿宋_GB2312" w:eastAsia="仿宋_GB2312"/>
                <w:sz w:val="20"/>
              </w:rPr>
              <w:t>.付款方式：</w:t>
            </w:r>
          </w:p>
          <w:p>
            <w:pPr>
              <w:pStyle w:val="null3"/>
              <w:ind w:firstLine="400"/>
              <w:jc w:val="both"/>
            </w:pPr>
            <w:r>
              <w:rPr>
                <w:rFonts w:ascii="仿宋_GB2312" w:hAnsi="仿宋_GB2312" w:cs="仿宋_GB2312" w:eastAsia="仿宋_GB2312"/>
                <w:sz w:val="20"/>
                <w:color w:val="000000"/>
              </w:rPr>
              <w:t>16.1预付款，合同签订后，达到付款条件起10个⼯作⽇内，⽀付合同总⾦额的20.0%</w:t>
            </w:r>
          </w:p>
          <w:p>
            <w:pPr>
              <w:pStyle w:val="null3"/>
              <w:ind w:firstLine="400"/>
              <w:jc w:val="both"/>
            </w:pPr>
            <w:r>
              <w:rPr>
                <w:rFonts w:ascii="仿宋_GB2312" w:hAnsi="仿宋_GB2312" w:cs="仿宋_GB2312" w:eastAsia="仿宋_GB2312"/>
                <w:sz w:val="20"/>
                <w:color w:val="000000"/>
              </w:rPr>
              <w:t>16.2进度款，合同期中（服务期满6个⽉或其他），达到付款条件起10个⼯作⽇内，⽀付合同总⾦额的50.0%</w:t>
            </w:r>
          </w:p>
          <w:p>
            <w:pPr>
              <w:pStyle w:val="null3"/>
              <w:jc w:val="left"/>
            </w:pPr>
            <w:r>
              <w:rPr>
                <w:rFonts w:ascii="仿宋_GB2312" w:hAnsi="仿宋_GB2312" w:cs="仿宋_GB2312" w:eastAsia="仿宋_GB2312"/>
                <w:sz w:val="20"/>
                <w:color w:val="000000"/>
              </w:rPr>
              <w:t xml:space="preserve">    16.3进度款，合同到期，达到付款条件起10个⼯作⽇内，⽀付合同总⾦额的30.0%</w:t>
            </w:r>
          </w:p>
        </w:tc>
      </w:tr>
    </w:tbl>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标的名称：64排CT维保</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0"/>
              </w:rPr>
              <w:t>1</w:t>
            </w:r>
            <w:r>
              <w:rPr>
                <w:rFonts w:ascii="仿宋_GB2312" w:hAnsi="仿宋_GB2312" w:cs="仿宋_GB2312" w:eastAsia="仿宋_GB2312"/>
                <w:sz w:val="20"/>
              </w:rPr>
              <w:t>、基本信息</w:t>
            </w:r>
          </w:p>
          <w:p>
            <w:pPr>
              <w:pStyle w:val="null3"/>
              <w:jc w:val="both"/>
            </w:pPr>
            <w:r>
              <w:rPr>
                <w:rFonts w:ascii="仿宋_GB2312" w:hAnsi="仿宋_GB2312" w:cs="仿宋_GB2312" w:eastAsia="仿宋_GB2312"/>
                <w:sz w:val="20"/>
              </w:rPr>
              <w:t>1.1</w:t>
            </w:r>
            <w:r>
              <w:rPr>
                <w:rFonts w:ascii="仿宋_GB2312" w:hAnsi="仿宋_GB2312" w:cs="仿宋_GB2312" w:eastAsia="仿宋_GB2312"/>
                <w:sz w:val="20"/>
              </w:rPr>
              <w:t>设备名称：</w:t>
            </w:r>
            <w:r>
              <w:rPr>
                <w:rFonts w:ascii="仿宋_GB2312" w:hAnsi="仿宋_GB2312" w:cs="仿宋_GB2312" w:eastAsia="仿宋_GB2312"/>
                <w:sz w:val="20"/>
              </w:rPr>
              <w:t>GE Optima CT660（64排螺旋CT）；</w:t>
            </w:r>
          </w:p>
          <w:p>
            <w:pPr>
              <w:pStyle w:val="null3"/>
              <w:jc w:val="both"/>
            </w:pPr>
            <w:r>
              <w:rPr>
                <w:rFonts w:ascii="仿宋_GB2312" w:hAnsi="仿宋_GB2312" w:cs="仿宋_GB2312" w:eastAsia="仿宋_GB2312"/>
                <w:sz w:val="20"/>
              </w:rPr>
              <w:t>1.2</w:t>
            </w:r>
            <w:r>
              <w:rPr>
                <w:rFonts w:ascii="仿宋_GB2312" w:hAnsi="仿宋_GB2312" w:cs="仿宋_GB2312" w:eastAsia="仿宋_GB2312"/>
                <w:sz w:val="20"/>
              </w:rPr>
              <w:t>维保模式：整机全保（含球管、探测器等</w:t>
            </w:r>
            <w:r>
              <w:rPr>
                <w:rFonts w:ascii="仿宋_GB2312" w:hAnsi="仿宋_GB2312" w:cs="仿宋_GB2312" w:eastAsia="仿宋_GB2312"/>
                <w:sz w:val="20"/>
              </w:rPr>
              <w:t>全部</w:t>
            </w:r>
            <w:r>
              <w:rPr>
                <w:rFonts w:ascii="仿宋_GB2312" w:hAnsi="仿宋_GB2312" w:cs="仿宋_GB2312" w:eastAsia="仿宋_GB2312"/>
                <w:sz w:val="20"/>
              </w:rPr>
              <w:t>配件）；</w:t>
            </w:r>
          </w:p>
          <w:p>
            <w:pPr>
              <w:pStyle w:val="null3"/>
              <w:jc w:val="both"/>
            </w:pPr>
            <w:r>
              <w:rPr>
                <w:rFonts w:ascii="仿宋_GB2312" w:hAnsi="仿宋_GB2312" w:cs="仿宋_GB2312" w:eastAsia="仿宋_GB2312"/>
                <w:sz w:val="20"/>
              </w:rPr>
              <w:t>1.3服务期</w:t>
            </w:r>
            <w:r>
              <w:rPr>
                <w:rFonts w:ascii="仿宋_GB2312" w:hAnsi="仿宋_GB2312" w:cs="仿宋_GB2312" w:eastAsia="仿宋_GB2312"/>
                <w:sz w:val="20"/>
              </w:rPr>
              <w:t>：保修期</w:t>
            </w:r>
            <w:r>
              <w:rPr>
                <w:rFonts w:ascii="仿宋_GB2312" w:hAnsi="仿宋_GB2312" w:cs="仿宋_GB2312" w:eastAsia="仿宋_GB2312"/>
                <w:sz w:val="20"/>
              </w:rPr>
              <w:t>1年，从合同签订次日起算</w:t>
            </w:r>
          </w:p>
          <w:p>
            <w:pPr>
              <w:pStyle w:val="null3"/>
              <w:jc w:val="both"/>
            </w:pPr>
            <w:r>
              <w:rPr>
                <w:rFonts w:ascii="仿宋_GB2312" w:hAnsi="仿宋_GB2312" w:cs="仿宋_GB2312" w:eastAsia="仿宋_GB2312"/>
                <w:sz w:val="20"/>
              </w:rPr>
              <w:t>1.4</w:t>
            </w:r>
            <w:r>
              <w:rPr>
                <w:rFonts w:ascii="仿宋_GB2312" w:hAnsi="仿宋_GB2312" w:cs="仿宋_GB2312" w:eastAsia="仿宋_GB2312"/>
                <w:sz w:val="20"/>
              </w:rPr>
              <w:t>设备数量：</w:t>
            </w:r>
            <w:r>
              <w:rPr>
                <w:rFonts w:ascii="仿宋_GB2312" w:hAnsi="仿宋_GB2312" w:cs="仿宋_GB2312" w:eastAsia="仿宋_GB2312"/>
                <w:sz w:val="20"/>
              </w:rPr>
              <w:t>1台。</w:t>
            </w:r>
          </w:p>
          <w:p>
            <w:pPr>
              <w:pStyle w:val="null3"/>
              <w:jc w:val="both"/>
            </w:pPr>
            <w:r>
              <w:rPr>
                <w:rFonts w:ascii="仿宋_GB2312" w:hAnsi="仿宋_GB2312" w:cs="仿宋_GB2312" w:eastAsia="仿宋_GB2312"/>
                <w:sz w:val="20"/>
              </w:rPr>
              <w:t>2</w:t>
            </w:r>
            <w:r>
              <w:rPr>
                <w:rFonts w:ascii="仿宋_GB2312" w:hAnsi="仿宋_GB2312" w:cs="仿宋_GB2312" w:eastAsia="仿宋_GB2312"/>
                <w:sz w:val="20"/>
              </w:rPr>
              <w:t>、服务要求</w:t>
            </w:r>
          </w:p>
          <w:p>
            <w:pPr>
              <w:pStyle w:val="null3"/>
              <w:jc w:val="both"/>
            </w:pPr>
            <w:r>
              <w:rPr>
                <w:rFonts w:ascii="仿宋_GB2312" w:hAnsi="仿宋_GB2312" w:cs="仿宋_GB2312" w:eastAsia="仿宋_GB2312"/>
                <w:sz w:val="20"/>
              </w:rPr>
              <w:t>2.2</w:t>
            </w:r>
            <w:r>
              <w:rPr>
                <w:rFonts w:ascii="仿宋_GB2312" w:hAnsi="仿宋_GB2312" w:cs="仿宋_GB2312" w:eastAsia="仿宋_GB2312"/>
                <w:sz w:val="20"/>
              </w:rPr>
              <w:t>提供</w:t>
            </w:r>
            <w:r>
              <w:rPr>
                <w:rFonts w:ascii="仿宋_GB2312" w:hAnsi="仿宋_GB2312" w:cs="仿宋_GB2312" w:eastAsia="仿宋_GB2312"/>
                <w:sz w:val="20"/>
              </w:rPr>
              <w:t>24×365 天全天候维修响应，设立专用技术服务热线。</w:t>
            </w:r>
          </w:p>
          <w:p>
            <w:pPr>
              <w:pStyle w:val="null3"/>
              <w:jc w:val="both"/>
            </w:pPr>
            <w:r>
              <w:rPr>
                <w:rFonts w:ascii="仿宋_GB2312" w:hAnsi="仿宋_GB2312" w:cs="仿宋_GB2312" w:eastAsia="仿宋_GB2312"/>
                <w:sz w:val="20"/>
              </w:rPr>
              <w:t>2.2</w:t>
            </w:r>
            <w:r>
              <w:rPr>
                <w:rFonts w:ascii="仿宋_GB2312" w:hAnsi="仿宋_GB2312" w:cs="仿宋_GB2312" w:eastAsia="仿宋_GB2312"/>
                <w:sz w:val="20"/>
              </w:rPr>
              <w:t>响应时效：接到报修后</w:t>
            </w:r>
            <w:r>
              <w:rPr>
                <w:rFonts w:ascii="仿宋_GB2312" w:hAnsi="仿宋_GB2312" w:cs="仿宋_GB2312" w:eastAsia="仿宋_GB2312"/>
                <w:sz w:val="20"/>
              </w:rPr>
              <w:t>1小时内电话响应；电话指导无法排除故障时，工程师须在 ≤</w:t>
            </w:r>
            <w:r>
              <w:rPr>
                <w:rFonts w:ascii="仿宋_GB2312" w:hAnsi="仿宋_GB2312" w:cs="仿宋_GB2312" w:eastAsia="仿宋_GB2312"/>
                <w:sz w:val="20"/>
              </w:rPr>
              <w:t>12</w:t>
            </w:r>
            <w:r>
              <w:rPr>
                <w:rFonts w:ascii="仿宋_GB2312" w:hAnsi="仿宋_GB2312" w:cs="仿宋_GB2312" w:eastAsia="仿宋_GB2312"/>
                <w:sz w:val="20"/>
              </w:rPr>
              <w:t>小时内到达现场；设备修复时间</w:t>
            </w:r>
            <w:r>
              <w:rPr>
                <w:rFonts w:ascii="仿宋_GB2312" w:hAnsi="仿宋_GB2312" w:cs="仿宋_GB2312" w:eastAsia="仿宋_GB2312"/>
                <w:sz w:val="20"/>
              </w:rPr>
              <w:t>≤72小时。</w:t>
            </w:r>
          </w:p>
          <w:p>
            <w:pPr>
              <w:pStyle w:val="null3"/>
              <w:jc w:val="both"/>
            </w:pPr>
            <w:r>
              <w:rPr>
                <w:rFonts w:ascii="仿宋_GB2312" w:hAnsi="仿宋_GB2312" w:cs="仿宋_GB2312" w:eastAsia="仿宋_GB2312"/>
                <w:sz w:val="20"/>
              </w:rPr>
              <w:t>3、</w:t>
            </w:r>
            <w:r>
              <w:rPr>
                <w:rFonts w:ascii="仿宋_GB2312" w:hAnsi="仿宋_GB2312" w:cs="仿宋_GB2312" w:eastAsia="仿宋_GB2312"/>
                <w:sz w:val="20"/>
              </w:rPr>
              <w:t>开机率保证：保证设备全年开机率</w:t>
            </w:r>
            <w:r>
              <w:rPr>
                <w:rFonts w:ascii="仿宋_GB2312" w:hAnsi="仿宋_GB2312" w:cs="仿宋_GB2312" w:eastAsia="仿宋_GB2312"/>
                <w:sz w:val="20"/>
              </w:rPr>
              <w:t>≥95%（</w:t>
            </w:r>
            <w:r>
              <w:rPr>
                <w:rFonts w:ascii="仿宋_GB2312" w:hAnsi="仿宋_GB2312" w:cs="仿宋_GB2312" w:eastAsia="仿宋_GB2312"/>
                <w:sz w:val="20"/>
              </w:rPr>
              <w:t>全年</w:t>
            </w:r>
            <w:r>
              <w:rPr>
                <w:rFonts w:ascii="仿宋_GB2312" w:hAnsi="仿宋_GB2312" w:cs="仿宋_GB2312" w:eastAsia="仿宋_GB2312"/>
                <w:sz w:val="20"/>
              </w:rPr>
              <w:t>按</w:t>
            </w:r>
            <w:r>
              <w:rPr>
                <w:rFonts w:ascii="仿宋_GB2312" w:hAnsi="仿宋_GB2312" w:cs="仿宋_GB2312" w:eastAsia="仿宋_GB2312"/>
                <w:sz w:val="20"/>
              </w:rPr>
              <w:t>365天计算，年停机时间累计不超过18天；</w:t>
            </w:r>
            <w:r>
              <w:rPr>
                <w:rFonts w:ascii="仿宋_GB2312" w:hAnsi="仿宋_GB2312" w:cs="仿宋_GB2312" w:eastAsia="仿宋_GB2312"/>
                <w:sz w:val="20"/>
              </w:rPr>
              <w:t>停机每超</w:t>
            </w:r>
            <w:r>
              <w:rPr>
                <w:rFonts w:ascii="仿宋_GB2312" w:hAnsi="仿宋_GB2312" w:cs="仿宋_GB2312" w:eastAsia="仿宋_GB2312"/>
                <w:sz w:val="20"/>
              </w:rPr>
              <w:t>1天，顺延3天的维保服务期。</w:t>
            </w:r>
          </w:p>
          <w:p>
            <w:pPr>
              <w:pStyle w:val="null3"/>
              <w:jc w:val="both"/>
            </w:pPr>
            <w:r>
              <w:rPr>
                <w:rFonts w:ascii="仿宋_GB2312" w:hAnsi="仿宋_GB2312" w:cs="仿宋_GB2312" w:eastAsia="仿宋_GB2312"/>
                <w:sz w:val="20"/>
              </w:rPr>
              <w:t>4</w:t>
            </w:r>
            <w:r>
              <w:rPr>
                <w:rFonts w:ascii="仿宋_GB2312" w:hAnsi="仿宋_GB2312" w:cs="仿宋_GB2312" w:eastAsia="仿宋_GB2312"/>
                <w:sz w:val="20"/>
              </w:rPr>
              <w:t>、服务期内每年提供</w:t>
            </w:r>
            <w:r>
              <w:rPr>
                <w:rFonts w:ascii="仿宋_GB2312" w:hAnsi="仿宋_GB2312" w:cs="仿宋_GB2312" w:eastAsia="仿宋_GB2312"/>
                <w:sz w:val="20"/>
              </w:rPr>
              <w:t>≥4次（每季度1次）定期预防性保养，不得以维修代替保养，每次保养须包含以下内容并提交书面保养报告及年度评估报告</w:t>
            </w:r>
            <w:r>
              <w:rPr>
                <w:rFonts w:ascii="仿宋_GB2312" w:hAnsi="仿宋_GB2312" w:cs="仿宋_GB2312" w:eastAsia="仿宋_GB2312"/>
                <w:sz w:val="20"/>
              </w:rPr>
              <w:t>，</w:t>
            </w:r>
            <w:r>
              <w:rPr>
                <w:rFonts w:ascii="仿宋_GB2312" w:hAnsi="仿宋_GB2312" w:cs="仿宋_GB2312" w:eastAsia="仿宋_GB2312"/>
                <w:sz w:val="20"/>
              </w:rPr>
              <w:t>报告包括</w:t>
            </w:r>
            <w:r>
              <w:rPr>
                <w:rFonts w:ascii="仿宋_GB2312" w:hAnsi="仿宋_GB2312" w:cs="仿宋_GB2312" w:eastAsia="仿宋_GB2312"/>
                <w:sz w:val="20"/>
              </w:rPr>
              <w:t>安全检测</w:t>
            </w:r>
            <w:r>
              <w:rPr>
                <w:rFonts w:ascii="仿宋_GB2312" w:hAnsi="仿宋_GB2312" w:cs="仿宋_GB2312" w:eastAsia="仿宋_GB2312"/>
                <w:sz w:val="20"/>
              </w:rPr>
              <w:t>、</w:t>
            </w:r>
            <w:r>
              <w:rPr>
                <w:rFonts w:ascii="仿宋_GB2312" w:hAnsi="仿宋_GB2312" w:cs="仿宋_GB2312" w:eastAsia="仿宋_GB2312"/>
                <w:sz w:val="20"/>
              </w:rPr>
              <w:t>清洁保养</w:t>
            </w:r>
            <w:r>
              <w:rPr>
                <w:rFonts w:ascii="仿宋_GB2312" w:hAnsi="仿宋_GB2312" w:cs="仿宋_GB2312" w:eastAsia="仿宋_GB2312"/>
                <w:sz w:val="20"/>
              </w:rPr>
              <w:t>、</w:t>
            </w:r>
            <w:r>
              <w:rPr>
                <w:rFonts w:ascii="仿宋_GB2312" w:hAnsi="仿宋_GB2312" w:cs="仿宋_GB2312" w:eastAsia="仿宋_GB2312"/>
                <w:sz w:val="20"/>
              </w:rPr>
              <w:t>性能校准</w:t>
            </w:r>
            <w:r>
              <w:rPr>
                <w:rFonts w:ascii="仿宋_GB2312" w:hAnsi="仿宋_GB2312" w:cs="仿宋_GB2312" w:eastAsia="仿宋_GB2312"/>
                <w:sz w:val="20"/>
              </w:rPr>
              <w:t>、</w:t>
            </w:r>
            <w:r>
              <w:rPr>
                <w:rFonts w:ascii="仿宋_GB2312" w:hAnsi="仿宋_GB2312" w:cs="仿宋_GB2312" w:eastAsia="仿宋_GB2312"/>
                <w:sz w:val="20"/>
              </w:rPr>
              <w:t>软件与数据。</w:t>
            </w:r>
          </w:p>
          <w:p>
            <w:pPr>
              <w:pStyle w:val="null3"/>
              <w:jc w:val="both"/>
            </w:pPr>
            <w:r>
              <w:rPr>
                <w:rFonts w:ascii="仿宋_GB2312" w:hAnsi="仿宋_GB2312" w:cs="仿宋_GB2312" w:eastAsia="仿宋_GB2312"/>
                <w:sz w:val="20"/>
              </w:rPr>
              <w:t>5</w:t>
            </w:r>
            <w:r>
              <w:rPr>
                <w:rFonts w:ascii="仿宋_GB2312" w:hAnsi="仿宋_GB2312" w:cs="仿宋_GB2312" w:eastAsia="仿宋_GB2312"/>
                <w:sz w:val="20"/>
              </w:rPr>
              <w:t>、更换零配件须为正规厂商生产、合法来源且与本设备匹配，所更换的配件安装后要达到设备安全运行标准。</w:t>
            </w:r>
          </w:p>
          <w:p>
            <w:pPr>
              <w:pStyle w:val="null3"/>
              <w:jc w:val="both"/>
            </w:pPr>
            <w:r>
              <w:rPr>
                <w:rFonts w:ascii="仿宋_GB2312" w:hAnsi="仿宋_GB2312" w:cs="仿宋_GB2312" w:eastAsia="仿宋_GB2312"/>
                <w:sz w:val="20"/>
              </w:rPr>
              <w:t>6、必须有专业维修工程师。</w:t>
            </w:r>
          </w:p>
          <w:p>
            <w:pPr>
              <w:pStyle w:val="null3"/>
              <w:jc w:val="both"/>
            </w:pPr>
            <w:r>
              <w:rPr>
                <w:rFonts w:ascii="仿宋_GB2312" w:hAnsi="仿宋_GB2312" w:cs="仿宋_GB2312" w:eastAsia="仿宋_GB2312"/>
                <w:sz w:val="20"/>
              </w:rPr>
              <w:t>7、具有充足的配件供应库存（提供证明材料）。</w:t>
            </w:r>
          </w:p>
          <w:p>
            <w:pPr>
              <w:pStyle w:val="null3"/>
              <w:jc w:val="both"/>
            </w:pPr>
            <w:r>
              <w:rPr>
                <w:rFonts w:ascii="仿宋_GB2312" w:hAnsi="仿宋_GB2312" w:cs="仿宋_GB2312" w:eastAsia="仿宋_GB2312"/>
                <w:sz w:val="20"/>
              </w:rPr>
              <w:t>8</w:t>
            </w:r>
            <w:r>
              <w:rPr>
                <w:rFonts w:ascii="仿宋_GB2312" w:hAnsi="仿宋_GB2312" w:cs="仿宋_GB2312" w:eastAsia="仿宋_GB2312"/>
                <w:sz w:val="20"/>
              </w:rPr>
              <w:t>、提供维保期内的系统安全性改版、补丁及非功能性升级，保证软件版本合规安全。</w:t>
            </w:r>
          </w:p>
          <w:p>
            <w:pPr>
              <w:pStyle w:val="null3"/>
              <w:jc w:val="both"/>
            </w:pPr>
            <w:r>
              <w:rPr>
                <w:rFonts w:ascii="仿宋_GB2312" w:hAnsi="仿宋_GB2312" w:cs="仿宋_GB2312" w:eastAsia="仿宋_GB2312"/>
                <w:sz w:val="20"/>
              </w:rPr>
              <w:t>9</w:t>
            </w:r>
            <w:r>
              <w:rPr>
                <w:rFonts w:ascii="仿宋_GB2312" w:hAnsi="仿宋_GB2312" w:cs="仿宋_GB2312" w:eastAsia="仿宋_GB2312"/>
                <w:sz w:val="20"/>
              </w:rPr>
              <w:t>、每次维修</w:t>
            </w:r>
            <w:r>
              <w:rPr>
                <w:rFonts w:ascii="仿宋_GB2312" w:hAnsi="仿宋_GB2312" w:cs="仿宋_GB2312" w:eastAsia="仿宋_GB2312"/>
                <w:sz w:val="20"/>
              </w:rPr>
              <w:t>/保养后须填写《维修保养记录单》，由科室签字确认</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10、</w:t>
            </w:r>
            <w:r>
              <w:rPr>
                <w:rFonts w:ascii="仿宋_GB2312" w:hAnsi="仿宋_GB2312" w:cs="仿宋_GB2312" w:eastAsia="仿宋_GB2312"/>
                <w:sz w:val="20"/>
              </w:rPr>
              <w:t>年终提交完整的年度维保总结报告</w:t>
            </w:r>
            <w:r>
              <w:rPr>
                <w:rFonts w:ascii="仿宋_GB2312" w:hAnsi="仿宋_GB2312" w:cs="仿宋_GB2312" w:eastAsia="仿宋_GB2312"/>
                <w:sz w:val="20"/>
              </w:rPr>
              <w:t>并装订成册</w:t>
            </w:r>
            <w:r>
              <w:rPr>
                <w:rFonts w:ascii="仿宋_GB2312" w:hAnsi="仿宋_GB2312" w:cs="仿宋_GB2312" w:eastAsia="仿宋_GB2312"/>
                <w:sz w:val="20"/>
              </w:rPr>
              <w:t>（含故障统计、开机率分析、改进建议）。</w:t>
            </w:r>
          </w:p>
          <w:p>
            <w:pPr>
              <w:pStyle w:val="null3"/>
              <w:jc w:val="both"/>
              <w:outlineLvl w:val="1"/>
            </w:pPr>
            <w:r>
              <w:rPr>
                <w:rFonts w:ascii="仿宋_GB2312" w:hAnsi="仿宋_GB2312" w:cs="仿宋_GB2312" w:eastAsia="仿宋_GB2312"/>
                <w:sz w:val="20"/>
                <w:b/>
              </w:rPr>
              <w:t>11</w:t>
            </w:r>
            <w:r>
              <w:rPr>
                <w:rFonts w:ascii="仿宋_GB2312" w:hAnsi="仿宋_GB2312" w:cs="仿宋_GB2312" w:eastAsia="仿宋_GB2312"/>
                <w:sz w:val="20"/>
                <w:b/>
              </w:rPr>
              <w:t>、每年提供不少于</w:t>
            </w:r>
            <w:r>
              <w:rPr>
                <w:rFonts w:ascii="仿宋_GB2312" w:hAnsi="仿宋_GB2312" w:cs="仿宋_GB2312" w:eastAsia="仿宋_GB2312"/>
                <w:sz w:val="20"/>
                <w:b/>
              </w:rPr>
              <w:t>1～3人次的设备操作优化及初级维护培训。</w:t>
            </w:r>
          </w:p>
          <w:p>
            <w:pPr>
              <w:pStyle w:val="null3"/>
              <w:jc w:val="both"/>
            </w:pPr>
            <w:r>
              <w:rPr>
                <w:rFonts w:ascii="仿宋_GB2312" w:hAnsi="仿宋_GB2312" w:cs="仿宋_GB2312" w:eastAsia="仿宋_GB2312"/>
                <w:sz w:val="20"/>
              </w:rPr>
              <w:t>1</w:t>
            </w:r>
            <w:r>
              <w:rPr>
                <w:rFonts w:ascii="仿宋_GB2312" w:hAnsi="仿宋_GB2312" w:cs="仿宋_GB2312" w:eastAsia="仿宋_GB2312"/>
                <w:sz w:val="20"/>
              </w:rPr>
              <w:t>2</w:t>
            </w:r>
            <w:r>
              <w:rPr>
                <w:rFonts w:ascii="仿宋_GB2312" w:hAnsi="仿宋_GB2312" w:cs="仿宋_GB2312" w:eastAsia="仿宋_GB2312"/>
                <w:sz w:val="20"/>
              </w:rPr>
              <w:t>.服务地点及服务质量：</w:t>
            </w:r>
          </w:p>
          <w:p>
            <w:pPr>
              <w:pStyle w:val="null3"/>
              <w:ind w:firstLine="800"/>
              <w:jc w:val="both"/>
            </w:pPr>
            <w:r>
              <w:rPr>
                <w:rFonts w:ascii="仿宋_GB2312" w:hAnsi="仿宋_GB2312" w:cs="仿宋_GB2312" w:eastAsia="仿宋_GB2312"/>
                <w:sz w:val="20"/>
              </w:rPr>
              <w:t>1</w:t>
            </w:r>
            <w:r>
              <w:rPr>
                <w:rFonts w:ascii="仿宋_GB2312" w:hAnsi="仿宋_GB2312" w:cs="仿宋_GB2312" w:eastAsia="仿宋_GB2312"/>
                <w:sz w:val="20"/>
              </w:rPr>
              <w:t>2</w:t>
            </w:r>
            <w:r>
              <w:rPr>
                <w:rFonts w:ascii="仿宋_GB2312" w:hAnsi="仿宋_GB2312" w:cs="仿宋_GB2312" w:eastAsia="仿宋_GB2312"/>
                <w:sz w:val="20"/>
              </w:rPr>
              <w:t>.</w:t>
            </w:r>
            <w:r>
              <w:rPr>
                <w:rFonts w:ascii="仿宋_GB2312" w:hAnsi="仿宋_GB2312" w:cs="仿宋_GB2312" w:eastAsia="仿宋_GB2312"/>
                <w:sz w:val="20"/>
              </w:rPr>
              <w:t>1</w:t>
            </w:r>
            <w:r>
              <w:rPr>
                <w:rFonts w:ascii="仿宋_GB2312" w:hAnsi="仿宋_GB2312" w:cs="仿宋_GB2312" w:eastAsia="仿宋_GB2312"/>
                <w:sz w:val="20"/>
              </w:rPr>
              <w:t xml:space="preserve"> </w:t>
            </w:r>
            <w:r>
              <w:rPr>
                <w:rFonts w:ascii="仿宋_GB2312" w:hAnsi="仿宋_GB2312" w:cs="仿宋_GB2312" w:eastAsia="仿宋_GB2312"/>
                <w:sz w:val="20"/>
              </w:rPr>
              <w:t>服务地点：</w:t>
            </w:r>
            <w:r>
              <w:rPr>
                <w:rFonts w:ascii="仿宋_GB2312" w:hAnsi="仿宋_GB2312" w:cs="仿宋_GB2312" w:eastAsia="仿宋_GB2312"/>
                <w:sz w:val="20"/>
              </w:rPr>
              <w:t>宝鸡市中医医院</w:t>
            </w:r>
            <w:r>
              <w:rPr>
                <w:rFonts w:ascii="仿宋_GB2312" w:hAnsi="仿宋_GB2312" w:cs="仿宋_GB2312" w:eastAsia="仿宋_GB2312"/>
                <w:sz w:val="20"/>
              </w:rPr>
              <w:t>（采购人指定地点）</w:t>
            </w:r>
          </w:p>
          <w:p>
            <w:pPr>
              <w:pStyle w:val="null3"/>
              <w:spacing w:after="120"/>
              <w:ind w:firstLine="800"/>
              <w:jc w:val="both"/>
            </w:pPr>
            <w:r>
              <w:rPr>
                <w:rFonts w:ascii="仿宋_GB2312" w:hAnsi="仿宋_GB2312" w:cs="仿宋_GB2312" w:eastAsia="仿宋_GB2312"/>
                <w:sz w:val="20"/>
              </w:rPr>
              <w:t>1</w:t>
            </w:r>
            <w:r>
              <w:rPr>
                <w:rFonts w:ascii="仿宋_GB2312" w:hAnsi="仿宋_GB2312" w:cs="仿宋_GB2312" w:eastAsia="仿宋_GB2312"/>
                <w:sz w:val="20"/>
              </w:rPr>
              <w:t>2</w:t>
            </w:r>
            <w:r>
              <w:rPr>
                <w:rFonts w:ascii="仿宋_GB2312" w:hAnsi="仿宋_GB2312" w:cs="仿宋_GB2312" w:eastAsia="仿宋_GB2312"/>
                <w:sz w:val="20"/>
              </w:rPr>
              <w:t>.</w:t>
            </w:r>
            <w:r>
              <w:rPr>
                <w:rFonts w:ascii="仿宋_GB2312" w:hAnsi="仿宋_GB2312" w:cs="仿宋_GB2312" w:eastAsia="仿宋_GB2312"/>
                <w:sz w:val="20"/>
              </w:rPr>
              <w:t>2</w:t>
            </w:r>
            <w:r>
              <w:rPr>
                <w:rFonts w:ascii="仿宋_GB2312" w:hAnsi="仿宋_GB2312" w:cs="仿宋_GB2312" w:eastAsia="仿宋_GB2312"/>
                <w:sz w:val="20"/>
              </w:rPr>
              <w:t xml:space="preserve"> </w:t>
            </w:r>
            <w:r>
              <w:rPr>
                <w:rFonts w:ascii="仿宋_GB2312" w:hAnsi="仿宋_GB2312" w:cs="仿宋_GB2312" w:eastAsia="仿宋_GB2312"/>
                <w:sz w:val="20"/>
              </w:rPr>
              <w:t>服务质量：质量达到现行合格标准，符合国家、行业、地方规定以及采购人</w:t>
            </w:r>
            <w:r>
              <w:rPr>
                <w:rFonts w:ascii="仿宋_GB2312" w:hAnsi="仿宋_GB2312" w:cs="仿宋_GB2312" w:eastAsia="仿宋_GB2312"/>
                <w:sz w:val="20"/>
              </w:rPr>
              <w:t>规定的合格质量及安全标准要求</w:t>
            </w:r>
          </w:p>
          <w:p>
            <w:pPr>
              <w:pStyle w:val="null3"/>
              <w:jc w:val="both"/>
            </w:pPr>
            <w:r>
              <w:rPr>
                <w:rFonts w:ascii="仿宋_GB2312" w:hAnsi="仿宋_GB2312" w:cs="仿宋_GB2312" w:eastAsia="仿宋_GB2312"/>
                <w:sz w:val="20"/>
              </w:rPr>
              <w:t>13</w:t>
            </w:r>
            <w:r>
              <w:rPr>
                <w:rFonts w:ascii="仿宋_GB2312" w:hAnsi="仿宋_GB2312" w:cs="仿宋_GB2312" w:eastAsia="仿宋_GB2312"/>
                <w:sz w:val="20"/>
              </w:rPr>
              <w:t>.付款方式：</w:t>
            </w:r>
          </w:p>
          <w:p>
            <w:pPr>
              <w:pStyle w:val="null3"/>
              <w:ind w:firstLine="400"/>
              <w:jc w:val="both"/>
            </w:pPr>
            <w:r>
              <w:rPr>
                <w:rFonts w:ascii="仿宋_GB2312" w:hAnsi="仿宋_GB2312" w:cs="仿宋_GB2312" w:eastAsia="仿宋_GB2312"/>
                <w:sz w:val="20"/>
                <w:color w:val="000000"/>
              </w:rPr>
              <w:t>13.1预付款，合同签订后，达到付款条件起10个⼯作⽇内，⽀付合同总⾦额的20.0%</w:t>
            </w:r>
          </w:p>
          <w:p>
            <w:pPr>
              <w:pStyle w:val="null3"/>
              <w:ind w:firstLine="400"/>
              <w:jc w:val="both"/>
            </w:pPr>
            <w:r>
              <w:rPr>
                <w:rFonts w:ascii="仿宋_GB2312" w:hAnsi="仿宋_GB2312" w:cs="仿宋_GB2312" w:eastAsia="仿宋_GB2312"/>
                <w:sz w:val="20"/>
                <w:color w:val="000000"/>
              </w:rPr>
              <w:t>13.2进度款，合同期中（服务期满6个⽉或其他），达到付款条件起10个⼯作⽇内，⽀付合同总⾦额的50.0%</w:t>
            </w:r>
          </w:p>
          <w:p>
            <w:pPr>
              <w:pStyle w:val="null3"/>
              <w:spacing w:after="195"/>
            </w:pPr>
            <w:r>
              <w:rPr>
                <w:rFonts w:ascii="仿宋_GB2312" w:hAnsi="仿宋_GB2312" w:cs="仿宋_GB2312" w:eastAsia="仿宋_GB2312"/>
                <w:sz w:val="20"/>
                <w:color w:val="000000"/>
              </w:rPr>
              <w:t xml:space="preserve">    13.3进度款，合同到期，达到付款条件起10个⼯作⽇内，⽀付合同总⾦额的30.0%</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满足项目采购要求配备。</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满足项目采购要求配备。</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满足项目采购要求配备。</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满足项目采购要求配备。</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满足项目采购要求配备</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满足项目采购要求配备</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满足项目采购要求配备</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满足项目采购要求配备</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服务期： 保修期1年，从合同签订次⽇起算。</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服务期： 保修期1年，从合同签订次⽇起算。</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服务期： 保修期1年，从合同签订次⽇起算。</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服务期： 保修期1年，从合同签订次⽇起算。</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宝鸡市中医医院指定地点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宝鸡市中医医院指定地点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宝鸡市中医医院指定地点</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宝鸡市中医医院指定地点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1.服务期满，具备验收条件后，由供应商向采购人提出验收申请，采购人负责组织项目验收。 2.验收组织：成立由采购人、供应商以及其他有关人员组成的验收小组，负责对整个服务进行全面的验收。 3.验收标准：依据磋商文件、投标文件、合同及相关需求文档等方面全面组织验收。 4.验收条件：整理本次项目相关文档，提交给采购人。所有合同范围内业务服务均全部完成。 5.验收合格后，由采购人出具验收报告。</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1.服务期满，具备验收条件后，由供应商向采购人提出验收申请，采购人负责组织项目验收。 2.验收组织：成立由采购人、供应商以及其他有关人员组成的验收小组，负责对整个服务进行全面的验收。 3.验收标准：依据磋商文件、投标文件、合同及相关需求文档等方面全面组织验收。 4.验收条件：整理本次项目相关文档，提交给采购人。所有合同范围内业务服务均全部完成。 5.验收合格后，由采购人出具验收报告。</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1.服务期满，具备验收条件后，由供应商向采购人提出验收申请，采购人负责组织项目验收。 2.验收组织：成立由采购人、供应商以及其他有关人员组成的验收小组，负责对整个服务进行全面的验收。 3.验收标准：依据磋商文件、投标文件、合同及相关需求文档等方面全面组织验收。 4.验收条件：整理本次项目相关文档，提交给采购人。所有合同范围内业务服务均全部完成。 5.验收合格后，由采购人出具验收报告。</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1.服务期满，具备验收条件后，由供应商向采购人提出验收申请，采购人负责组织项目验收。 2.验收组织：成立由采购人、供应商以及其他有关人员组成的验收小组，负责对整个服务进行全面的验收。 3.验收标准：依据磋商文件、投标文件、合同及相关需求文档等方面全面组织验收。 4.验收条件：整理本次项目相关文档，提交给采购人。所有合同范围内业务服务均全部完成。 5.验收合格后，由采购人出具验收报告。</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预付款，合同签订后，达到付款条件起10个工作日内，支付合同总金额的20.0%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进度款，合同期中（服务期满6个月或其他），达到付款条件起10个工作日内，支付合同总金额的50.0%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进度款，合同到期，达到付款条件起10个工作日内，支付合同总金额的30.0%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预付款，合同签订后，达到付款条件起10个工作日内，支付合同总金额的20.0%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进度款，合同期中（服务期满6个月或其他），达到付款条件起10个工作日内，支付合同总金额的50.0%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进度款，合同到期，达到付款条件起10个工作日内，支付合同总金额的30.0%</w:t>
      </w:r>
    </w:p>
    <w:p>
      <w:pPr>
        <w:pStyle w:val="null3"/>
      </w:pPr>
      <w:r>
        <w:rPr>
          <w:rFonts w:ascii="仿宋_GB2312" w:hAnsi="仿宋_GB2312" w:cs="仿宋_GB2312" w:eastAsia="仿宋_GB2312"/>
        </w:rPr>
        <w:t>采购包3：</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预付款，合同签订后，达到付款条件起10个工作日内，支付合同总金额的20.0%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进度款，合同期中（服务期满6个月或其他），达到付款条件起10个工作日内，支付合同总金额的50.0%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进度款，合同到期，达到付款条件起10个工作日内，支付合同总金额的30.0%</w:t>
      </w:r>
    </w:p>
    <w:p>
      <w:pPr>
        <w:pStyle w:val="null3"/>
      </w:pPr>
      <w:r>
        <w:rPr>
          <w:rFonts w:ascii="仿宋_GB2312" w:hAnsi="仿宋_GB2312" w:cs="仿宋_GB2312" w:eastAsia="仿宋_GB2312"/>
        </w:rPr>
        <w:t>采购包4：</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预付款，合同签订后，达到付款条件起10个工作日内，支付合同总金额的20.0%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进度款，合同期中（服务期满6个月或其他），达到付款条件起10个工作日内，支付合同总金额的50.0%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进度款，合同到期，达到付款条件起10个工作日内，支付合同总金额的30.0%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1.双方应严格按照本合同履行义务，若未能履行义务而造成的损失，需承担违约责任。 2.在执行本合同中发生与本合同有关的争端，甲乙双方应通过友好协商解决，协商不成的，任一方可向甲方所在地人民法院起诉。</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1.双方应严格按照本合同履行义务，若未能履行义务而造成的损失，需承担违约责任。 2.在执行本合同中发生与本合同有关的争端，甲乙双方应通过友好协商解决，协商不成的，任一方可向甲方所在地人民法院起诉。</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1.双方应严格按照本合同履行义务，若未能履行义务而造成的损失，需承担违约责任。 2.在执行本合同中发生与本合同有关的争端，甲乙双方应通过友好协商解决，协商不成的，任一方可向甲方所在地人民法院起诉。</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1.双方应严格按照本合同履行义务，若未能履行义务而造成的损失，需承担违约责任。 2.在执行本合同中发生与本合同有关的争端，甲乙双方应通过友好协商解决，协商不成的，任一方可向甲方所在地人民法院起诉。</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采购标的对应的中小企业划分标准所属行业为其他未列明行业。其他未列明行业的划型标准为：从业人员300人以下的为中小微型企业。其中，从业人员100人及以上的为中型企业；从业人员10人及以上的为小型企业；从业人员10人以下的为微型企业。。 2.需要落实的政府采购政策：（1）《国务院办公厅关于建立政府强制采购节能产品制度的通知》（国办发〔2007〕51号）；（2）《财政部 司法部关于政府采购支持监狱企业发展有关问题的通知》（财库〔2014〕68号）；（3）《三部门联合发布关于促进残疾人就业政府采购政策的通知》（财库〔2017〕141号）；（4）《财政部 发展改革委 生态环境部 市场监管总局关于调整优化节能产品、环境标志产品政府采购执行机制的通知》（财库〔2019〕9号）；（5）《关于运用政府采购政策支持乡村产业振兴的通知》（财库〔2021〕19号）；（6）《政府采购促进中小企业发展管理办法》（财库〔2020〕46号）；（7）陕西省财政厅关于印发《陕西省中小企业政府采购信用融资办法》（陕财办采〔2018〕23号）；（8）《关于进一步加大政府采购支持中小企业力度的通知》（财库〔2022〕19号）；（9）《关于扩大政府采购支持绿色建材促进建筑品质提升政策实施范围的通知》（财库〔2022〕35号）；（10）《国务院办公厅关于在政府采购中实施本国产品标准及相关政策的通知》（国办发〔2025〕34号）。</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相关资格证明资料.docx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相关资格证明资料.docx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相关资格证明资料.docx 响应函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相关资格证明资料.docx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相关资格证明资料.docx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相关资格证明资料.docx 响应函</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相关资格证明资料.docx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相关资格证明资料.docx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相关资格证明资料.docx 响应函</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相关资格证明资料.docx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相关资格证明资料.docx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相关资格证明资料.docx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中华人民共和国境内注册，能够独立承担民事责任的法人、其他组织或自然人</w:t>
            </w:r>
          </w:p>
        </w:tc>
        <w:tc>
          <w:tcPr>
            <w:tcW w:type="dxa" w:w="3322"/>
          </w:tcPr>
          <w:p>
            <w:pPr>
              <w:pStyle w:val="null3"/>
            </w:pPr>
            <w:r>
              <w:rPr>
                <w:rFonts w:ascii="仿宋_GB2312" w:hAnsi="仿宋_GB2312" w:cs="仿宋_GB2312" w:eastAsia="仿宋_GB2312"/>
              </w:rPr>
              <w:t>法人或者其他组织提供营业执照、事业单位法人证书等证明文件，自然人提供身份证件，供应商需在项目电子化交易系统中按要求上传相应证明文件并进行电子签章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相关资格证明资料.docx 其他资料.docx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税收缴纳凭证及社会保险缴纳的凭证</w:t>
            </w:r>
          </w:p>
        </w:tc>
        <w:tc>
          <w:tcPr>
            <w:tcW w:type="dxa" w:w="3322"/>
          </w:tcPr>
          <w:p>
            <w:pPr>
              <w:pStyle w:val="null3"/>
            </w:pPr>
            <w:r>
              <w:rPr>
                <w:rFonts w:ascii="仿宋_GB2312" w:hAnsi="仿宋_GB2312" w:cs="仿宋_GB2312" w:eastAsia="仿宋_GB2312"/>
              </w:rPr>
              <w:t>供应商在本项目磋商响应文件递交截止时间前十二个月内任意一个月的税收缴纳凭证及社会保险缴纳的凭证。依法免税或不需要缴纳社会保障资金的供应商，应提供相应文件证明其依法免税或不需要缴纳社会保障资金，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相关资格证明资料.docx 其他资料.docx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w:t>
            </w:r>
          </w:p>
        </w:tc>
        <w:tc>
          <w:tcPr>
            <w:tcW w:type="dxa" w:w="3322"/>
          </w:tcPr>
          <w:p>
            <w:pPr>
              <w:pStyle w:val="null3"/>
            </w:pPr>
            <w:r>
              <w:rPr>
                <w:rFonts w:ascii="仿宋_GB2312" w:hAnsi="仿宋_GB2312" w:cs="仿宋_GB2312" w:eastAsia="仿宋_GB2312"/>
              </w:rPr>
              <w:t>供应商2024年度或2025年度经审计完整的财务报告（审计报告应当经过注册会计师行业统一监管平台备案赋码可查询：https://acc.mof.gov.cn/）或磋商响应文件递交截止时间前六个月内其基本账户银行出具的资信证明（附《基本存款账户信息》或《银行开户许可证》）；或提供专业担保机构出具的投标担保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相关资格证明资料.docx 其他资料.docx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参加政府采购活动前3年内在经营活动中没有重大违法记录的书面声明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相关资格证明资料.docx 其他资料.docx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履行合同所必需的设备和专业技术能力书面声明函</w:t>
            </w:r>
          </w:p>
        </w:tc>
        <w:tc>
          <w:tcPr>
            <w:tcW w:type="dxa" w:w="3322"/>
          </w:tcPr>
          <w:p>
            <w:pPr>
              <w:pStyle w:val="null3"/>
            </w:pPr>
            <w:r>
              <w:rPr>
                <w:rFonts w:ascii="仿宋_GB2312" w:hAnsi="仿宋_GB2312" w:cs="仿宋_GB2312" w:eastAsia="仿宋_GB2312"/>
              </w:rPr>
              <w:t>履行合同所必需的设备和专业技术能力书面声明函，供应商需在项目电子化交易系统中按要求上传相应证明文件并进行电子签章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相关资格证明资料.docx 其他资料.docx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投标的提供法定代表人身份证明及身份证，委托代理人参加投标的提供授权委托书及委托代理人身份证，并提供被授权代表开标截止前三个月内任意一个月在本单位的社会保险缴纳证明（法定代表人参加只需提供法定代表人身份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相关资格证明资料.docx 其他资料.docx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特殊资格条件</w:t>
            </w:r>
          </w:p>
        </w:tc>
        <w:tc>
          <w:tcPr>
            <w:tcW w:type="dxa" w:w="3322"/>
          </w:tcPr>
          <w:p>
            <w:pPr>
              <w:pStyle w:val="null3"/>
            </w:pPr>
            <w:r>
              <w:rPr>
                <w:rFonts w:ascii="仿宋_GB2312" w:hAnsi="仿宋_GB2312" w:cs="仿宋_GB2312" w:eastAsia="仿宋_GB2312"/>
              </w:rPr>
              <w:t>供应商为代理商的，所投产品纳入医疗器械管理的须提供《医疗器械经营许可证》或《医疗器械经营备案凭证》及所投产品医疗器械注册证或医疗器械备案凭证(含附件和附页)，并出具产品制造商的营业执照和医疗器械生产许可证；供应商为制造商的，所投产品纳入医疗器械管理的须提供《医疗器械经营许可证》或《医疗器械经营备案凭证》、《医疗器械生产许可证》及所投产品医疗器械注册证或医疗器械备案凭证(含附件和附页)，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相关资格证明资料.docx 其他资料.docx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信誉状况</w:t>
            </w:r>
          </w:p>
        </w:tc>
        <w:tc>
          <w:tcPr>
            <w:tcW w:type="dxa" w:w="3322"/>
          </w:tcPr>
          <w:p>
            <w:pPr>
              <w:pStyle w:val="null3"/>
            </w:pPr>
            <w:r>
              <w:rPr>
                <w:rFonts w:ascii="仿宋_GB2312" w:hAnsi="仿宋_GB2312" w:cs="仿宋_GB2312" w:eastAsia="仿宋_GB2312"/>
              </w:rPr>
              <w:t>供应商不得为“信用中国”网站（www.creditchina.gov.cn）中列入失信被执行人和重大税收违法失信主体的供应商，不得为中国政府采购网（www.ccgp.gov.cn）政府采购严重违法失信行为记录名单中被财政部门禁止参加政府采购活动的供应商，以响应文件递交截止时间后网站查询结果为准</w:t>
            </w:r>
          </w:p>
        </w:tc>
        <w:tc>
          <w:tcPr>
            <w:tcW w:type="dxa" w:w="1661"/>
          </w:tcPr>
          <w:p>
            <w:pPr>
              <w:pStyle w:val="null3"/>
            </w:pPr>
            <w:r>
              <w:rPr>
                <w:rFonts w:ascii="仿宋_GB2312" w:hAnsi="仿宋_GB2312" w:cs="仿宋_GB2312" w:eastAsia="仿宋_GB2312"/>
              </w:rPr>
              <w:t>相关资格证明资料.docx 其他资料.docx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中华人民共和国境内注册，能够独立承担民事责任的法人、其他组织或自然人</w:t>
            </w:r>
          </w:p>
        </w:tc>
        <w:tc>
          <w:tcPr>
            <w:tcW w:type="dxa" w:w="3322"/>
          </w:tcPr>
          <w:p>
            <w:pPr>
              <w:pStyle w:val="null3"/>
            </w:pPr>
            <w:r>
              <w:rPr>
                <w:rFonts w:ascii="仿宋_GB2312" w:hAnsi="仿宋_GB2312" w:cs="仿宋_GB2312" w:eastAsia="仿宋_GB2312"/>
              </w:rPr>
              <w:t>法人或者其他组织提供营业执照、事业单位法人证书等证明文件，自然人提供身份证件，供应商需在项目电子化交易系统中按要求上传相应证明文件并进行电子签章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相关资格证明资料.docx 其他资料.docx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税收缴纳凭证及社会保险缴纳的凭证</w:t>
            </w:r>
          </w:p>
        </w:tc>
        <w:tc>
          <w:tcPr>
            <w:tcW w:type="dxa" w:w="3322"/>
          </w:tcPr>
          <w:p>
            <w:pPr>
              <w:pStyle w:val="null3"/>
            </w:pPr>
            <w:r>
              <w:rPr>
                <w:rFonts w:ascii="仿宋_GB2312" w:hAnsi="仿宋_GB2312" w:cs="仿宋_GB2312" w:eastAsia="仿宋_GB2312"/>
              </w:rPr>
              <w:t>供应商在本项目磋商响应文件递交截止时间前十二个月内任意一个月的税收缴纳凭证及社会保险缴纳的凭证。依法免税或不需要缴纳社会保障资金的供应商，应提供相应文件证明其依法免税或不需要缴纳社会保障资金，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相关资格证明资料.docx 其他资料.docx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w:t>
            </w:r>
          </w:p>
        </w:tc>
        <w:tc>
          <w:tcPr>
            <w:tcW w:type="dxa" w:w="3322"/>
          </w:tcPr>
          <w:p>
            <w:pPr>
              <w:pStyle w:val="null3"/>
            </w:pPr>
            <w:r>
              <w:rPr>
                <w:rFonts w:ascii="仿宋_GB2312" w:hAnsi="仿宋_GB2312" w:cs="仿宋_GB2312" w:eastAsia="仿宋_GB2312"/>
              </w:rPr>
              <w:t>供应商2024年度或2025年度经审计完整的财务报告（审计报告应当经过注册会计师行业统一监管平台备案赋码可查询：https://acc.mof.gov.cn/）或磋商响应文件递交截止时间前六个月内其基本账户银行出具的资信证明（附《基本存款账户信息》或《银行开户许可证》）；或提供专业担保机构出具的投标担保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相关资格证明资料.docx 其他资料.docx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参加政府采购活动前3年内在经营活动中没有重大违法记录的书面声明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相关资格证明资料.docx 其他资料.docx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履行合同所必需的设备和专业技术能力书面声明函</w:t>
            </w:r>
          </w:p>
        </w:tc>
        <w:tc>
          <w:tcPr>
            <w:tcW w:type="dxa" w:w="3322"/>
          </w:tcPr>
          <w:p>
            <w:pPr>
              <w:pStyle w:val="null3"/>
            </w:pPr>
            <w:r>
              <w:rPr>
                <w:rFonts w:ascii="仿宋_GB2312" w:hAnsi="仿宋_GB2312" w:cs="仿宋_GB2312" w:eastAsia="仿宋_GB2312"/>
              </w:rPr>
              <w:t>履行合同所必需的设备和专业技术能力书面声明函，供应商需在项目电子化交易系统中按要求上传相应证明文件并进行电子签章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相关资格证明资料.docx 其他资料.docx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投标的提供法定代表人身份证明及身份证，委托代理人参加投标的提供授权委托书及委托代理人身份证，并提供被授权代表开标截止前三个月内任意一个月在本单位的社会保险缴纳证明（法定代表人参加只需提供法定代表人身份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相关资格证明资料.docx 其他资料.docx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特殊资格条件</w:t>
            </w:r>
          </w:p>
        </w:tc>
        <w:tc>
          <w:tcPr>
            <w:tcW w:type="dxa" w:w="3322"/>
          </w:tcPr>
          <w:p>
            <w:pPr>
              <w:pStyle w:val="null3"/>
            </w:pPr>
            <w:r>
              <w:rPr>
                <w:rFonts w:ascii="仿宋_GB2312" w:hAnsi="仿宋_GB2312" w:cs="仿宋_GB2312" w:eastAsia="仿宋_GB2312"/>
              </w:rPr>
              <w:t>供应商为代理商的，所投产品纳入医疗器械管理的须提供《医疗器械经营许可证》或《医疗器械经营备案凭证》及所投产品医疗器械注册证或医疗器械备案凭证(含附件和附页)，并出具产品制造商的营业执照和医疗器械生产许可证；供应商为制造商的，所投产品纳入医疗器械管理的须提供《医疗器械经营许可证》或《医疗器械经营备案凭证》、《医疗器械生产许可证》及所投产品医疗器械注册证或医疗器械备案凭证(含附件和附页)，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相关资格证明资料.docx 其他资料.docx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信誉状况</w:t>
            </w:r>
          </w:p>
        </w:tc>
        <w:tc>
          <w:tcPr>
            <w:tcW w:type="dxa" w:w="3322"/>
          </w:tcPr>
          <w:p>
            <w:pPr>
              <w:pStyle w:val="null3"/>
            </w:pPr>
            <w:r>
              <w:rPr>
                <w:rFonts w:ascii="仿宋_GB2312" w:hAnsi="仿宋_GB2312" w:cs="仿宋_GB2312" w:eastAsia="仿宋_GB2312"/>
              </w:rPr>
              <w:t>供应商不得为“信用中国”网站（www.creditchina.gov.cn）中列入失信被执行人和重大税收违法失信主体的供应商，不得为中国政府采购网（www.ccgp.gov.cn）政府采购严重违法失信行为记录名单中被财政部门禁止参加政府采购活动的供应商，以响应文件递交截止时间后网站查询结果为准</w:t>
            </w:r>
          </w:p>
        </w:tc>
        <w:tc>
          <w:tcPr>
            <w:tcW w:type="dxa" w:w="1661"/>
          </w:tcPr>
          <w:p>
            <w:pPr>
              <w:pStyle w:val="null3"/>
            </w:pPr>
            <w:r>
              <w:rPr>
                <w:rFonts w:ascii="仿宋_GB2312" w:hAnsi="仿宋_GB2312" w:cs="仿宋_GB2312" w:eastAsia="仿宋_GB2312"/>
              </w:rPr>
              <w:t>相关资格证明资料.docx 其他资料.docx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中华人民共和国境内注册，能够独立承担民事责任的法人、其他组织或自然人</w:t>
            </w:r>
          </w:p>
        </w:tc>
        <w:tc>
          <w:tcPr>
            <w:tcW w:type="dxa" w:w="3322"/>
          </w:tcPr>
          <w:p>
            <w:pPr>
              <w:pStyle w:val="null3"/>
            </w:pPr>
            <w:r>
              <w:rPr>
                <w:rFonts w:ascii="仿宋_GB2312" w:hAnsi="仿宋_GB2312" w:cs="仿宋_GB2312" w:eastAsia="仿宋_GB2312"/>
              </w:rPr>
              <w:t>法人或者其他组织提供营业执照、事业单位法人证书等证明文件，自然人提供身份证件，供应商需在项目电子化交易系统中按要求上传相应证明文件并进行电子签章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相关资格证明资料.docx 其他资料.docx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税收缴纳凭证及社会保险缴纳的凭证</w:t>
            </w:r>
          </w:p>
        </w:tc>
        <w:tc>
          <w:tcPr>
            <w:tcW w:type="dxa" w:w="3322"/>
          </w:tcPr>
          <w:p>
            <w:pPr>
              <w:pStyle w:val="null3"/>
            </w:pPr>
            <w:r>
              <w:rPr>
                <w:rFonts w:ascii="仿宋_GB2312" w:hAnsi="仿宋_GB2312" w:cs="仿宋_GB2312" w:eastAsia="仿宋_GB2312"/>
              </w:rPr>
              <w:t>供应商在本项目磋商响应文件递交截止时间前十二个月内任意一个月的税收缴纳凭证及社会保险缴纳的凭证。依法免税或不需要缴纳社会保障资金的供应商，应提供相应文件证明其依法免税或不需要缴纳社会保障资金，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相关资格证明资料.docx 其他资料.docx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w:t>
            </w:r>
          </w:p>
        </w:tc>
        <w:tc>
          <w:tcPr>
            <w:tcW w:type="dxa" w:w="3322"/>
          </w:tcPr>
          <w:p>
            <w:pPr>
              <w:pStyle w:val="null3"/>
            </w:pPr>
            <w:r>
              <w:rPr>
                <w:rFonts w:ascii="仿宋_GB2312" w:hAnsi="仿宋_GB2312" w:cs="仿宋_GB2312" w:eastAsia="仿宋_GB2312"/>
              </w:rPr>
              <w:t>供应商2024年度或2025年度经审计完整的财务报告（审计报告应当经过注册会计师行业统一监管平台备案赋码可查询：https://acc.mof.gov.cn/）或磋商响应文件递交截止时间前六个月内其基本账户银行出具的资信证明（附《基本存款账户信息》或《银行开户许可证》）；或提供专业担保机构出具的投标担保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相关资格证明资料.docx 其他资料.docx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参加政府采购活动前3年内在经营活动中没有重大违法记录的书面声明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相关资格证明资料.docx 其他资料.docx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履行合同所必需的设备和专业技术能力书面声明函</w:t>
            </w:r>
          </w:p>
        </w:tc>
        <w:tc>
          <w:tcPr>
            <w:tcW w:type="dxa" w:w="3322"/>
          </w:tcPr>
          <w:p>
            <w:pPr>
              <w:pStyle w:val="null3"/>
            </w:pPr>
            <w:r>
              <w:rPr>
                <w:rFonts w:ascii="仿宋_GB2312" w:hAnsi="仿宋_GB2312" w:cs="仿宋_GB2312" w:eastAsia="仿宋_GB2312"/>
              </w:rPr>
              <w:t>履行合同所必需的设备和专业技术能力书面声明函，供应商需在项目电子化交易系统中按要求上传相应证明文件并进行电子签章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相关资格证明资料.docx 其他资料.docx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投标的提供法定代表人身份证明及身份证，委托代理人参加投标的提供授权委托书及委托代理人身份证，并提供被授权代表开标截止前三个月内任意一个月在本单位的社会保险缴纳证明（法定代表人参加只需提供法定代表人身份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相关资格证明资料.docx 其他资料.docx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特殊资格条件</w:t>
            </w:r>
          </w:p>
        </w:tc>
        <w:tc>
          <w:tcPr>
            <w:tcW w:type="dxa" w:w="3322"/>
          </w:tcPr>
          <w:p>
            <w:pPr>
              <w:pStyle w:val="null3"/>
            </w:pPr>
            <w:r>
              <w:rPr>
                <w:rFonts w:ascii="仿宋_GB2312" w:hAnsi="仿宋_GB2312" w:cs="仿宋_GB2312" w:eastAsia="仿宋_GB2312"/>
              </w:rPr>
              <w:t>供应商为代理商的，所投产品纳入医疗器械管理的须提供《医疗器械经营许可证》或《医疗器械经营备案凭证》及所投产品医疗器械注册证或医疗器械备案凭证(含附件和附页)，并出具产品制造商的营业执照和医疗器械生产许可证；供应商为制造商的，所投产品纳入医疗器械管理的须提供《医疗器械经营许可证》或《医疗器械经营备案凭证》、《医疗器械生产许可证》及所投产品医疗器械注册证或医疗器械备案凭证(含附件和附页)，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相关资格证明资料.docx 其他资料.docx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信誉状况</w:t>
            </w:r>
          </w:p>
        </w:tc>
        <w:tc>
          <w:tcPr>
            <w:tcW w:type="dxa" w:w="3322"/>
          </w:tcPr>
          <w:p>
            <w:pPr>
              <w:pStyle w:val="null3"/>
            </w:pPr>
            <w:r>
              <w:rPr>
                <w:rFonts w:ascii="仿宋_GB2312" w:hAnsi="仿宋_GB2312" w:cs="仿宋_GB2312" w:eastAsia="仿宋_GB2312"/>
              </w:rPr>
              <w:t>供应商不得为“信用中国”网站（www.creditchina.gov.cn）中列入失信被执行人和重大税收违法失信主体的供应商，不得为中国政府采购网（www.ccgp.gov.cn）政府采购严重违法失信行为记录名单中被财政部门禁止参加政府采购活动的供应商，以响应文件递交截止时间后网站查询结果为准</w:t>
            </w:r>
          </w:p>
        </w:tc>
        <w:tc>
          <w:tcPr>
            <w:tcW w:type="dxa" w:w="1661"/>
          </w:tcPr>
          <w:p>
            <w:pPr>
              <w:pStyle w:val="null3"/>
            </w:pPr>
            <w:r>
              <w:rPr>
                <w:rFonts w:ascii="仿宋_GB2312" w:hAnsi="仿宋_GB2312" w:cs="仿宋_GB2312" w:eastAsia="仿宋_GB2312"/>
              </w:rPr>
              <w:t>相关资格证明资料.docx 其他资料.docx</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中华人民共和国境内注册，能够独立承担民事责任的法人、其他组织或自然人</w:t>
            </w:r>
          </w:p>
        </w:tc>
        <w:tc>
          <w:tcPr>
            <w:tcW w:type="dxa" w:w="3322"/>
          </w:tcPr>
          <w:p>
            <w:pPr>
              <w:pStyle w:val="null3"/>
            </w:pPr>
            <w:r>
              <w:rPr>
                <w:rFonts w:ascii="仿宋_GB2312" w:hAnsi="仿宋_GB2312" w:cs="仿宋_GB2312" w:eastAsia="仿宋_GB2312"/>
              </w:rPr>
              <w:t>法人或者其他组织提供营业执照、事业单位法人证书等证明文件，自然人提供身份证件，供应商需在项目电子化交易系统中按要求上传相应证明文件并进行电子签章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相关资格证明资料.docx 其他资料.docx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税收缴纳凭证及社会保险缴纳的凭证</w:t>
            </w:r>
          </w:p>
        </w:tc>
        <w:tc>
          <w:tcPr>
            <w:tcW w:type="dxa" w:w="3322"/>
          </w:tcPr>
          <w:p>
            <w:pPr>
              <w:pStyle w:val="null3"/>
            </w:pPr>
            <w:r>
              <w:rPr>
                <w:rFonts w:ascii="仿宋_GB2312" w:hAnsi="仿宋_GB2312" w:cs="仿宋_GB2312" w:eastAsia="仿宋_GB2312"/>
              </w:rPr>
              <w:t>供应商在本项目磋商响应文件递交截止时间前十二个月内任意一个月的税收缴纳凭证及社会保险缴纳的凭证。依法免税或不需要缴纳社会保障资金的供应商，应提供相应文件证明其依法免税或不需要缴纳社会保障资金，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相关资格证明资料.docx 其他资料.docx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w:t>
            </w:r>
          </w:p>
        </w:tc>
        <w:tc>
          <w:tcPr>
            <w:tcW w:type="dxa" w:w="3322"/>
          </w:tcPr>
          <w:p>
            <w:pPr>
              <w:pStyle w:val="null3"/>
            </w:pPr>
            <w:r>
              <w:rPr>
                <w:rFonts w:ascii="仿宋_GB2312" w:hAnsi="仿宋_GB2312" w:cs="仿宋_GB2312" w:eastAsia="仿宋_GB2312"/>
              </w:rPr>
              <w:t>供应商2024年度或2025年度经审计完整的财务报告（审计报告应当经过注册会计师行业统一监管平台备案赋码可查询：https://acc.mof.gov.cn/）或磋商响应文件递交截止时间前六个月内其基本账户银行出具的资信证明（附《基本存款账户信息》或《银行开户许可证》）；或提供专业担保机构出具的投标担保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相关资格证明资料.docx 其他资料.docx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参加政府采购活动前3年内在经营活动中没有重大违法记录的书面声明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相关资格证明资料.docx 其他资料.docx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履行合同所必需的设备和专业技术能力书面声明函</w:t>
            </w:r>
          </w:p>
        </w:tc>
        <w:tc>
          <w:tcPr>
            <w:tcW w:type="dxa" w:w="3322"/>
          </w:tcPr>
          <w:p>
            <w:pPr>
              <w:pStyle w:val="null3"/>
            </w:pPr>
            <w:r>
              <w:rPr>
                <w:rFonts w:ascii="仿宋_GB2312" w:hAnsi="仿宋_GB2312" w:cs="仿宋_GB2312" w:eastAsia="仿宋_GB2312"/>
              </w:rPr>
              <w:t>履行合同所必需的设备和专业技术能力书面声明函，供应商需在项目电子化交易系统中按要求上传相应证明文件并进行电子签章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相关资格证明资料.docx 其他资料.docx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投标的提供法定代表人身份证明及身份证，委托代理人参加投标的提供授权委托书及委托代理人身份证，并提供被授权代表开标截止前三个月内任意一个月在本单位的社会保险缴纳证明（法定代表人参加只需提供法定代表人身份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相关资格证明资料.docx 其他资料.docx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特殊资格条件</w:t>
            </w:r>
          </w:p>
        </w:tc>
        <w:tc>
          <w:tcPr>
            <w:tcW w:type="dxa" w:w="3322"/>
          </w:tcPr>
          <w:p>
            <w:pPr>
              <w:pStyle w:val="null3"/>
            </w:pPr>
            <w:r>
              <w:rPr>
                <w:rFonts w:ascii="仿宋_GB2312" w:hAnsi="仿宋_GB2312" w:cs="仿宋_GB2312" w:eastAsia="仿宋_GB2312"/>
              </w:rPr>
              <w:t>供应商为代理商的，所投产品纳入医疗器械管理的须提供《医疗器械经营许可证》或《医疗器械经营备案凭证》及所投产品医疗器械注册证或医疗器械备案凭证(含附件和附页)，并出具产品制造商的营业执照和医疗器械生产许可证；供应商为制造商的，所投产品纳入医疗器械管理的须提供《医疗器械经营许可证》或《医疗器械经营备案凭证》、《医疗器械生产许可证》及所投产品医疗器械注册证或医疗器械备案凭证(含附件和附页)，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相关资格证明资料.docx 其他资料.docx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信誉状况</w:t>
            </w:r>
          </w:p>
        </w:tc>
        <w:tc>
          <w:tcPr>
            <w:tcW w:type="dxa" w:w="3322"/>
          </w:tcPr>
          <w:p>
            <w:pPr>
              <w:pStyle w:val="null3"/>
            </w:pPr>
            <w:r>
              <w:rPr>
                <w:rFonts w:ascii="仿宋_GB2312" w:hAnsi="仿宋_GB2312" w:cs="仿宋_GB2312" w:eastAsia="仿宋_GB2312"/>
              </w:rPr>
              <w:t>供应商不得为“信用中国”网站（www.creditchina.gov.cn）中列入失信被执行人和重大税收违法失信主体的供应商，不得为中国政府采购网（www.ccgp.gov.cn）政府采购严重违法失信行为记录名单中被财政部门禁止参加政府采购活动的供应商，以响应文件递交截止时间后网站查询结果为准</w:t>
            </w:r>
          </w:p>
        </w:tc>
        <w:tc>
          <w:tcPr>
            <w:tcW w:type="dxa" w:w="1661"/>
          </w:tcPr>
          <w:p>
            <w:pPr>
              <w:pStyle w:val="null3"/>
            </w:pPr>
            <w:r>
              <w:rPr>
                <w:rFonts w:ascii="仿宋_GB2312" w:hAnsi="仿宋_GB2312" w:cs="仿宋_GB2312" w:eastAsia="仿宋_GB2312"/>
              </w:rPr>
              <w:t>相关资格证明资料.docx 其他资料.docx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第一次磋商报价表.docx 费用组成明细表.docx 标的清单 报价表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响应文件的有效期</w:t>
            </w:r>
          </w:p>
        </w:tc>
        <w:tc>
          <w:tcPr>
            <w:tcW w:type="dxa" w:w="3322"/>
          </w:tcPr>
          <w:p>
            <w:pPr>
              <w:pStyle w:val="null3"/>
            </w:pPr>
            <w:r>
              <w:rPr>
                <w:rFonts w:ascii="仿宋_GB2312" w:hAnsi="仿宋_GB2312" w:cs="仿宋_GB2312" w:eastAsia="仿宋_GB2312"/>
              </w:rPr>
              <w:t>提交首次响应文件的截止之日起不少于90天</w:t>
            </w:r>
          </w:p>
        </w:tc>
        <w:tc>
          <w:tcPr>
            <w:tcW w:type="dxa" w:w="1661"/>
          </w:tcPr>
          <w:p>
            <w:pPr>
              <w:pStyle w:val="null3"/>
            </w:pPr>
            <w:r>
              <w:rPr>
                <w:rFonts w:ascii="仿宋_GB2312" w:hAnsi="仿宋_GB2312" w:cs="仿宋_GB2312" w:eastAsia="仿宋_GB2312"/>
              </w:rPr>
              <w:t>相关资格证明资料.docx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响应文件签署、盖章均按磋商文件要求签字、盖章</w:t>
            </w:r>
          </w:p>
        </w:tc>
        <w:tc>
          <w:tcPr>
            <w:tcW w:type="dxa" w:w="1661"/>
          </w:tcPr>
          <w:p>
            <w:pPr>
              <w:pStyle w:val="null3"/>
            </w:pPr>
            <w:r>
              <w:rPr>
                <w:rFonts w:ascii="仿宋_GB2312" w:hAnsi="仿宋_GB2312" w:cs="仿宋_GB2312" w:eastAsia="仿宋_GB2312"/>
              </w:rPr>
              <w:t>相关资格证明资料.docx 方案响应部分.docx 第一次磋商报价表.docx 技术偏离表.docx 供应商认为有必要说明的其他事项（如有）.docx 费用组成明细表.docx 标的清单 承诺书.docx 其他资料.docx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响应有效性</w:t>
            </w:r>
          </w:p>
        </w:tc>
        <w:tc>
          <w:tcPr>
            <w:tcW w:type="dxa" w:w="3322"/>
          </w:tcPr>
          <w:p>
            <w:pPr>
              <w:pStyle w:val="null3"/>
            </w:pPr>
            <w:r>
              <w:rPr>
                <w:rFonts w:ascii="仿宋_GB2312" w:hAnsi="仿宋_GB2312" w:cs="仿宋_GB2312" w:eastAsia="仿宋_GB2312"/>
              </w:rPr>
              <w:t>未出现磋商文件规定的无效响应情形</w:t>
            </w:r>
          </w:p>
        </w:tc>
        <w:tc>
          <w:tcPr>
            <w:tcW w:type="dxa" w:w="1661"/>
          </w:tcPr>
          <w:p>
            <w:pPr>
              <w:pStyle w:val="null3"/>
            </w:pPr>
            <w:r>
              <w:rPr>
                <w:rFonts w:ascii="仿宋_GB2312" w:hAnsi="仿宋_GB2312" w:cs="仿宋_GB2312" w:eastAsia="仿宋_GB2312"/>
              </w:rPr>
              <w:t>响应文件封面 方案响应部分.docx 技术偏离表.docx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报价唯一，且没有高于采购预算或磋商文件规定的最高限价。 符合文件要求</w:t>
            </w:r>
          </w:p>
        </w:tc>
        <w:tc>
          <w:tcPr>
            <w:tcW w:type="dxa" w:w="1661"/>
          </w:tcPr>
          <w:p>
            <w:pPr>
              <w:pStyle w:val="null3"/>
            </w:pPr>
            <w:r>
              <w:rPr>
                <w:rFonts w:ascii="仿宋_GB2312" w:hAnsi="仿宋_GB2312" w:cs="仿宋_GB2312" w:eastAsia="仿宋_GB2312"/>
              </w:rPr>
              <w:t>响应文件封面 第一次磋商报价表.docx 费用组成明细表.docx 标的清单 报价表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符合采购文件要求</w:t>
            </w:r>
          </w:p>
        </w:tc>
        <w:tc>
          <w:tcPr>
            <w:tcW w:type="dxa" w:w="1661"/>
          </w:tcPr>
          <w:p>
            <w:pPr>
              <w:pStyle w:val="null3"/>
            </w:pPr>
            <w:r>
              <w:rPr>
                <w:rFonts w:ascii="仿宋_GB2312" w:hAnsi="仿宋_GB2312" w:cs="仿宋_GB2312" w:eastAsia="仿宋_GB2312"/>
              </w:rPr>
              <w:t>方案响应部分.docx 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商务及合同条款响应性</w:t>
            </w:r>
          </w:p>
        </w:tc>
        <w:tc>
          <w:tcPr>
            <w:tcW w:type="dxa" w:w="3322"/>
          </w:tcPr>
          <w:p>
            <w:pPr>
              <w:pStyle w:val="null3"/>
            </w:pPr>
            <w:r>
              <w:rPr>
                <w:rFonts w:ascii="仿宋_GB2312" w:hAnsi="仿宋_GB2312" w:cs="仿宋_GB2312" w:eastAsia="仿宋_GB2312"/>
              </w:rPr>
              <w:t>符合采购文件要求</w:t>
            </w:r>
          </w:p>
        </w:tc>
        <w:tc>
          <w:tcPr>
            <w:tcW w:type="dxa" w:w="1661"/>
          </w:tcPr>
          <w:p>
            <w:pPr>
              <w:pStyle w:val="null3"/>
            </w:pPr>
            <w:r>
              <w:rPr>
                <w:rFonts w:ascii="仿宋_GB2312" w:hAnsi="仿宋_GB2312" w:cs="仿宋_GB2312" w:eastAsia="仿宋_GB2312"/>
              </w:rPr>
              <w:t>响应文件封面 方案响应部分.docx 技术偏离表.docx 供应商认为有必要说明的其他事项（如有）.docx 承诺书.docx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第一次磋商报价表.docx 费用组成明细表.docx 标的清单 报价表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响应文件的有效期</w:t>
            </w:r>
          </w:p>
        </w:tc>
        <w:tc>
          <w:tcPr>
            <w:tcW w:type="dxa" w:w="3322"/>
          </w:tcPr>
          <w:p>
            <w:pPr>
              <w:pStyle w:val="null3"/>
            </w:pPr>
            <w:r>
              <w:rPr>
                <w:rFonts w:ascii="仿宋_GB2312" w:hAnsi="仿宋_GB2312" w:cs="仿宋_GB2312" w:eastAsia="仿宋_GB2312"/>
              </w:rPr>
              <w:t>提交首次响应文件的截止之日起不少于90天</w:t>
            </w:r>
          </w:p>
        </w:tc>
        <w:tc>
          <w:tcPr>
            <w:tcW w:type="dxa" w:w="1661"/>
          </w:tcPr>
          <w:p>
            <w:pPr>
              <w:pStyle w:val="null3"/>
            </w:pPr>
            <w:r>
              <w:rPr>
                <w:rFonts w:ascii="仿宋_GB2312" w:hAnsi="仿宋_GB2312" w:cs="仿宋_GB2312" w:eastAsia="仿宋_GB2312"/>
              </w:rPr>
              <w:t>相关资格证明资料.docx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响应文件签署、盖章均按磋商文件要求签字、盖章</w:t>
            </w:r>
          </w:p>
        </w:tc>
        <w:tc>
          <w:tcPr>
            <w:tcW w:type="dxa" w:w="1661"/>
          </w:tcPr>
          <w:p>
            <w:pPr>
              <w:pStyle w:val="null3"/>
            </w:pPr>
            <w:r>
              <w:rPr>
                <w:rFonts w:ascii="仿宋_GB2312" w:hAnsi="仿宋_GB2312" w:cs="仿宋_GB2312" w:eastAsia="仿宋_GB2312"/>
              </w:rPr>
              <w:t>方案响应部分.docx 相关资格证明资料.docx 第一次磋商报价表.docx 技术偏离表.docx 供应商认为有必要说明的其他事项（如有）.docx 费用组成明细表.docx 承诺书.docx 标的清单 其他资料.docx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响应有效性</w:t>
            </w:r>
          </w:p>
        </w:tc>
        <w:tc>
          <w:tcPr>
            <w:tcW w:type="dxa" w:w="3322"/>
          </w:tcPr>
          <w:p>
            <w:pPr>
              <w:pStyle w:val="null3"/>
            </w:pPr>
            <w:r>
              <w:rPr>
                <w:rFonts w:ascii="仿宋_GB2312" w:hAnsi="仿宋_GB2312" w:cs="仿宋_GB2312" w:eastAsia="仿宋_GB2312"/>
              </w:rPr>
              <w:t>未出现磋商文件规定的无效响应情形</w:t>
            </w:r>
          </w:p>
        </w:tc>
        <w:tc>
          <w:tcPr>
            <w:tcW w:type="dxa" w:w="1661"/>
          </w:tcPr>
          <w:p>
            <w:pPr>
              <w:pStyle w:val="null3"/>
            </w:pPr>
            <w:r>
              <w:rPr>
                <w:rFonts w:ascii="仿宋_GB2312" w:hAnsi="仿宋_GB2312" w:cs="仿宋_GB2312" w:eastAsia="仿宋_GB2312"/>
              </w:rPr>
              <w:t>响应文件封面 方案响应部分.docx 技术偏离表.docx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报价唯一，且没有高于采购预算或磋商文件规定的最高限价。 符合文件要求</w:t>
            </w:r>
          </w:p>
        </w:tc>
        <w:tc>
          <w:tcPr>
            <w:tcW w:type="dxa" w:w="1661"/>
          </w:tcPr>
          <w:p>
            <w:pPr>
              <w:pStyle w:val="null3"/>
            </w:pPr>
            <w:r>
              <w:rPr>
                <w:rFonts w:ascii="仿宋_GB2312" w:hAnsi="仿宋_GB2312" w:cs="仿宋_GB2312" w:eastAsia="仿宋_GB2312"/>
              </w:rPr>
              <w:t>响应文件封面 第一次磋商报价表.docx 费用组成明细表.docx 标的清单 报价表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符合采购文件要求</w:t>
            </w:r>
          </w:p>
        </w:tc>
        <w:tc>
          <w:tcPr>
            <w:tcW w:type="dxa" w:w="1661"/>
          </w:tcPr>
          <w:p>
            <w:pPr>
              <w:pStyle w:val="null3"/>
            </w:pPr>
            <w:r>
              <w:rPr>
                <w:rFonts w:ascii="仿宋_GB2312" w:hAnsi="仿宋_GB2312" w:cs="仿宋_GB2312" w:eastAsia="仿宋_GB2312"/>
              </w:rPr>
              <w:t>方案响应部分.docx 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商务及合同条款响应性</w:t>
            </w:r>
          </w:p>
        </w:tc>
        <w:tc>
          <w:tcPr>
            <w:tcW w:type="dxa" w:w="3322"/>
          </w:tcPr>
          <w:p>
            <w:pPr>
              <w:pStyle w:val="null3"/>
            </w:pPr>
            <w:r>
              <w:rPr>
                <w:rFonts w:ascii="仿宋_GB2312" w:hAnsi="仿宋_GB2312" w:cs="仿宋_GB2312" w:eastAsia="仿宋_GB2312"/>
              </w:rPr>
              <w:t>符合采购文件要求</w:t>
            </w:r>
          </w:p>
        </w:tc>
        <w:tc>
          <w:tcPr>
            <w:tcW w:type="dxa" w:w="1661"/>
          </w:tcPr>
          <w:p>
            <w:pPr>
              <w:pStyle w:val="null3"/>
            </w:pPr>
            <w:r>
              <w:rPr>
                <w:rFonts w:ascii="仿宋_GB2312" w:hAnsi="仿宋_GB2312" w:cs="仿宋_GB2312" w:eastAsia="仿宋_GB2312"/>
              </w:rPr>
              <w:t>响应文件封面 方案响应部分.docx 技术偏离表.docx 供应商认为有必要说明的其他事项（如有）.docx 承诺书.docx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第一次磋商报价表.docx 费用组成明细表.docx 标的清单 报价表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响应文件的有效期</w:t>
            </w:r>
          </w:p>
        </w:tc>
        <w:tc>
          <w:tcPr>
            <w:tcW w:type="dxa" w:w="3322"/>
          </w:tcPr>
          <w:p>
            <w:pPr>
              <w:pStyle w:val="null3"/>
            </w:pPr>
            <w:r>
              <w:rPr>
                <w:rFonts w:ascii="仿宋_GB2312" w:hAnsi="仿宋_GB2312" w:cs="仿宋_GB2312" w:eastAsia="仿宋_GB2312"/>
              </w:rPr>
              <w:t>提交首次响应文件的截止之日起不少于90天</w:t>
            </w:r>
          </w:p>
        </w:tc>
        <w:tc>
          <w:tcPr>
            <w:tcW w:type="dxa" w:w="1661"/>
          </w:tcPr>
          <w:p>
            <w:pPr>
              <w:pStyle w:val="null3"/>
            </w:pPr>
            <w:r>
              <w:rPr>
                <w:rFonts w:ascii="仿宋_GB2312" w:hAnsi="仿宋_GB2312" w:cs="仿宋_GB2312" w:eastAsia="仿宋_GB2312"/>
              </w:rPr>
              <w:t>相关资格证明资料.docx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响应文件签署、盖章均按磋商文件要求签字、盖章</w:t>
            </w:r>
          </w:p>
        </w:tc>
        <w:tc>
          <w:tcPr>
            <w:tcW w:type="dxa" w:w="1661"/>
          </w:tcPr>
          <w:p>
            <w:pPr>
              <w:pStyle w:val="null3"/>
            </w:pPr>
            <w:r>
              <w:rPr>
                <w:rFonts w:ascii="仿宋_GB2312" w:hAnsi="仿宋_GB2312" w:cs="仿宋_GB2312" w:eastAsia="仿宋_GB2312"/>
              </w:rPr>
              <w:t>方案响应部分.docx 相关资格证明资料.docx 第一次磋商报价表.docx 技术偏离表.docx 供应商认为有必要说明的其他事项（如有）.docx 费用组成明细表.docx 承诺书.docx 标的清单 其他资料.docx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响应有效性</w:t>
            </w:r>
          </w:p>
        </w:tc>
        <w:tc>
          <w:tcPr>
            <w:tcW w:type="dxa" w:w="3322"/>
          </w:tcPr>
          <w:p>
            <w:pPr>
              <w:pStyle w:val="null3"/>
            </w:pPr>
            <w:r>
              <w:rPr>
                <w:rFonts w:ascii="仿宋_GB2312" w:hAnsi="仿宋_GB2312" w:cs="仿宋_GB2312" w:eastAsia="仿宋_GB2312"/>
              </w:rPr>
              <w:t>未出现磋商文件规定的无效响应情形</w:t>
            </w:r>
          </w:p>
        </w:tc>
        <w:tc>
          <w:tcPr>
            <w:tcW w:type="dxa" w:w="1661"/>
          </w:tcPr>
          <w:p>
            <w:pPr>
              <w:pStyle w:val="null3"/>
            </w:pPr>
            <w:r>
              <w:rPr>
                <w:rFonts w:ascii="仿宋_GB2312" w:hAnsi="仿宋_GB2312" w:cs="仿宋_GB2312" w:eastAsia="仿宋_GB2312"/>
              </w:rPr>
              <w:t>方案响应部分.docx 响应文件封面 技术偏离表.docx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报价唯一，且没有高于采购预算或磋商文件规定的最高限价。 符合文件要求</w:t>
            </w:r>
          </w:p>
        </w:tc>
        <w:tc>
          <w:tcPr>
            <w:tcW w:type="dxa" w:w="1661"/>
          </w:tcPr>
          <w:p>
            <w:pPr>
              <w:pStyle w:val="null3"/>
            </w:pPr>
            <w:r>
              <w:rPr>
                <w:rFonts w:ascii="仿宋_GB2312" w:hAnsi="仿宋_GB2312" w:cs="仿宋_GB2312" w:eastAsia="仿宋_GB2312"/>
              </w:rPr>
              <w:t>响应文件封面 第一次磋商报价表.docx 费用组成明细表.docx 标的清单 报价表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符合采购文件要求</w:t>
            </w:r>
          </w:p>
        </w:tc>
        <w:tc>
          <w:tcPr>
            <w:tcW w:type="dxa" w:w="1661"/>
          </w:tcPr>
          <w:p>
            <w:pPr>
              <w:pStyle w:val="null3"/>
            </w:pPr>
            <w:r>
              <w:rPr>
                <w:rFonts w:ascii="仿宋_GB2312" w:hAnsi="仿宋_GB2312" w:cs="仿宋_GB2312" w:eastAsia="仿宋_GB2312"/>
              </w:rPr>
              <w:t>方案响应部分.docx 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商务及合同条款响应性</w:t>
            </w:r>
          </w:p>
        </w:tc>
        <w:tc>
          <w:tcPr>
            <w:tcW w:type="dxa" w:w="3322"/>
          </w:tcPr>
          <w:p>
            <w:pPr>
              <w:pStyle w:val="null3"/>
            </w:pPr>
            <w:r>
              <w:rPr>
                <w:rFonts w:ascii="仿宋_GB2312" w:hAnsi="仿宋_GB2312" w:cs="仿宋_GB2312" w:eastAsia="仿宋_GB2312"/>
              </w:rPr>
              <w:t>符合采购文件要求</w:t>
            </w:r>
          </w:p>
        </w:tc>
        <w:tc>
          <w:tcPr>
            <w:tcW w:type="dxa" w:w="1661"/>
          </w:tcPr>
          <w:p>
            <w:pPr>
              <w:pStyle w:val="null3"/>
            </w:pPr>
            <w:r>
              <w:rPr>
                <w:rFonts w:ascii="仿宋_GB2312" w:hAnsi="仿宋_GB2312" w:cs="仿宋_GB2312" w:eastAsia="仿宋_GB2312"/>
              </w:rPr>
              <w:t>方案响应部分.docx 响应文件封面 技术偏离表.docx 供应商认为有必要说明的其他事项（如有）.docx 承诺书.docx</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第一次磋商报价表.docx 费用组成明细表.docx 标的清单 报价表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响应文件的有效期</w:t>
            </w:r>
          </w:p>
        </w:tc>
        <w:tc>
          <w:tcPr>
            <w:tcW w:type="dxa" w:w="3322"/>
          </w:tcPr>
          <w:p>
            <w:pPr>
              <w:pStyle w:val="null3"/>
            </w:pPr>
            <w:r>
              <w:rPr>
                <w:rFonts w:ascii="仿宋_GB2312" w:hAnsi="仿宋_GB2312" w:cs="仿宋_GB2312" w:eastAsia="仿宋_GB2312"/>
              </w:rPr>
              <w:t>提交首次响应文件的截止之日起不少于90天</w:t>
            </w:r>
          </w:p>
        </w:tc>
        <w:tc>
          <w:tcPr>
            <w:tcW w:type="dxa" w:w="1661"/>
          </w:tcPr>
          <w:p>
            <w:pPr>
              <w:pStyle w:val="null3"/>
            </w:pPr>
            <w:r>
              <w:rPr>
                <w:rFonts w:ascii="仿宋_GB2312" w:hAnsi="仿宋_GB2312" w:cs="仿宋_GB2312" w:eastAsia="仿宋_GB2312"/>
              </w:rPr>
              <w:t>相关资格证明资料.docx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响应文件签署、盖章均按磋商文件要求签字、盖章</w:t>
            </w:r>
          </w:p>
        </w:tc>
        <w:tc>
          <w:tcPr>
            <w:tcW w:type="dxa" w:w="1661"/>
          </w:tcPr>
          <w:p>
            <w:pPr>
              <w:pStyle w:val="null3"/>
            </w:pPr>
            <w:r>
              <w:rPr>
                <w:rFonts w:ascii="仿宋_GB2312" w:hAnsi="仿宋_GB2312" w:cs="仿宋_GB2312" w:eastAsia="仿宋_GB2312"/>
              </w:rPr>
              <w:t>方案响应部分.docx 相关资格证明资料.docx 第一次磋商报价表.docx 技术偏离表.docx 供应商认为有必要说明的其他事项（如有）.docx 费用组成明细表.docx 承诺书.docx 标的清单 其他资料.docx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响应有效性</w:t>
            </w:r>
          </w:p>
        </w:tc>
        <w:tc>
          <w:tcPr>
            <w:tcW w:type="dxa" w:w="3322"/>
          </w:tcPr>
          <w:p>
            <w:pPr>
              <w:pStyle w:val="null3"/>
            </w:pPr>
            <w:r>
              <w:rPr>
                <w:rFonts w:ascii="仿宋_GB2312" w:hAnsi="仿宋_GB2312" w:cs="仿宋_GB2312" w:eastAsia="仿宋_GB2312"/>
              </w:rPr>
              <w:t>未出现磋商文件规定的无效响应情形</w:t>
            </w:r>
          </w:p>
        </w:tc>
        <w:tc>
          <w:tcPr>
            <w:tcW w:type="dxa" w:w="1661"/>
          </w:tcPr>
          <w:p>
            <w:pPr>
              <w:pStyle w:val="null3"/>
            </w:pPr>
            <w:r>
              <w:rPr>
                <w:rFonts w:ascii="仿宋_GB2312" w:hAnsi="仿宋_GB2312" w:cs="仿宋_GB2312" w:eastAsia="仿宋_GB2312"/>
              </w:rPr>
              <w:t>响应文件封面 第一次磋商报价表.docx 费用组成明细表.docx 标的清单 报价表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报价唯一，且没有高于采购预算或磋商文件规定的最高限价。 符合文件要求</w:t>
            </w:r>
          </w:p>
        </w:tc>
        <w:tc>
          <w:tcPr>
            <w:tcW w:type="dxa" w:w="1661"/>
          </w:tcPr>
          <w:p>
            <w:pPr>
              <w:pStyle w:val="null3"/>
            </w:pPr>
            <w:r>
              <w:rPr>
                <w:rFonts w:ascii="仿宋_GB2312" w:hAnsi="仿宋_GB2312" w:cs="仿宋_GB2312" w:eastAsia="仿宋_GB2312"/>
              </w:rPr>
              <w:t>响应文件封面 第一次磋商报价表.docx 费用组成明细表.docx 标的清单 报价表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符合采购文件要求</w:t>
            </w:r>
          </w:p>
        </w:tc>
        <w:tc>
          <w:tcPr>
            <w:tcW w:type="dxa" w:w="1661"/>
          </w:tcPr>
          <w:p>
            <w:pPr>
              <w:pStyle w:val="null3"/>
            </w:pPr>
            <w:r>
              <w:rPr>
                <w:rFonts w:ascii="仿宋_GB2312" w:hAnsi="仿宋_GB2312" w:cs="仿宋_GB2312" w:eastAsia="仿宋_GB2312"/>
              </w:rPr>
              <w:t>方案响应部分.docx 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商务及合同条款响应性</w:t>
            </w:r>
          </w:p>
        </w:tc>
        <w:tc>
          <w:tcPr>
            <w:tcW w:type="dxa" w:w="3322"/>
          </w:tcPr>
          <w:p>
            <w:pPr>
              <w:pStyle w:val="null3"/>
            </w:pPr>
            <w:r>
              <w:rPr>
                <w:rFonts w:ascii="仿宋_GB2312" w:hAnsi="仿宋_GB2312" w:cs="仿宋_GB2312" w:eastAsia="仿宋_GB2312"/>
              </w:rPr>
              <w:t>符合采购文件要求</w:t>
            </w:r>
          </w:p>
        </w:tc>
        <w:tc>
          <w:tcPr>
            <w:tcW w:type="dxa" w:w="1661"/>
          </w:tcPr>
          <w:p>
            <w:pPr>
              <w:pStyle w:val="null3"/>
            </w:pPr>
            <w:r>
              <w:rPr>
                <w:rFonts w:ascii="仿宋_GB2312" w:hAnsi="仿宋_GB2312" w:cs="仿宋_GB2312" w:eastAsia="仿宋_GB2312"/>
              </w:rPr>
              <w:t>响应文件封面 方案响应部分.docx 技术偏离表.docx 供应商认为有必要说明的其他事项（如有）.docx 承诺书.docx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不能详细列明采购标的的技术、服务要求，需由供应商提供最终设计方案或解决方案的，磋商/谈判/协商结束后，磋商/谈判/协商小组应当按照少数服从多数的原则投票推荐3家实质性响应的供应商的设计方案或解决方案，进入最后报价环节；不足3家的，终止本次采购活动。</w:t>
      </w:r>
    </w:p>
    <w:p>
      <w:pPr>
        <w:pStyle w:val="null3"/>
      </w:pPr>
      <w:r>
        <w:rPr>
          <w:rFonts w:ascii="仿宋_GB2312" w:hAnsi="仿宋_GB2312" w:cs="仿宋_GB2312" w:eastAsia="仿宋_GB2312"/>
        </w:rPr>
        <w:t>采购包2：磋商/谈判/协商文件不能详细列明采购标的的技术、服务要求，需由供应商提供最终设计方案或解决方案的，磋商/谈判/协商结束后，磋商/谈判/协商小组应当按照少数服从多数的原则投票推荐3家实质性响应的供应商的设计方案或解决方案，进入最后报价环节；不足3家的，终止本次采购活动。</w:t>
      </w:r>
    </w:p>
    <w:p>
      <w:pPr>
        <w:pStyle w:val="null3"/>
      </w:pPr>
      <w:r>
        <w:rPr>
          <w:rFonts w:ascii="仿宋_GB2312" w:hAnsi="仿宋_GB2312" w:cs="仿宋_GB2312" w:eastAsia="仿宋_GB2312"/>
        </w:rPr>
        <w:t>采购包3：磋商/谈判/协商文件不能详细列明采购标的的技术、服务要求，需由供应商提供最终设计方案或解决方案的，磋商/谈判/协商结束后，磋商/谈判/协商小组应当按照少数服从多数的原则投票推荐3家实质性响应的供应商的设计方案或解决方案，进入最后报价环节；不足3家的，终止本次采购活动。</w:t>
      </w:r>
    </w:p>
    <w:p>
      <w:pPr>
        <w:pStyle w:val="null3"/>
      </w:pPr>
      <w:r>
        <w:rPr>
          <w:rFonts w:ascii="仿宋_GB2312" w:hAnsi="仿宋_GB2312" w:cs="仿宋_GB2312" w:eastAsia="仿宋_GB2312"/>
        </w:rPr>
        <w:t>采购包4：磋商/谈判/协商文件不能详细列明采购标的的技术、服务要求，需由供应商提供最终设计方案或解决方案的，磋商/谈判/协商结束后，磋商/谈判/协商小组应当按照少数服从多数的原则投票推荐3家实质性响应的供应商的设计方案或解决方案，进入最后报价环节；不足3家的，终止本次采购活动。</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采购包2：</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采购包3：</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采购包4：</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详细评审75.00分</w:t>
            </w:r>
          </w:p>
          <w:p>
            <w:pPr>
              <w:pStyle w:val="null3"/>
            </w:pPr>
            <w:r>
              <w:rPr>
                <w:rFonts w:ascii="仿宋_GB2312" w:hAnsi="仿宋_GB2312" w:cs="仿宋_GB2312" w:eastAsia="仿宋_GB2312"/>
              </w:rPr>
              <w:t>报价得分25.00分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维保服务方案</w:t>
            </w:r>
          </w:p>
        </w:tc>
        <w:tc>
          <w:tcPr>
            <w:tcW w:type="dxa" w:w="2492"/>
          </w:tcPr>
          <w:p>
            <w:pPr>
              <w:pStyle w:val="null3"/>
            </w:pPr>
            <w:r>
              <w:rPr>
                <w:rFonts w:ascii="仿宋_GB2312" w:hAnsi="仿宋_GB2312" w:cs="仿宋_GB2312" w:eastAsia="仿宋_GB2312"/>
              </w:rPr>
              <w:t>一、评审内容 针对本项目提供详细的项目维保服务方案包括但不限于： ①维保技术方案及维保服务内容； ②服务响应、设备维修、故障恢复、技术支持服务方案； ③设备保养前评估、运行状况、安全检查、硬件校准及维护； ④从业人员培训安排； ⑤重点难点分析及解决方案。 二、评审标准 1、完善性:方案必须全面，对评审内容中的各项要求有详细阐述; 2、可实施性:切合本项目实际情况，提出步骤清晰、合理的方案; 3、针对性:方案能够紧扣项目实际情况，内容科学合理。 上述5项评审内容全部满足评审标准得20分，每有一个评审内容缺项扣4分，评审内容中每有一项缺陷扣1分，扣完为止。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方案响应部分.docx</w:t>
            </w:r>
          </w:p>
        </w:tc>
      </w:tr>
      <w:tr>
        <w:tc>
          <w:tcPr>
            <w:tcW w:type="dxa" w:w="831"/>
            <w:vMerge/>
          </w:tcPr>
          <w:p/>
        </w:tc>
        <w:tc>
          <w:tcPr>
            <w:tcW w:type="dxa" w:w="1661"/>
          </w:tcPr>
          <w:p>
            <w:pPr>
              <w:pStyle w:val="null3"/>
            </w:pPr>
            <w:r>
              <w:rPr>
                <w:rFonts w:ascii="仿宋_GB2312" w:hAnsi="仿宋_GB2312" w:cs="仿宋_GB2312" w:eastAsia="仿宋_GB2312"/>
              </w:rPr>
              <w:t>保障方案</w:t>
            </w:r>
          </w:p>
        </w:tc>
        <w:tc>
          <w:tcPr>
            <w:tcW w:type="dxa" w:w="2492"/>
          </w:tcPr>
          <w:p>
            <w:pPr>
              <w:pStyle w:val="null3"/>
            </w:pPr>
            <w:r>
              <w:rPr>
                <w:rFonts w:ascii="仿宋_GB2312" w:hAnsi="仿宋_GB2312" w:cs="仿宋_GB2312" w:eastAsia="仿宋_GB2312"/>
              </w:rPr>
              <w:t>一、评审内容 针对本项目制定的保障方案，包括但不限于以下内容： ①质量保障方案； ②进度保障措施。 二、评审标准 1、完善性:方案必须全面，对评审内容中的各项要求有详细阐述; 2、可实施性:切合本项目实际情况，提出步骤清晰、合理的方案; 3、针对性:方案能够紧扣项目实际情况，内容科学合理。 上述2项评审内容全部满足评审标准得6分，每有一个评审内容缺项扣3分，评审内容中每有一项缺陷扣1分，扣完为止。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方案响应部分.docx</w:t>
            </w:r>
          </w:p>
        </w:tc>
      </w:tr>
      <w:tr>
        <w:tc>
          <w:tcPr>
            <w:tcW w:type="dxa" w:w="831"/>
            <w:vMerge/>
          </w:tcPr>
          <w:p/>
        </w:tc>
        <w:tc>
          <w:tcPr>
            <w:tcW w:type="dxa" w:w="1661"/>
          </w:tcPr>
          <w:p>
            <w:pPr>
              <w:pStyle w:val="null3"/>
            </w:pPr>
            <w:r>
              <w:rPr>
                <w:rFonts w:ascii="仿宋_GB2312" w:hAnsi="仿宋_GB2312" w:cs="仿宋_GB2312" w:eastAsia="仿宋_GB2312"/>
              </w:rPr>
              <w:t>应急方案</w:t>
            </w:r>
          </w:p>
        </w:tc>
        <w:tc>
          <w:tcPr>
            <w:tcW w:type="dxa" w:w="2492"/>
          </w:tcPr>
          <w:p>
            <w:pPr>
              <w:pStyle w:val="null3"/>
            </w:pPr>
            <w:r>
              <w:rPr>
                <w:rFonts w:ascii="仿宋_GB2312" w:hAnsi="仿宋_GB2312" w:cs="仿宋_GB2312" w:eastAsia="仿宋_GB2312"/>
              </w:rPr>
              <w:t>一、评审内容 针对本项目制定的应急方案，包括但不限于以下内容： ①设备可能出现的问题、重大故障维修服务方案； ②突发事件的应急处置和解决方案。 二、评审标准 1、完善性:方案必须全面，对评审内容中的各项要求有详细阐述; 2、可实施性:切合本项目实际情况，提出步骤清晰、合理的方案; 3、针对性:方案能够紧扣项目实际情况，内容科学合理。 上述2项评审内容全部满足评审标准得6分，每有一个评审内容缺项扣3分，评审内容中每有一项缺陷扣1分，扣完为止。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方案响应部分.docx</w:t>
            </w:r>
          </w:p>
        </w:tc>
      </w:tr>
      <w:tr>
        <w:tc>
          <w:tcPr>
            <w:tcW w:type="dxa" w:w="831"/>
            <w:vMerge/>
          </w:tcPr>
          <w:p/>
        </w:tc>
        <w:tc>
          <w:tcPr>
            <w:tcW w:type="dxa" w:w="1661"/>
          </w:tcPr>
          <w:p>
            <w:pPr>
              <w:pStyle w:val="null3"/>
            </w:pPr>
            <w:r>
              <w:rPr>
                <w:rFonts w:ascii="仿宋_GB2312" w:hAnsi="仿宋_GB2312" w:cs="仿宋_GB2312" w:eastAsia="仿宋_GB2312"/>
              </w:rPr>
              <w:t>人员配置1</w:t>
            </w:r>
          </w:p>
        </w:tc>
        <w:tc>
          <w:tcPr>
            <w:tcW w:type="dxa" w:w="2492"/>
          </w:tcPr>
          <w:p>
            <w:pPr>
              <w:pStyle w:val="null3"/>
            </w:pPr>
            <w:r>
              <w:rPr>
                <w:rFonts w:ascii="仿宋_GB2312" w:hAnsi="仿宋_GB2312" w:cs="仿宋_GB2312" w:eastAsia="仿宋_GB2312"/>
              </w:rPr>
              <w:t>一、评审内容 提供详细的人员配备方案，人员岗位配备合理，数量充足，配置齐全，完全满足项目实施需求。 二、评审标准 1、完善性:方案必须全面，对评审内容中的各项要求有详细阐述; 2、可实施性:切合本项目实际情况，提出步骤清晰、合理的方案; 3、针对性:方案能够紧扣项目实际情况，内容科学合理。 上述评审内容全部满足评审标准得4分，评审内容中每有一项缺陷扣1分，扣完为止。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方案响应部分.docx</w:t>
            </w:r>
          </w:p>
        </w:tc>
      </w:tr>
      <w:tr>
        <w:tc>
          <w:tcPr>
            <w:tcW w:type="dxa" w:w="831"/>
            <w:vMerge/>
          </w:tcPr>
          <w:p/>
        </w:tc>
        <w:tc>
          <w:tcPr>
            <w:tcW w:type="dxa" w:w="1661"/>
          </w:tcPr>
          <w:p>
            <w:pPr>
              <w:pStyle w:val="null3"/>
            </w:pPr>
            <w:r>
              <w:rPr>
                <w:rFonts w:ascii="仿宋_GB2312" w:hAnsi="仿宋_GB2312" w:cs="仿宋_GB2312" w:eastAsia="仿宋_GB2312"/>
              </w:rPr>
              <w:t>人员配置2</w:t>
            </w:r>
          </w:p>
        </w:tc>
        <w:tc>
          <w:tcPr>
            <w:tcW w:type="dxa" w:w="2492"/>
          </w:tcPr>
          <w:p>
            <w:pPr>
              <w:pStyle w:val="null3"/>
            </w:pPr>
            <w:r>
              <w:rPr>
                <w:rFonts w:ascii="仿宋_GB2312" w:hAnsi="仿宋_GB2312" w:cs="仿宋_GB2312" w:eastAsia="仿宋_GB2312"/>
              </w:rPr>
              <w:t>售后服务人员具有设备管理及维修相关证明资料，每提供1名得1.5分，满6分。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方案响应部分.docx</w:t>
            </w:r>
          </w:p>
        </w:tc>
      </w:tr>
      <w:tr>
        <w:tc>
          <w:tcPr>
            <w:tcW w:type="dxa" w:w="831"/>
            <w:vMerge/>
          </w:tcPr>
          <w:p/>
        </w:tc>
        <w:tc>
          <w:tcPr>
            <w:tcW w:type="dxa" w:w="1661"/>
          </w:tcPr>
          <w:p>
            <w:pPr>
              <w:pStyle w:val="null3"/>
            </w:pPr>
            <w:r>
              <w:rPr>
                <w:rFonts w:ascii="仿宋_GB2312" w:hAnsi="仿宋_GB2312" w:cs="仿宋_GB2312" w:eastAsia="仿宋_GB2312"/>
              </w:rPr>
              <w:t>备品备件保障</w:t>
            </w:r>
          </w:p>
        </w:tc>
        <w:tc>
          <w:tcPr>
            <w:tcW w:type="dxa" w:w="2492"/>
          </w:tcPr>
          <w:p>
            <w:pPr>
              <w:pStyle w:val="null3"/>
            </w:pPr>
            <w:r>
              <w:rPr>
                <w:rFonts w:ascii="仿宋_GB2312" w:hAnsi="仿宋_GB2312" w:cs="仿宋_GB2312" w:eastAsia="仿宋_GB2312"/>
              </w:rPr>
              <w:t>①提供备品备件库存清单及仓库现场实拍图得3分，未提供不得分。 ②供应商具备独立仓储场地，可存放本项目全部核心备件，资料齐全、场地合规，满足长期维保备件储备要求得3分，未提供或资料不齐不得分。 注：自有库房提供产权证明或租赁库房的提供租赁合同；提供场地照片。</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方案响应部分.docx</w:t>
            </w:r>
          </w:p>
        </w:tc>
      </w:tr>
      <w:tr>
        <w:tc>
          <w:tcPr>
            <w:tcW w:type="dxa" w:w="831"/>
            <w:vMerge/>
          </w:tcPr>
          <w:p/>
        </w:tc>
        <w:tc>
          <w:tcPr>
            <w:tcW w:type="dxa" w:w="1661"/>
          </w:tcPr>
          <w:p>
            <w:pPr>
              <w:pStyle w:val="null3"/>
            </w:pPr>
            <w:r>
              <w:rPr>
                <w:rFonts w:ascii="仿宋_GB2312" w:hAnsi="仿宋_GB2312" w:cs="仿宋_GB2312" w:eastAsia="仿宋_GB2312"/>
              </w:rPr>
              <w:t>服务响应时间</w:t>
            </w:r>
          </w:p>
        </w:tc>
        <w:tc>
          <w:tcPr>
            <w:tcW w:type="dxa" w:w="2492"/>
          </w:tcPr>
          <w:p>
            <w:pPr>
              <w:pStyle w:val="null3"/>
            </w:pPr>
            <w:r>
              <w:rPr>
                <w:rFonts w:ascii="仿宋_GB2312" w:hAnsi="仿宋_GB2312" w:cs="仿宋_GB2312" w:eastAsia="仿宋_GB2312"/>
              </w:rPr>
              <w:t>1、故障响应到场时间在采购文件要求的基础上，每提前2小时得1分，最高得4分； 2、备件送达时间在采购文件要求的基础上，每提前8小时得1分，最高得3分； 依据供应商技术偏离表中此部分响应情况进行评审。</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方案响应部分.docx</w:t>
            </w:r>
          </w:p>
        </w:tc>
      </w:tr>
      <w:tr>
        <w:tc>
          <w:tcPr>
            <w:tcW w:type="dxa" w:w="831"/>
            <w:vMerge/>
          </w:tcPr>
          <w:p/>
        </w:tc>
        <w:tc>
          <w:tcPr>
            <w:tcW w:type="dxa" w:w="1661"/>
          </w:tcPr>
          <w:p>
            <w:pPr>
              <w:pStyle w:val="null3"/>
            </w:pPr>
            <w:r>
              <w:rPr>
                <w:rFonts w:ascii="仿宋_GB2312" w:hAnsi="仿宋_GB2312" w:cs="仿宋_GB2312" w:eastAsia="仿宋_GB2312"/>
              </w:rPr>
              <w:t>拟投入设备</w:t>
            </w:r>
          </w:p>
        </w:tc>
        <w:tc>
          <w:tcPr>
            <w:tcW w:type="dxa" w:w="2492"/>
          </w:tcPr>
          <w:p>
            <w:pPr>
              <w:pStyle w:val="null3"/>
            </w:pPr>
            <w:r>
              <w:rPr>
                <w:rFonts w:ascii="仿宋_GB2312" w:hAnsi="仿宋_GB2312" w:cs="仿宋_GB2312" w:eastAsia="仿宋_GB2312"/>
              </w:rPr>
              <w:t>一、评审内容 针对本项目配备专业的维保工具、检测设备。 注：①提供设备清单、实拍图；②自有设备提供购买合同或发票；租赁设备提供租赁合同。 二、评审标准 配备全套专用维保设备，佐证资料完整，设备匹配本项目需求，可完全满足设备深度维保、校准、故障检测维修全部需求得6分； 配备核心维保设备，仅少量辅助工具缺失，佐证材料完整齐全，可满足设备常规及深度维保需求得4分； 配备基础维保拆装工具，佐证材料完整齐全，仅能满足设备基础简单维保需求得2分； 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方案响应部分.docx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一、评审内容 ①培训内容安排情况、培训时间、地点安排； ②培训人员资质情况。 二、评审标准 1、完善性:方案必须全面，对评审内容中的各项要求有详细阐述; 2、可实施性:切合本项目实际情况，提出步骤清晰、合理的方案; 3、针对性:方案能够紧扣项目实际情况，内容科学合理。 上述2项评审内容全部满足评审标准得4分，每有一个评审内容缺项扣2分，评审内容中每有一项缺陷扣1分，扣完为止。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方案响应部分.docx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提供2023年1月1日至今同类业绩合同（以合同签订时间为准）；一个业绩得2分，最高得10分；评审依据：提供完整合同复印件并加盖公章。</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方案响应部分.docx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第一次磋商报价表.docx</w:t>
            </w:r>
          </w:p>
          <w:p>
            <w:pPr>
              <w:pStyle w:val="null3"/>
            </w:pPr>
            <w:r>
              <w:rPr>
                <w:rFonts w:ascii="仿宋_GB2312" w:hAnsi="仿宋_GB2312" w:cs="仿宋_GB2312" w:eastAsia="仿宋_GB2312"/>
              </w:rPr>
              <w:t>费用组成明细表.docx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满足磋商文件要求且最终报价最低的报价为评审基准价，其报价分为满分。其他供应商的报价分按以下公式计算：报价得分=(评审基准价／最终报价) ×25。</w:t>
            </w:r>
          </w:p>
        </w:tc>
        <w:tc>
          <w:tcPr>
            <w:tcW w:type="dxa" w:w="831"/>
          </w:tcPr>
          <w:p>
            <w:pPr>
              <w:pStyle w:val="null3"/>
              <w:jc w:val="right"/>
            </w:pPr>
            <w:r>
              <w:rPr>
                <w:rFonts w:ascii="仿宋_GB2312" w:hAnsi="仿宋_GB2312" w:cs="仿宋_GB2312" w:eastAsia="仿宋_GB2312"/>
              </w:rPr>
              <w:t>25.0000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第一次磋商报价表.docx</w:t>
            </w:r>
          </w:p>
          <w:p>
            <w:pPr>
              <w:pStyle w:val="null3"/>
            </w:pPr>
            <w:r>
              <w:rPr>
                <w:rFonts w:ascii="仿宋_GB2312" w:hAnsi="仿宋_GB2312" w:cs="仿宋_GB2312" w:eastAsia="仿宋_GB2312"/>
              </w:rPr>
              <w:t>费用组成明细表.docx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相关资格证明资料.docx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详细评审75.00分</w:t>
            </w:r>
          </w:p>
          <w:p>
            <w:pPr>
              <w:pStyle w:val="null3"/>
            </w:pPr>
            <w:r>
              <w:rPr>
                <w:rFonts w:ascii="仿宋_GB2312" w:hAnsi="仿宋_GB2312" w:cs="仿宋_GB2312" w:eastAsia="仿宋_GB2312"/>
              </w:rPr>
              <w:t>报价得分25.00分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维保服务方案</w:t>
            </w:r>
          </w:p>
        </w:tc>
        <w:tc>
          <w:tcPr>
            <w:tcW w:type="dxa" w:w="2492"/>
          </w:tcPr>
          <w:p>
            <w:pPr>
              <w:pStyle w:val="null3"/>
            </w:pPr>
            <w:r>
              <w:rPr>
                <w:rFonts w:ascii="仿宋_GB2312" w:hAnsi="仿宋_GB2312" w:cs="仿宋_GB2312" w:eastAsia="仿宋_GB2312"/>
              </w:rPr>
              <w:t>一、评审内容 针对本项目提供详细的项目维保服务方案包括但不限于： ①维保技术方案及维保服务内容； ②服务响应、设备维修、故障恢复、技术支持服务方案； ③设备保养前评估、运行状况、安全检查、硬件校准及维护； ④从业人员培训安排； ⑤重点难点分析及解决方案。 二、评审标准 1、完善性:方案必须全面，对评审内容中的各项要求有详细阐述; 2、可实施性:切合本项目实际情况，提出步骤清晰、合理的方案; 3、针对性:方案能够紧扣项目实际情况，内容科学合理。 上述5项评审内容全部满足评审标准得20分，每有一个评审内容缺项扣4分，评审内容中每有一项缺陷扣1分，扣完为止。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方案响应部分.docx</w:t>
            </w:r>
          </w:p>
        </w:tc>
      </w:tr>
      <w:tr>
        <w:tc>
          <w:tcPr>
            <w:tcW w:type="dxa" w:w="831"/>
            <w:vMerge/>
          </w:tcPr>
          <w:p/>
        </w:tc>
        <w:tc>
          <w:tcPr>
            <w:tcW w:type="dxa" w:w="1661"/>
          </w:tcPr>
          <w:p>
            <w:pPr>
              <w:pStyle w:val="null3"/>
            </w:pPr>
            <w:r>
              <w:rPr>
                <w:rFonts w:ascii="仿宋_GB2312" w:hAnsi="仿宋_GB2312" w:cs="仿宋_GB2312" w:eastAsia="仿宋_GB2312"/>
              </w:rPr>
              <w:t>保障方案</w:t>
            </w:r>
          </w:p>
        </w:tc>
        <w:tc>
          <w:tcPr>
            <w:tcW w:type="dxa" w:w="2492"/>
          </w:tcPr>
          <w:p>
            <w:pPr>
              <w:pStyle w:val="null3"/>
            </w:pPr>
            <w:r>
              <w:rPr>
                <w:rFonts w:ascii="仿宋_GB2312" w:hAnsi="仿宋_GB2312" w:cs="仿宋_GB2312" w:eastAsia="仿宋_GB2312"/>
              </w:rPr>
              <w:t>一、评审内容 针对本项目制定的保障方案，包括但不限于以下内容： ①质量保障方案； ②进度保障措施。 二、评审标准 1、完善性:方案必须全面，对评审内容中的各项要求有详细阐述; 2、可实施性:切合本项目实际情况，提出步骤清晰、合理的方案; 3、针对性:方案能够紧扣项目实际情况，内容科学合理。 上述2项评审内容全部满足评审标准得6分，每有一个评审内容缺项扣3分，评审内容中每有一项缺陷扣1分，扣完为止。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方案响应部分.docx</w:t>
            </w:r>
          </w:p>
        </w:tc>
      </w:tr>
      <w:tr>
        <w:tc>
          <w:tcPr>
            <w:tcW w:type="dxa" w:w="831"/>
            <w:vMerge/>
          </w:tcPr>
          <w:p/>
        </w:tc>
        <w:tc>
          <w:tcPr>
            <w:tcW w:type="dxa" w:w="1661"/>
          </w:tcPr>
          <w:p>
            <w:pPr>
              <w:pStyle w:val="null3"/>
            </w:pPr>
            <w:r>
              <w:rPr>
                <w:rFonts w:ascii="仿宋_GB2312" w:hAnsi="仿宋_GB2312" w:cs="仿宋_GB2312" w:eastAsia="仿宋_GB2312"/>
              </w:rPr>
              <w:t>应急方案</w:t>
            </w:r>
          </w:p>
        </w:tc>
        <w:tc>
          <w:tcPr>
            <w:tcW w:type="dxa" w:w="2492"/>
          </w:tcPr>
          <w:p>
            <w:pPr>
              <w:pStyle w:val="null3"/>
            </w:pPr>
            <w:r>
              <w:rPr>
                <w:rFonts w:ascii="仿宋_GB2312" w:hAnsi="仿宋_GB2312" w:cs="仿宋_GB2312" w:eastAsia="仿宋_GB2312"/>
              </w:rPr>
              <w:t>一、评审内容 针对本项目制定的应急方案，包括但不限于以下内容： ①设备可能出现的问题、重大故障维修服务方案； ②突发事件的应急处置和解决方案。 二、评审标准 1、完善性:方案必须全面，对评审内容中的各项要求有详细阐述; 2、可实施性:切合本项目实际情况，提出步骤清晰、合理的方案; 3、针对性:方案能够紧扣项目实际情况，内容科学合理。 上述2项评审内容全部满足评审标准得6分，每有一个评审内容缺项扣3分，评审内容中每有一项缺陷扣1分，扣完为止。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方案响应部分.docx</w:t>
            </w:r>
          </w:p>
        </w:tc>
      </w:tr>
      <w:tr>
        <w:tc>
          <w:tcPr>
            <w:tcW w:type="dxa" w:w="831"/>
            <w:vMerge/>
          </w:tcPr>
          <w:p/>
        </w:tc>
        <w:tc>
          <w:tcPr>
            <w:tcW w:type="dxa" w:w="1661"/>
          </w:tcPr>
          <w:p>
            <w:pPr>
              <w:pStyle w:val="null3"/>
            </w:pPr>
            <w:r>
              <w:rPr>
                <w:rFonts w:ascii="仿宋_GB2312" w:hAnsi="仿宋_GB2312" w:cs="仿宋_GB2312" w:eastAsia="仿宋_GB2312"/>
              </w:rPr>
              <w:t>人员配置1</w:t>
            </w:r>
          </w:p>
        </w:tc>
        <w:tc>
          <w:tcPr>
            <w:tcW w:type="dxa" w:w="2492"/>
          </w:tcPr>
          <w:p>
            <w:pPr>
              <w:pStyle w:val="null3"/>
            </w:pPr>
            <w:r>
              <w:rPr>
                <w:rFonts w:ascii="仿宋_GB2312" w:hAnsi="仿宋_GB2312" w:cs="仿宋_GB2312" w:eastAsia="仿宋_GB2312"/>
              </w:rPr>
              <w:t>一、评审内容 提供详细的人员配备方案，人员岗位配备合理，数量充足，配置齐全，完全满足项目实施需求。 二、评审标准 1、完善性:方案必须全面，对评审内容中的各项要求有详细阐述; 2、可实施性:切合本项目实际情况，提出步骤清晰、合理的方案; 3、针对性:方案能够紧扣项目实际情况，内容科学合理。 上述评审内容全部满足评审标准得4分，评审内容中每有一项缺陷扣1分，扣完为止。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方案响应部分.docx</w:t>
            </w:r>
          </w:p>
        </w:tc>
      </w:tr>
      <w:tr>
        <w:tc>
          <w:tcPr>
            <w:tcW w:type="dxa" w:w="831"/>
            <w:vMerge/>
          </w:tcPr>
          <w:p/>
        </w:tc>
        <w:tc>
          <w:tcPr>
            <w:tcW w:type="dxa" w:w="1661"/>
          </w:tcPr>
          <w:p>
            <w:pPr>
              <w:pStyle w:val="null3"/>
            </w:pPr>
            <w:r>
              <w:rPr>
                <w:rFonts w:ascii="仿宋_GB2312" w:hAnsi="仿宋_GB2312" w:cs="仿宋_GB2312" w:eastAsia="仿宋_GB2312"/>
              </w:rPr>
              <w:t>人员配置2</w:t>
            </w:r>
          </w:p>
        </w:tc>
        <w:tc>
          <w:tcPr>
            <w:tcW w:type="dxa" w:w="2492"/>
          </w:tcPr>
          <w:p>
            <w:pPr>
              <w:pStyle w:val="null3"/>
            </w:pPr>
            <w:r>
              <w:rPr>
                <w:rFonts w:ascii="仿宋_GB2312" w:hAnsi="仿宋_GB2312" w:cs="仿宋_GB2312" w:eastAsia="仿宋_GB2312"/>
              </w:rPr>
              <w:t>售后服务人员具有设备管理及维修相关证明资料，每提供1名得1.5分，满6分。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方案响应部分.docx</w:t>
            </w:r>
          </w:p>
        </w:tc>
      </w:tr>
      <w:tr>
        <w:tc>
          <w:tcPr>
            <w:tcW w:type="dxa" w:w="831"/>
            <w:vMerge/>
          </w:tcPr>
          <w:p/>
        </w:tc>
        <w:tc>
          <w:tcPr>
            <w:tcW w:type="dxa" w:w="1661"/>
          </w:tcPr>
          <w:p>
            <w:pPr>
              <w:pStyle w:val="null3"/>
            </w:pPr>
            <w:r>
              <w:rPr>
                <w:rFonts w:ascii="仿宋_GB2312" w:hAnsi="仿宋_GB2312" w:cs="仿宋_GB2312" w:eastAsia="仿宋_GB2312"/>
              </w:rPr>
              <w:t>备品备件保障</w:t>
            </w:r>
          </w:p>
        </w:tc>
        <w:tc>
          <w:tcPr>
            <w:tcW w:type="dxa" w:w="2492"/>
          </w:tcPr>
          <w:p>
            <w:pPr>
              <w:pStyle w:val="null3"/>
            </w:pPr>
            <w:r>
              <w:rPr>
                <w:rFonts w:ascii="仿宋_GB2312" w:hAnsi="仿宋_GB2312" w:cs="仿宋_GB2312" w:eastAsia="仿宋_GB2312"/>
              </w:rPr>
              <w:t>①提供备品备件库存清单及仓库现场实拍图得3分，未提供不得分。 ②供应商具备独立仓储场地，可存放本项目全部核心备件，资料齐全、场地合规，满足长期维保备件储备要求得3分，未提供或资料不齐不得分。 注：自有库房提供产权证明或租赁库房的提供租赁合同；提供场地照片。</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方案响应部分.docx</w:t>
            </w:r>
          </w:p>
        </w:tc>
      </w:tr>
      <w:tr>
        <w:tc>
          <w:tcPr>
            <w:tcW w:type="dxa" w:w="831"/>
            <w:vMerge/>
          </w:tcPr>
          <w:p/>
        </w:tc>
        <w:tc>
          <w:tcPr>
            <w:tcW w:type="dxa" w:w="1661"/>
          </w:tcPr>
          <w:p>
            <w:pPr>
              <w:pStyle w:val="null3"/>
            </w:pPr>
            <w:r>
              <w:rPr>
                <w:rFonts w:ascii="仿宋_GB2312" w:hAnsi="仿宋_GB2312" w:cs="仿宋_GB2312" w:eastAsia="仿宋_GB2312"/>
              </w:rPr>
              <w:t>服务响应时间</w:t>
            </w:r>
          </w:p>
        </w:tc>
        <w:tc>
          <w:tcPr>
            <w:tcW w:type="dxa" w:w="2492"/>
          </w:tcPr>
          <w:p>
            <w:pPr>
              <w:pStyle w:val="null3"/>
            </w:pPr>
            <w:r>
              <w:rPr>
                <w:rFonts w:ascii="仿宋_GB2312" w:hAnsi="仿宋_GB2312" w:cs="仿宋_GB2312" w:eastAsia="仿宋_GB2312"/>
              </w:rPr>
              <w:t>1、故障响应到场时间在采购文件要求的基础上，每提前2小时得1分，最高得4分； 2、备件送达时间在采购文件要求的基础上，每提前8小时得1分，最高得3分； 依据供应商技术偏离表中此部分响应情况进行评审。</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方案响应部分.docx</w:t>
            </w:r>
          </w:p>
        </w:tc>
      </w:tr>
      <w:tr>
        <w:tc>
          <w:tcPr>
            <w:tcW w:type="dxa" w:w="831"/>
            <w:vMerge/>
          </w:tcPr>
          <w:p/>
        </w:tc>
        <w:tc>
          <w:tcPr>
            <w:tcW w:type="dxa" w:w="1661"/>
          </w:tcPr>
          <w:p>
            <w:pPr>
              <w:pStyle w:val="null3"/>
            </w:pPr>
            <w:r>
              <w:rPr>
                <w:rFonts w:ascii="仿宋_GB2312" w:hAnsi="仿宋_GB2312" w:cs="仿宋_GB2312" w:eastAsia="仿宋_GB2312"/>
              </w:rPr>
              <w:t>拟投入设备</w:t>
            </w:r>
          </w:p>
        </w:tc>
        <w:tc>
          <w:tcPr>
            <w:tcW w:type="dxa" w:w="2492"/>
          </w:tcPr>
          <w:p>
            <w:pPr>
              <w:pStyle w:val="null3"/>
            </w:pPr>
            <w:r>
              <w:rPr>
                <w:rFonts w:ascii="仿宋_GB2312" w:hAnsi="仿宋_GB2312" w:cs="仿宋_GB2312" w:eastAsia="仿宋_GB2312"/>
              </w:rPr>
              <w:t>一、评审内容 针对本项目配备专业的维保工具、检测设备。 注：①提供设备清单、实拍图；②自有设备提供购买合同或发票；租赁设备提供租赁合同。 二、评审标准 配备全套专用维保设备，佐证资料完整，设备匹配本项目需求，可完全满足设备深度维保、校准、故障检测维修全部需求得6分； 配备核心维保设备，仅少量辅助工具缺失，佐证材料完整齐全，可满足设备常规及深度维保需求得4分； 配备基础维保拆装工具，佐证材料完整齐全，仅能满足设备基础简单维保需求得2分； 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方案响应部分.docx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一、评审内容 ①培训内容安排情况、培训时间、地点安排； ②培训人员资质情况。 二、评审标准 1、完善性:方案必须全面，对评审内容中的各项要求有详细阐述; 2、可实施性:切合本项目实际情况，提出步骤清晰、合理的方案; 3、针对性:方案能够紧扣项目实际情况，内容科学合理。 上述2项评审内容全部满足评审标准得4分，每有一个评审内容缺项扣2分，评审内容中每有一项缺陷扣1分，扣完为止。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方案响应部分.docx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提供2023年1月1日至今同类业绩合同（以合同签订时间为准）；一个业绩得2分，最高得10分；评审依据：提供完整合同复印件并加盖公章。</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方案响应部分.docx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第一次磋商报价表.docx</w:t>
            </w:r>
          </w:p>
          <w:p>
            <w:pPr>
              <w:pStyle w:val="null3"/>
            </w:pPr>
            <w:r>
              <w:rPr>
                <w:rFonts w:ascii="仿宋_GB2312" w:hAnsi="仿宋_GB2312" w:cs="仿宋_GB2312" w:eastAsia="仿宋_GB2312"/>
              </w:rPr>
              <w:t>费用组成明细表.docx</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满足磋商文件要求且最终报价最低的报价为评审基准价，其报价分为满分。其他供应商的报价分按以下公式计算：报价得分=(评审基准价／最终报价) ×25。</w:t>
            </w:r>
          </w:p>
        </w:tc>
        <w:tc>
          <w:tcPr>
            <w:tcW w:type="dxa" w:w="831"/>
          </w:tcPr>
          <w:p>
            <w:pPr>
              <w:pStyle w:val="null3"/>
              <w:jc w:val="right"/>
            </w:pPr>
            <w:r>
              <w:rPr>
                <w:rFonts w:ascii="仿宋_GB2312" w:hAnsi="仿宋_GB2312" w:cs="仿宋_GB2312" w:eastAsia="仿宋_GB2312"/>
              </w:rPr>
              <w:t>25.0000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第一次磋商报价表.docx</w:t>
            </w:r>
          </w:p>
          <w:p>
            <w:pPr>
              <w:pStyle w:val="null3"/>
            </w:pPr>
            <w:r>
              <w:rPr>
                <w:rFonts w:ascii="仿宋_GB2312" w:hAnsi="仿宋_GB2312" w:cs="仿宋_GB2312" w:eastAsia="仿宋_GB2312"/>
              </w:rPr>
              <w:t>费用组成明细表.docx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相关资格证明资料.docx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详细评审75.00分</w:t>
            </w:r>
          </w:p>
          <w:p>
            <w:pPr>
              <w:pStyle w:val="null3"/>
            </w:pPr>
            <w:r>
              <w:rPr>
                <w:rFonts w:ascii="仿宋_GB2312" w:hAnsi="仿宋_GB2312" w:cs="仿宋_GB2312" w:eastAsia="仿宋_GB2312"/>
              </w:rPr>
              <w:t>报价得分25.00分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维保服务方案</w:t>
            </w:r>
          </w:p>
        </w:tc>
        <w:tc>
          <w:tcPr>
            <w:tcW w:type="dxa" w:w="2492"/>
          </w:tcPr>
          <w:p>
            <w:pPr>
              <w:pStyle w:val="null3"/>
            </w:pPr>
            <w:r>
              <w:rPr>
                <w:rFonts w:ascii="仿宋_GB2312" w:hAnsi="仿宋_GB2312" w:cs="仿宋_GB2312" w:eastAsia="仿宋_GB2312"/>
              </w:rPr>
              <w:t>一、评审内容 针对本项目提供详细的项目维保服务方案包括但不限于： ①维保技术方案及维保服务内容； ②服务响应、设备维修、故障恢复、技术支持服务方案； ③设备保养前评估、运行状况、安全检查、硬件校准及维护； ④从业人员培训安排； ⑤重点难点分析及解决方案。 二、评审标准 1、完善性:方案必须全面，对评审内容中的各项要求有详细阐述; 2、可实施性:切合本项目实际情况，提出步骤清晰、合理的方案; 3、针对性:方案能够紧扣项目实际情况，内容科学合理。 上述5项评审内容全部满足评审标准得20分，每有一个评审内容缺项扣4分，评审内容中每有一项缺陷扣1分，扣完为止。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方案响应部分.docx</w:t>
            </w:r>
          </w:p>
        </w:tc>
      </w:tr>
      <w:tr>
        <w:tc>
          <w:tcPr>
            <w:tcW w:type="dxa" w:w="831"/>
            <w:vMerge/>
          </w:tcPr>
          <w:p/>
        </w:tc>
        <w:tc>
          <w:tcPr>
            <w:tcW w:type="dxa" w:w="1661"/>
          </w:tcPr>
          <w:p>
            <w:pPr>
              <w:pStyle w:val="null3"/>
            </w:pPr>
            <w:r>
              <w:rPr>
                <w:rFonts w:ascii="仿宋_GB2312" w:hAnsi="仿宋_GB2312" w:cs="仿宋_GB2312" w:eastAsia="仿宋_GB2312"/>
              </w:rPr>
              <w:t>保障方案</w:t>
            </w:r>
          </w:p>
        </w:tc>
        <w:tc>
          <w:tcPr>
            <w:tcW w:type="dxa" w:w="2492"/>
          </w:tcPr>
          <w:p>
            <w:pPr>
              <w:pStyle w:val="null3"/>
            </w:pPr>
            <w:r>
              <w:rPr>
                <w:rFonts w:ascii="仿宋_GB2312" w:hAnsi="仿宋_GB2312" w:cs="仿宋_GB2312" w:eastAsia="仿宋_GB2312"/>
              </w:rPr>
              <w:t>一、评审内容 针对本项目制定的保障方案，包括但不限于以下内容： ①质量保障方案； ②进度保障措施。 二、评审标准 1、完善性:方案必须全面，对评审内容中的各项要求有详细阐述; 2、可实施性:切合本项目实际情况，提出步骤清晰、合理的方案; 3、针对性:方案能够紧扣项目实际情况，内容科学合理。 上述2项评审内容全部满足评审标准得6分，每有一个评审内容缺项扣3分，评审内容中每有一项缺陷扣1分，扣完为止。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方案响应部分.docx</w:t>
            </w:r>
          </w:p>
        </w:tc>
      </w:tr>
      <w:tr>
        <w:tc>
          <w:tcPr>
            <w:tcW w:type="dxa" w:w="831"/>
            <w:vMerge/>
          </w:tcPr>
          <w:p/>
        </w:tc>
        <w:tc>
          <w:tcPr>
            <w:tcW w:type="dxa" w:w="1661"/>
          </w:tcPr>
          <w:p>
            <w:pPr>
              <w:pStyle w:val="null3"/>
            </w:pPr>
            <w:r>
              <w:rPr>
                <w:rFonts w:ascii="仿宋_GB2312" w:hAnsi="仿宋_GB2312" w:cs="仿宋_GB2312" w:eastAsia="仿宋_GB2312"/>
              </w:rPr>
              <w:t>应急方案</w:t>
            </w:r>
          </w:p>
        </w:tc>
        <w:tc>
          <w:tcPr>
            <w:tcW w:type="dxa" w:w="2492"/>
          </w:tcPr>
          <w:p>
            <w:pPr>
              <w:pStyle w:val="null3"/>
            </w:pPr>
            <w:r>
              <w:rPr>
                <w:rFonts w:ascii="仿宋_GB2312" w:hAnsi="仿宋_GB2312" w:cs="仿宋_GB2312" w:eastAsia="仿宋_GB2312"/>
              </w:rPr>
              <w:t>一、评审内容 针对本项目制定的应急方案，包括但不限于以下内容： ①设备可能出现的问题、重大故障维修服务方案； ②突发事件的应急处置和解决方案。 二、评审标准 1、完善性:方案必须全面，对评审内容中的各项要求有详细阐述; 2、可实施性:切合本项目实际情况，提出步骤清晰、合理的方案; 3、针对性:方案能够紧扣项目实际情况，内容科学合理。 上述2项评审内容全部满足评审标准得6分，每有一个评审内容缺项扣3分，评审内容中每有一项缺陷扣1分，扣完为止。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方案响应部分.docx</w:t>
            </w:r>
          </w:p>
        </w:tc>
      </w:tr>
      <w:tr>
        <w:tc>
          <w:tcPr>
            <w:tcW w:type="dxa" w:w="831"/>
            <w:vMerge/>
          </w:tcPr>
          <w:p/>
        </w:tc>
        <w:tc>
          <w:tcPr>
            <w:tcW w:type="dxa" w:w="1661"/>
          </w:tcPr>
          <w:p>
            <w:pPr>
              <w:pStyle w:val="null3"/>
            </w:pPr>
            <w:r>
              <w:rPr>
                <w:rFonts w:ascii="仿宋_GB2312" w:hAnsi="仿宋_GB2312" w:cs="仿宋_GB2312" w:eastAsia="仿宋_GB2312"/>
              </w:rPr>
              <w:t>人员配置1</w:t>
            </w:r>
          </w:p>
        </w:tc>
        <w:tc>
          <w:tcPr>
            <w:tcW w:type="dxa" w:w="2492"/>
          </w:tcPr>
          <w:p>
            <w:pPr>
              <w:pStyle w:val="null3"/>
            </w:pPr>
            <w:r>
              <w:rPr>
                <w:rFonts w:ascii="仿宋_GB2312" w:hAnsi="仿宋_GB2312" w:cs="仿宋_GB2312" w:eastAsia="仿宋_GB2312"/>
              </w:rPr>
              <w:t>一、评审内容 提供详细的人员配备方案，人员岗位配备合理，数量充足，配置齐全，完全满足项目实施需求。 二、评审标准 1、完善性:方案必须全面，对评审内容中的各项要求有详细阐述; 2、可实施性:切合本项目实际情况，提出步骤清晰、合理的方案; 3、针对性:方案能够紧扣项目实际情况，内容科学合理。 上述评审内容全部满足评审标准得4分，评审内容中每有一项缺陷扣1分，扣完为止。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方案响应部分.docx</w:t>
            </w:r>
          </w:p>
        </w:tc>
      </w:tr>
      <w:tr>
        <w:tc>
          <w:tcPr>
            <w:tcW w:type="dxa" w:w="831"/>
            <w:vMerge/>
          </w:tcPr>
          <w:p/>
        </w:tc>
        <w:tc>
          <w:tcPr>
            <w:tcW w:type="dxa" w:w="1661"/>
          </w:tcPr>
          <w:p>
            <w:pPr>
              <w:pStyle w:val="null3"/>
            </w:pPr>
            <w:r>
              <w:rPr>
                <w:rFonts w:ascii="仿宋_GB2312" w:hAnsi="仿宋_GB2312" w:cs="仿宋_GB2312" w:eastAsia="仿宋_GB2312"/>
              </w:rPr>
              <w:t>人员配置2</w:t>
            </w:r>
          </w:p>
        </w:tc>
        <w:tc>
          <w:tcPr>
            <w:tcW w:type="dxa" w:w="2492"/>
          </w:tcPr>
          <w:p>
            <w:pPr>
              <w:pStyle w:val="null3"/>
            </w:pPr>
            <w:r>
              <w:rPr>
                <w:rFonts w:ascii="仿宋_GB2312" w:hAnsi="仿宋_GB2312" w:cs="仿宋_GB2312" w:eastAsia="仿宋_GB2312"/>
              </w:rPr>
              <w:t>售后服务人员具有设备管理及维修相关证明资料，每提供1名得1.5分，满6分。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方案响应部分.docx</w:t>
            </w:r>
          </w:p>
        </w:tc>
      </w:tr>
      <w:tr>
        <w:tc>
          <w:tcPr>
            <w:tcW w:type="dxa" w:w="831"/>
            <w:vMerge/>
          </w:tcPr>
          <w:p/>
        </w:tc>
        <w:tc>
          <w:tcPr>
            <w:tcW w:type="dxa" w:w="1661"/>
          </w:tcPr>
          <w:p>
            <w:pPr>
              <w:pStyle w:val="null3"/>
            </w:pPr>
            <w:r>
              <w:rPr>
                <w:rFonts w:ascii="仿宋_GB2312" w:hAnsi="仿宋_GB2312" w:cs="仿宋_GB2312" w:eastAsia="仿宋_GB2312"/>
              </w:rPr>
              <w:t>备品备件保障</w:t>
            </w:r>
          </w:p>
        </w:tc>
        <w:tc>
          <w:tcPr>
            <w:tcW w:type="dxa" w:w="2492"/>
          </w:tcPr>
          <w:p>
            <w:pPr>
              <w:pStyle w:val="null3"/>
            </w:pPr>
            <w:r>
              <w:rPr>
                <w:rFonts w:ascii="仿宋_GB2312" w:hAnsi="仿宋_GB2312" w:cs="仿宋_GB2312" w:eastAsia="仿宋_GB2312"/>
              </w:rPr>
              <w:t>①提供备品备件库存清单及仓库现场实拍图得3分，未提供不得分。 ②供应商具备独立仓储场地，可存放本项目全部核心备件，资料齐全、场地合规，满足长期维保备件储备要求得3分，未提供或资料不齐不得分。 注：自有库房提供产权证明或租赁库房的提供租赁合同；提供场地照片。</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方案响应部分.docx</w:t>
            </w:r>
          </w:p>
        </w:tc>
      </w:tr>
      <w:tr>
        <w:tc>
          <w:tcPr>
            <w:tcW w:type="dxa" w:w="831"/>
            <w:vMerge/>
          </w:tcPr>
          <w:p/>
        </w:tc>
        <w:tc>
          <w:tcPr>
            <w:tcW w:type="dxa" w:w="1661"/>
          </w:tcPr>
          <w:p>
            <w:pPr>
              <w:pStyle w:val="null3"/>
            </w:pPr>
            <w:r>
              <w:rPr>
                <w:rFonts w:ascii="仿宋_GB2312" w:hAnsi="仿宋_GB2312" w:cs="仿宋_GB2312" w:eastAsia="仿宋_GB2312"/>
              </w:rPr>
              <w:t>服务响应时间</w:t>
            </w:r>
          </w:p>
        </w:tc>
        <w:tc>
          <w:tcPr>
            <w:tcW w:type="dxa" w:w="2492"/>
          </w:tcPr>
          <w:p>
            <w:pPr>
              <w:pStyle w:val="null3"/>
            </w:pPr>
            <w:r>
              <w:rPr>
                <w:rFonts w:ascii="仿宋_GB2312" w:hAnsi="仿宋_GB2312" w:cs="仿宋_GB2312" w:eastAsia="仿宋_GB2312"/>
              </w:rPr>
              <w:t>1、故障响应到场时间在采购文件要求的基础上，每提前2小时得1分，最高得4分； 2、备件送达时间在采购文件要求的基础上，每提前8小时得1分，最高得3分； 依据供应商技术偏离表中此部分响应情况进行评审。</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方案响应部分.docx</w:t>
            </w:r>
          </w:p>
        </w:tc>
      </w:tr>
      <w:tr>
        <w:tc>
          <w:tcPr>
            <w:tcW w:type="dxa" w:w="831"/>
            <w:vMerge/>
          </w:tcPr>
          <w:p/>
        </w:tc>
        <w:tc>
          <w:tcPr>
            <w:tcW w:type="dxa" w:w="1661"/>
          </w:tcPr>
          <w:p>
            <w:pPr>
              <w:pStyle w:val="null3"/>
            </w:pPr>
            <w:r>
              <w:rPr>
                <w:rFonts w:ascii="仿宋_GB2312" w:hAnsi="仿宋_GB2312" w:cs="仿宋_GB2312" w:eastAsia="仿宋_GB2312"/>
              </w:rPr>
              <w:t>拟投入设备</w:t>
            </w:r>
          </w:p>
        </w:tc>
        <w:tc>
          <w:tcPr>
            <w:tcW w:type="dxa" w:w="2492"/>
          </w:tcPr>
          <w:p>
            <w:pPr>
              <w:pStyle w:val="null3"/>
            </w:pPr>
            <w:r>
              <w:rPr>
                <w:rFonts w:ascii="仿宋_GB2312" w:hAnsi="仿宋_GB2312" w:cs="仿宋_GB2312" w:eastAsia="仿宋_GB2312"/>
              </w:rPr>
              <w:t>一、评审内容 针对本项目配备专业的维保工具、检测设备。 注：①提供设备清单、实拍图；②自有设备提供购买合同或发票；租赁设备提供租赁合同。 二、评审标准 配备全套专用维保设备，佐证资料完整，设备匹配本项目需求，可完全满足设备深度维保、校准、故障检测维修全部需求得6分； 配备核心维保设备，仅少量辅助工具缺失，佐证材料完整齐全，可满足设备常规及深度维保需求得4分； 配备基础维保拆装工具，佐证材料完整齐全，仅能满足设备基础简单维保需求得2分； 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方案响应部分.docx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一、评审内容 ①培训内容安排情况、培训时间、地点安排； ②培训人员资质情况。 二、评审标准 1、完善性:方案必须全面，对评审内容中的各项要求有详细阐述; 2、可实施性:切合本项目实际情况，提出步骤清晰、合理的方案; 3、针对性:方案能够紧扣项目实际情况，内容科学合理。 上述2项评审内容全部满足评审标准得4分，每有一个评审内容缺项扣2分，评审内容中每有一项缺陷扣1分，扣完为止。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方案响应部分.docx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提供2023年1月1日至今同类业绩合同（以合同签订时间为准）；一个业绩得2分，最高得10分；评审依据：提供完整合同复印件并加盖公章。</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方案响应部分.docx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第一次磋商报价表.docx</w:t>
            </w:r>
          </w:p>
          <w:p>
            <w:pPr>
              <w:pStyle w:val="null3"/>
            </w:pPr>
            <w:r>
              <w:rPr>
                <w:rFonts w:ascii="仿宋_GB2312" w:hAnsi="仿宋_GB2312" w:cs="仿宋_GB2312" w:eastAsia="仿宋_GB2312"/>
              </w:rPr>
              <w:t>费用组成明细表.docx</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满足磋商文件要求且最终报价最低的报价为评审基准价，其报价分为满分。其他供应商的报价分按以下公式计算：报价得分=(评审基准价／最终报价) ×25。</w:t>
            </w:r>
          </w:p>
        </w:tc>
        <w:tc>
          <w:tcPr>
            <w:tcW w:type="dxa" w:w="831"/>
          </w:tcPr>
          <w:p>
            <w:pPr>
              <w:pStyle w:val="null3"/>
              <w:jc w:val="right"/>
            </w:pPr>
            <w:r>
              <w:rPr>
                <w:rFonts w:ascii="仿宋_GB2312" w:hAnsi="仿宋_GB2312" w:cs="仿宋_GB2312" w:eastAsia="仿宋_GB2312"/>
              </w:rPr>
              <w:t>25.0000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第一次磋商报价表.docx</w:t>
            </w:r>
          </w:p>
          <w:p>
            <w:pPr>
              <w:pStyle w:val="null3"/>
            </w:pPr>
            <w:r>
              <w:rPr>
                <w:rFonts w:ascii="仿宋_GB2312" w:hAnsi="仿宋_GB2312" w:cs="仿宋_GB2312" w:eastAsia="仿宋_GB2312"/>
              </w:rPr>
              <w:t>费用组成明细表.docx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相关资格证明资料.docx</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详细评审75.00分</w:t>
            </w:r>
          </w:p>
          <w:p>
            <w:pPr>
              <w:pStyle w:val="null3"/>
            </w:pPr>
            <w:r>
              <w:rPr>
                <w:rFonts w:ascii="仿宋_GB2312" w:hAnsi="仿宋_GB2312" w:cs="仿宋_GB2312" w:eastAsia="仿宋_GB2312"/>
              </w:rPr>
              <w:t>报价得分25.00分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维保服务方案</w:t>
            </w:r>
          </w:p>
        </w:tc>
        <w:tc>
          <w:tcPr>
            <w:tcW w:type="dxa" w:w="2492"/>
          </w:tcPr>
          <w:p>
            <w:pPr>
              <w:pStyle w:val="null3"/>
            </w:pPr>
            <w:r>
              <w:rPr>
                <w:rFonts w:ascii="仿宋_GB2312" w:hAnsi="仿宋_GB2312" w:cs="仿宋_GB2312" w:eastAsia="仿宋_GB2312"/>
              </w:rPr>
              <w:t>一、评审内容 针对本项目提供详细的项目维保服务方案包括但不限于： ①维保技术方案及维保服务内容； ②服务响应、设备维修、故障恢复、技术支持服务方案； ③设备保养前评估、运行状况、安全检查、硬件校准及维护； ④从业人员培训安排； ⑤重点难点分析及解决方案。 二、评审标准 1、完善性:方案必须全面，对评审内容中的各项要求有详细阐述; 2、可实施性:切合本项目实际情况，提出步骤清晰、合理的方案; 3、针对性:方案能够紧扣项目实际情况，内容科学合理。 上述5项评审内容全部满足评审标准得20分，每有一个评审内容缺项扣4分，评审内容中每有一项缺陷扣1分，扣完为止。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方案响应部分.docx</w:t>
            </w:r>
          </w:p>
        </w:tc>
      </w:tr>
      <w:tr>
        <w:tc>
          <w:tcPr>
            <w:tcW w:type="dxa" w:w="831"/>
            <w:vMerge/>
          </w:tcPr>
          <w:p/>
        </w:tc>
        <w:tc>
          <w:tcPr>
            <w:tcW w:type="dxa" w:w="1661"/>
          </w:tcPr>
          <w:p>
            <w:pPr>
              <w:pStyle w:val="null3"/>
            </w:pPr>
            <w:r>
              <w:rPr>
                <w:rFonts w:ascii="仿宋_GB2312" w:hAnsi="仿宋_GB2312" w:cs="仿宋_GB2312" w:eastAsia="仿宋_GB2312"/>
              </w:rPr>
              <w:t>保障方案</w:t>
            </w:r>
          </w:p>
        </w:tc>
        <w:tc>
          <w:tcPr>
            <w:tcW w:type="dxa" w:w="2492"/>
          </w:tcPr>
          <w:p>
            <w:pPr>
              <w:pStyle w:val="null3"/>
            </w:pPr>
            <w:r>
              <w:rPr>
                <w:rFonts w:ascii="仿宋_GB2312" w:hAnsi="仿宋_GB2312" w:cs="仿宋_GB2312" w:eastAsia="仿宋_GB2312"/>
              </w:rPr>
              <w:t>一、评审内容 针对本项目制定的保障方案，包括但不限于以下内容： ①质量保障方案； ②进度保障措施。 二、评审标准 1、完善性:方案必须全面，对评审内容中的各项要求有详细阐述; 2、可实施性:切合本项目实际情况，提出步骤清晰、合理的方案; 3、针对性:方案能够紧扣项目实际情况，内容科学合理。 上述2项评审内容全部满足评审标准得6分，每有一个评审内容缺项扣3分，评审内容中每有一项缺陷扣1分，扣完为止。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方案响应部分.docx</w:t>
            </w:r>
          </w:p>
        </w:tc>
      </w:tr>
      <w:tr>
        <w:tc>
          <w:tcPr>
            <w:tcW w:type="dxa" w:w="831"/>
            <w:vMerge/>
          </w:tcPr>
          <w:p/>
        </w:tc>
        <w:tc>
          <w:tcPr>
            <w:tcW w:type="dxa" w:w="1661"/>
          </w:tcPr>
          <w:p>
            <w:pPr>
              <w:pStyle w:val="null3"/>
            </w:pPr>
            <w:r>
              <w:rPr>
                <w:rFonts w:ascii="仿宋_GB2312" w:hAnsi="仿宋_GB2312" w:cs="仿宋_GB2312" w:eastAsia="仿宋_GB2312"/>
              </w:rPr>
              <w:t>应急方案</w:t>
            </w:r>
          </w:p>
        </w:tc>
        <w:tc>
          <w:tcPr>
            <w:tcW w:type="dxa" w:w="2492"/>
          </w:tcPr>
          <w:p>
            <w:pPr>
              <w:pStyle w:val="null3"/>
            </w:pPr>
            <w:r>
              <w:rPr>
                <w:rFonts w:ascii="仿宋_GB2312" w:hAnsi="仿宋_GB2312" w:cs="仿宋_GB2312" w:eastAsia="仿宋_GB2312"/>
              </w:rPr>
              <w:t>一、评审内容 针对本项目制定的应急方案，包括但不限于以下内容： ①设备可能出现的问题、重大故障维修服务方案； ②突发事件的应急处置和解决方案。 二、评审标准 1、完善性:方案必须全面，对评审内容中的各项要求有详细阐述; 2、可实施性:切合本项目实际情况，提出步骤清晰、合理的方案; 3、针对性:方案能够紧扣项目实际情况，内容科学合理。 上述2项评审内容全部满足评审标准得6分，每有一个评审内容缺项扣3分，评审内容中每有一项缺陷扣1分，扣完为止。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方案响应部分.docx</w:t>
            </w:r>
          </w:p>
        </w:tc>
      </w:tr>
      <w:tr>
        <w:tc>
          <w:tcPr>
            <w:tcW w:type="dxa" w:w="831"/>
            <w:vMerge/>
          </w:tcPr>
          <w:p/>
        </w:tc>
        <w:tc>
          <w:tcPr>
            <w:tcW w:type="dxa" w:w="1661"/>
          </w:tcPr>
          <w:p>
            <w:pPr>
              <w:pStyle w:val="null3"/>
            </w:pPr>
            <w:r>
              <w:rPr>
                <w:rFonts w:ascii="仿宋_GB2312" w:hAnsi="仿宋_GB2312" w:cs="仿宋_GB2312" w:eastAsia="仿宋_GB2312"/>
              </w:rPr>
              <w:t>人员配置1</w:t>
            </w:r>
          </w:p>
        </w:tc>
        <w:tc>
          <w:tcPr>
            <w:tcW w:type="dxa" w:w="2492"/>
          </w:tcPr>
          <w:p>
            <w:pPr>
              <w:pStyle w:val="null3"/>
            </w:pPr>
            <w:r>
              <w:rPr>
                <w:rFonts w:ascii="仿宋_GB2312" w:hAnsi="仿宋_GB2312" w:cs="仿宋_GB2312" w:eastAsia="仿宋_GB2312"/>
              </w:rPr>
              <w:t>一、评审内容 提供详细的人员配备方案，人员岗位配备合理，数量充足，配置齐全，完全满足项目实施需求。 二、评审标准 1、完善性:方案必须全面，对评审内容中的各项要求有详细阐述; 2、可实施性:切合本项目实际情况，提出步骤清晰、合理的方案; 3、针对性:方案能够紧扣项目实际情况，内容科学合理。 上述评审内容全部满足评审标准得4分，评审内容中每有一项缺陷扣1分，扣完为止。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方案响应部分.docx</w:t>
            </w:r>
          </w:p>
        </w:tc>
      </w:tr>
      <w:tr>
        <w:tc>
          <w:tcPr>
            <w:tcW w:type="dxa" w:w="831"/>
            <w:vMerge/>
          </w:tcPr>
          <w:p/>
        </w:tc>
        <w:tc>
          <w:tcPr>
            <w:tcW w:type="dxa" w:w="1661"/>
          </w:tcPr>
          <w:p>
            <w:pPr>
              <w:pStyle w:val="null3"/>
            </w:pPr>
            <w:r>
              <w:rPr>
                <w:rFonts w:ascii="仿宋_GB2312" w:hAnsi="仿宋_GB2312" w:cs="仿宋_GB2312" w:eastAsia="仿宋_GB2312"/>
              </w:rPr>
              <w:t>人员配置2</w:t>
            </w:r>
          </w:p>
        </w:tc>
        <w:tc>
          <w:tcPr>
            <w:tcW w:type="dxa" w:w="2492"/>
          </w:tcPr>
          <w:p>
            <w:pPr>
              <w:pStyle w:val="null3"/>
            </w:pPr>
            <w:r>
              <w:rPr>
                <w:rFonts w:ascii="仿宋_GB2312" w:hAnsi="仿宋_GB2312" w:cs="仿宋_GB2312" w:eastAsia="仿宋_GB2312"/>
              </w:rPr>
              <w:t>售后服务人员具有设备管理及维修相关证明资料，每提供1名得1.5分，满6分。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方案响应部分.docx</w:t>
            </w:r>
          </w:p>
        </w:tc>
      </w:tr>
      <w:tr>
        <w:tc>
          <w:tcPr>
            <w:tcW w:type="dxa" w:w="831"/>
            <w:vMerge/>
          </w:tcPr>
          <w:p/>
        </w:tc>
        <w:tc>
          <w:tcPr>
            <w:tcW w:type="dxa" w:w="1661"/>
          </w:tcPr>
          <w:p>
            <w:pPr>
              <w:pStyle w:val="null3"/>
            </w:pPr>
            <w:r>
              <w:rPr>
                <w:rFonts w:ascii="仿宋_GB2312" w:hAnsi="仿宋_GB2312" w:cs="仿宋_GB2312" w:eastAsia="仿宋_GB2312"/>
              </w:rPr>
              <w:t>备品备件保障</w:t>
            </w:r>
          </w:p>
        </w:tc>
        <w:tc>
          <w:tcPr>
            <w:tcW w:type="dxa" w:w="2492"/>
          </w:tcPr>
          <w:p>
            <w:pPr>
              <w:pStyle w:val="null3"/>
            </w:pPr>
            <w:r>
              <w:rPr>
                <w:rFonts w:ascii="仿宋_GB2312" w:hAnsi="仿宋_GB2312" w:cs="仿宋_GB2312" w:eastAsia="仿宋_GB2312"/>
              </w:rPr>
              <w:t>①提供备品备件库存清单及仓库现场实拍图得3分，未提供不得分。 ②供应商具备独立仓储场地，可存放本项目全部核心备件，资料齐全、场地合规，满足长期维保备件储备要求得3分，未提供或资料不齐不得分。 注：自有库房提供产权证明或租赁库房的提供租赁合同；提供场地照片。</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方案响应部分.docx</w:t>
            </w:r>
          </w:p>
        </w:tc>
      </w:tr>
      <w:tr>
        <w:tc>
          <w:tcPr>
            <w:tcW w:type="dxa" w:w="831"/>
            <w:vMerge/>
          </w:tcPr>
          <w:p/>
        </w:tc>
        <w:tc>
          <w:tcPr>
            <w:tcW w:type="dxa" w:w="1661"/>
          </w:tcPr>
          <w:p>
            <w:pPr>
              <w:pStyle w:val="null3"/>
            </w:pPr>
            <w:r>
              <w:rPr>
                <w:rFonts w:ascii="仿宋_GB2312" w:hAnsi="仿宋_GB2312" w:cs="仿宋_GB2312" w:eastAsia="仿宋_GB2312"/>
              </w:rPr>
              <w:t>服务响应时间</w:t>
            </w:r>
          </w:p>
        </w:tc>
        <w:tc>
          <w:tcPr>
            <w:tcW w:type="dxa" w:w="2492"/>
          </w:tcPr>
          <w:p>
            <w:pPr>
              <w:pStyle w:val="null3"/>
            </w:pPr>
            <w:r>
              <w:rPr>
                <w:rFonts w:ascii="仿宋_GB2312" w:hAnsi="仿宋_GB2312" w:cs="仿宋_GB2312" w:eastAsia="仿宋_GB2312"/>
              </w:rPr>
              <w:t>1、故障响应到场时间在采购文件要求的基础上，每提前2小时得1分，最高得4分； 2、备件送达时间在采购文件要求的基础上，每提前8小时得1分，最高得3分； 依据供应商技术偏离表中此部分响应情况进行评审。</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方案响应部分.docx</w:t>
            </w:r>
          </w:p>
        </w:tc>
      </w:tr>
      <w:tr>
        <w:tc>
          <w:tcPr>
            <w:tcW w:type="dxa" w:w="831"/>
            <w:vMerge/>
          </w:tcPr>
          <w:p/>
        </w:tc>
        <w:tc>
          <w:tcPr>
            <w:tcW w:type="dxa" w:w="1661"/>
          </w:tcPr>
          <w:p>
            <w:pPr>
              <w:pStyle w:val="null3"/>
            </w:pPr>
            <w:r>
              <w:rPr>
                <w:rFonts w:ascii="仿宋_GB2312" w:hAnsi="仿宋_GB2312" w:cs="仿宋_GB2312" w:eastAsia="仿宋_GB2312"/>
              </w:rPr>
              <w:t>拟投入设备</w:t>
            </w:r>
          </w:p>
        </w:tc>
        <w:tc>
          <w:tcPr>
            <w:tcW w:type="dxa" w:w="2492"/>
          </w:tcPr>
          <w:p>
            <w:pPr>
              <w:pStyle w:val="null3"/>
            </w:pPr>
            <w:r>
              <w:rPr>
                <w:rFonts w:ascii="仿宋_GB2312" w:hAnsi="仿宋_GB2312" w:cs="仿宋_GB2312" w:eastAsia="仿宋_GB2312"/>
              </w:rPr>
              <w:t>一、评审内容 针对本项目配备专业的维保工具、检测设备。 注：①提供设备清单、实拍图；②自有设备提供购买合同或发票；租赁设备提供租赁合同。 二、评审标准 配备全套专用维保设备，佐证资料完整，设备匹配本项目需求，可完全满足设备深度维保、校准、故障检测维修全部需求得6分； 配备核心维保设备，仅少量辅助工具缺失，佐证材料完整齐全，可满足设备常规及深度维保需求得4分； 配备基础维保拆装工具，佐证材料完整齐全，仅能满足设备基础简单维保需求得2分； 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方案响应部分.docx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一、评审内容 ①培训内容安排情况、培训时间、地点安排； ②培训人员资质情况。 二、评审标准 1、完善性:方案必须全面，对评审内容中的各项要求有详细阐述; 2、可实施性:切合本项目实际情况，提出步骤清晰、合理的方案; 3、针对性:方案能够紧扣项目实际情况，内容科学合理。 上述2项评审内容全部满足评审标准得4分，每有一个评审内容缺项扣2分，评审内容中每有一项缺陷扣1分，扣完为止。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方案响应部分.docx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提供2023年1月1日至今同类业绩合同（以合同签订时间为准）；一个业绩得2分，最高得10分；评审依据：提供完整合同复印件并加盖公章。</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方案响应部分.docx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第一次磋商报价表.docx</w:t>
            </w:r>
          </w:p>
          <w:p>
            <w:pPr>
              <w:pStyle w:val="null3"/>
            </w:pPr>
            <w:r>
              <w:rPr>
                <w:rFonts w:ascii="仿宋_GB2312" w:hAnsi="仿宋_GB2312" w:cs="仿宋_GB2312" w:eastAsia="仿宋_GB2312"/>
              </w:rPr>
              <w:t>费用组成明细表.docx</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满足磋商文件要求且最终报价最低的报价为评审基准价，其报价分为满分。其他供应商的报价分按以下公式计算：报价得分=(评审基准价／最终报价) ×25。</w:t>
            </w:r>
          </w:p>
        </w:tc>
        <w:tc>
          <w:tcPr>
            <w:tcW w:type="dxa" w:w="831"/>
          </w:tcPr>
          <w:p>
            <w:pPr>
              <w:pStyle w:val="null3"/>
              <w:jc w:val="right"/>
            </w:pPr>
            <w:r>
              <w:rPr>
                <w:rFonts w:ascii="仿宋_GB2312" w:hAnsi="仿宋_GB2312" w:cs="仿宋_GB2312" w:eastAsia="仿宋_GB2312"/>
              </w:rPr>
              <w:t>25.0000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第一次磋商报价表.docx</w:t>
            </w:r>
          </w:p>
          <w:p>
            <w:pPr>
              <w:pStyle w:val="null3"/>
            </w:pPr>
            <w:r>
              <w:rPr>
                <w:rFonts w:ascii="仿宋_GB2312" w:hAnsi="仿宋_GB2312" w:cs="仿宋_GB2312" w:eastAsia="仿宋_GB2312"/>
              </w:rPr>
              <w:t>费用组成明细表.docx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相关资格证明资料.docx</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详见附件：第一次磋商报价表.docx</w:t>
      </w:r>
    </w:p>
    <w:p>
      <w:pPr>
        <w:pStyle w:val="null3"/>
        <w:ind w:firstLine="960"/>
      </w:pPr>
      <w:r>
        <w:rPr>
          <w:rFonts w:ascii="仿宋_GB2312" w:hAnsi="仿宋_GB2312" w:cs="仿宋_GB2312" w:eastAsia="仿宋_GB2312"/>
        </w:rPr>
        <w:t>详见附件：费用组成明细表.docx</w:t>
      </w:r>
    </w:p>
    <w:p>
      <w:pPr>
        <w:pStyle w:val="null3"/>
        <w:ind w:firstLine="960"/>
      </w:pPr>
      <w:r>
        <w:rPr>
          <w:rFonts w:ascii="仿宋_GB2312" w:hAnsi="仿宋_GB2312" w:cs="仿宋_GB2312" w:eastAsia="仿宋_GB2312"/>
        </w:rPr>
        <w:t>详见附件：技术偏离表.docx</w:t>
      </w:r>
    </w:p>
    <w:p>
      <w:pPr>
        <w:pStyle w:val="null3"/>
        <w:ind w:firstLine="960"/>
      </w:pPr>
      <w:r>
        <w:rPr>
          <w:rFonts w:ascii="仿宋_GB2312" w:hAnsi="仿宋_GB2312" w:cs="仿宋_GB2312" w:eastAsia="仿宋_GB2312"/>
        </w:rPr>
        <w:t>详见附件：相关资格证明资料.docx</w:t>
      </w:r>
    </w:p>
    <w:p>
      <w:pPr>
        <w:pStyle w:val="null3"/>
        <w:ind w:firstLine="960"/>
      </w:pPr>
      <w:r>
        <w:rPr>
          <w:rFonts w:ascii="仿宋_GB2312" w:hAnsi="仿宋_GB2312" w:cs="仿宋_GB2312" w:eastAsia="仿宋_GB2312"/>
        </w:rPr>
        <w:t>详见附件：其他资料.docx</w:t>
      </w:r>
    </w:p>
    <w:p>
      <w:pPr>
        <w:pStyle w:val="null3"/>
        <w:ind w:firstLine="960"/>
      </w:pPr>
      <w:r>
        <w:rPr>
          <w:rFonts w:ascii="仿宋_GB2312" w:hAnsi="仿宋_GB2312" w:cs="仿宋_GB2312" w:eastAsia="仿宋_GB2312"/>
        </w:rPr>
        <w:t>详见附件：方案响应部分.docx</w:t>
      </w:r>
    </w:p>
    <w:p>
      <w:pPr>
        <w:pStyle w:val="null3"/>
        <w:ind w:firstLine="960"/>
      </w:pPr>
      <w:r>
        <w:rPr>
          <w:rFonts w:ascii="仿宋_GB2312" w:hAnsi="仿宋_GB2312" w:cs="仿宋_GB2312" w:eastAsia="仿宋_GB2312"/>
        </w:rPr>
        <w:t>详见附件：承诺书.docx</w:t>
      </w:r>
    </w:p>
    <w:p>
      <w:pPr>
        <w:pStyle w:val="null3"/>
        <w:ind w:firstLine="960"/>
      </w:pPr>
      <w:r>
        <w:rPr>
          <w:rFonts w:ascii="仿宋_GB2312" w:hAnsi="仿宋_GB2312" w:cs="仿宋_GB2312" w:eastAsia="仿宋_GB2312"/>
        </w:rPr>
        <w:t>详见附件：供应商认为有必要说明的其他事项（如有）.docx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详见附件：第一次磋商报价表.docx</w:t>
      </w:r>
    </w:p>
    <w:p>
      <w:pPr>
        <w:pStyle w:val="null3"/>
        <w:ind w:firstLine="960"/>
      </w:pPr>
      <w:r>
        <w:rPr>
          <w:rFonts w:ascii="仿宋_GB2312" w:hAnsi="仿宋_GB2312" w:cs="仿宋_GB2312" w:eastAsia="仿宋_GB2312"/>
        </w:rPr>
        <w:t>详见附件：费用组成明细表.docx</w:t>
      </w:r>
    </w:p>
    <w:p>
      <w:pPr>
        <w:pStyle w:val="null3"/>
        <w:ind w:firstLine="960"/>
      </w:pPr>
      <w:r>
        <w:rPr>
          <w:rFonts w:ascii="仿宋_GB2312" w:hAnsi="仿宋_GB2312" w:cs="仿宋_GB2312" w:eastAsia="仿宋_GB2312"/>
        </w:rPr>
        <w:t>详见附件：技术偏离表.docx</w:t>
      </w:r>
    </w:p>
    <w:p>
      <w:pPr>
        <w:pStyle w:val="null3"/>
        <w:ind w:firstLine="960"/>
      </w:pPr>
      <w:r>
        <w:rPr>
          <w:rFonts w:ascii="仿宋_GB2312" w:hAnsi="仿宋_GB2312" w:cs="仿宋_GB2312" w:eastAsia="仿宋_GB2312"/>
        </w:rPr>
        <w:t>详见附件：相关资格证明资料.docx</w:t>
      </w:r>
    </w:p>
    <w:p>
      <w:pPr>
        <w:pStyle w:val="null3"/>
        <w:ind w:firstLine="960"/>
      </w:pPr>
      <w:r>
        <w:rPr>
          <w:rFonts w:ascii="仿宋_GB2312" w:hAnsi="仿宋_GB2312" w:cs="仿宋_GB2312" w:eastAsia="仿宋_GB2312"/>
        </w:rPr>
        <w:t>详见附件：其他资料.docx</w:t>
      </w:r>
    </w:p>
    <w:p>
      <w:pPr>
        <w:pStyle w:val="null3"/>
        <w:ind w:firstLine="960"/>
      </w:pPr>
      <w:r>
        <w:rPr>
          <w:rFonts w:ascii="仿宋_GB2312" w:hAnsi="仿宋_GB2312" w:cs="仿宋_GB2312" w:eastAsia="仿宋_GB2312"/>
        </w:rPr>
        <w:t>详见附件：方案响应部分.docx</w:t>
      </w:r>
    </w:p>
    <w:p>
      <w:pPr>
        <w:pStyle w:val="null3"/>
        <w:ind w:firstLine="960"/>
      </w:pPr>
      <w:r>
        <w:rPr>
          <w:rFonts w:ascii="仿宋_GB2312" w:hAnsi="仿宋_GB2312" w:cs="仿宋_GB2312" w:eastAsia="仿宋_GB2312"/>
        </w:rPr>
        <w:t>详见附件：承诺书.docx</w:t>
      </w:r>
    </w:p>
    <w:p>
      <w:pPr>
        <w:pStyle w:val="null3"/>
        <w:ind w:firstLine="960"/>
      </w:pPr>
      <w:r>
        <w:rPr>
          <w:rFonts w:ascii="仿宋_GB2312" w:hAnsi="仿宋_GB2312" w:cs="仿宋_GB2312" w:eastAsia="仿宋_GB2312"/>
        </w:rPr>
        <w:t>详见附件：供应商认为有必要说明的其他事项（如有）.docx</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详见附件：第一次磋商报价表.docx</w:t>
      </w:r>
    </w:p>
    <w:p>
      <w:pPr>
        <w:pStyle w:val="null3"/>
        <w:ind w:firstLine="960"/>
      </w:pPr>
      <w:r>
        <w:rPr>
          <w:rFonts w:ascii="仿宋_GB2312" w:hAnsi="仿宋_GB2312" w:cs="仿宋_GB2312" w:eastAsia="仿宋_GB2312"/>
        </w:rPr>
        <w:t>详见附件：费用组成明细表.docx</w:t>
      </w:r>
    </w:p>
    <w:p>
      <w:pPr>
        <w:pStyle w:val="null3"/>
        <w:ind w:firstLine="960"/>
      </w:pPr>
      <w:r>
        <w:rPr>
          <w:rFonts w:ascii="仿宋_GB2312" w:hAnsi="仿宋_GB2312" w:cs="仿宋_GB2312" w:eastAsia="仿宋_GB2312"/>
        </w:rPr>
        <w:t>详见附件：技术偏离表.docx</w:t>
      </w:r>
    </w:p>
    <w:p>
      <w:pPr>
        <w:pStyle w:val="null3"/>
        <w:ind w:firstLine="960"/>
      </w:pPr>
      <w:r>
        <w:rPr>
          <w:rFonts w:ascii="仿宋_GB2312" w:hAnsi="仿宋_GB2312" w:cs="仿宋_GB2312" w:eastAsia="仿宋_GB2312"/>
        </w:rPr>
        <w:t>详见附件：相关资格证明资料.docx</w:t>
      </w:r>
    </w:p>
    <w:p>
      <w:pPr>
        <w:pStyle w:val="null3"/>
        <w:ind w:firstLine="960"/>
      </w:pPr>
      <w:r>
        <w:rPr>
          <w:rFonts w:ascii="仿宋_GB2312" w:hAnsi="仿宋_GB2312" w:cs="仿宋_GB2312" w:eastAsia="仿宋_GB2312"/>
        </w:rPr>
        <w:t>详见附件：其他资料.docx</w:t>
      </w:r>
    </w:p>
    <w:p>
      <w:pPr>
        <w:pStyle w:val="null3"/>
        <w:ind w:firstLine="960"/>
      </w:pPr>
      <w:r>
        <w:rPr>
          <w:rFonts w:ascii="仿宋_GB2312" w:hAnsi="仿宋_GB2312" w:cs="仿宋_GB2312" w:eastAsia="仿宋_GB2312"/>
        </w:rPr>
        <w:t>详见附件：方案响应部分.docx</w:t>
      </w:r>
    </w:p>
    <w:p>
      <w:pPr>
        <w:pStyle w:val="null3"/>
        <w:ind w:firstLine="960"/>
      </w:pPr>
      <w:r>
        <w:rPr>
          <w:rFonts w:ascii="仿宋_GB2312" w:hAnsi="仿宋_GB2312" w:cs="仿宋_GB2312" w:eastAsia="仿宋_GB2312"/>
        </w:rPr>
        <w:t>详见附件：承诺书.docx</w:t>
      </w:r>
    </w:p>
    <w:p>
      <w:pPr>
        <w:pStyle w:val="null3"/>
        <w:ind w:firstLine="960"/>
      </w:pPr>
      <w:r>
        <w:rPr>
          <w:rFonts w:ascii="仿宋_GB2312" w:hAnsi="仿宋_GB2312" w:cs="仿宋_GB2312" w:eastAsia="仿宋_GB2312"/>
        </w:rPr>
        <w:t>详见附件：供应商认为有必要说明的其他事项（如有）.docx</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详见附件：第一次磋商报价表.docx</w:t>
      </w:r>
    </w:p>
    <w:p>
      <w:pPr>
        <w:pStyle w:val="null3"/>
        <w:ind w:firstLine="960"/>
      </w:pPr>
      <w:r>
        <w:rPr>
          <w:rFonts w:ascii="仿宋_GB2312" w:hAnsi="仿宋_GB2312" w:cs="仿宋_GB2312" w:eastAsia="仿宋_GB2312"/>
        </w:rPr>
        <w:t>详见附件：费用组成明细表.docx</w:t>
      </w:r>
    </w:p>
    <w:p>
      <w:pPr>
        <w:pStyle w:val="null3"/>
        <w:ind w:firstLine="960"/>
      </w:pPr>
      <w:r>
        <w:rPr>
          <w:rFonts w:ascii="仿宋_GB2312" w:hAnsi="仿宋_GB2312" w:cs="仿宋_GB2312" w:eastAsia="仿宋_GB2312"/>
        </w:rPr>
        <w:t>详见附件：技术偏离表.docx</w:t>
      </w:r>
    </w:p>
    <w:p>
      <w:pPr>
        <w:pStyle w:val="null3"/>
        <w:ind w:firstLine="960"/>
      </w:pPr>
      <w:r>
        <w:rPr>
          <w:rFonts w:ascii="仿宋_GB2312" w:hAnsi="仿宋_GB2312" w:cs="仿宋_GB2312" w:eastAsia="仿宋_GB2312"/>
        </w:rPr>
        <w:t>详见附件：相关资格证明资料.docx</w:t>
      </w:r>
    </w:p>
    <w:p>
      <w:pPr>
        <w:pStyle w:val="null3"/>
        <w:ind w:firstLine="960"/>
      </w:pPr>
      <w:r>
        <w:rPr>
          <w:rFonts w:ascii="仿宋_GB2312" w:hAnsi="仿宋_GB2312" w:cs="仿宋_GB2312" w:eastAsia="仿宋_GB2312"/>
        </w:rPr>
        <w:t>详见附件：其他资料.docx</w:t>
      </w:r>
    </w:p>
    <w:p>
      <w:pPr>
        <w:pStyle w:val="null3"/>
        <w:ind w:firstLine="960"/>
      </w:pPr>
      <w:r>
        <w:rPr>
          <w:rFonts w:ascii="仿宋_GB2312" w:hAnsi="仿宋_GB2312" w:cs="仿宋_GB2312" w:eastAsia="仿宋_GB2312"/>
        </w:rPr>
        <w:t>详见附件：方案响应部分.docx</w:t>
      </w:r>
    </w:p>
    <w:p>
      <w:pPr>
        <w:pStyle w:val="null3"/>
        <w:ind w:firstLine="960"/>
      </w:pPr>
      <w:r>
        <w:rPr>
          <w:rFonts w:ascii="仿宋_GB2312" w:hAnsi="仿宋_GB2312" w:cs="仿宋_GB2312" w:eastAsia="仿宋_GB2312"/>
        </w:rPr>
        <w:t>详见附件：承诺书.docx</w:t>
      </w:r>
    </w:p>
    <w:p>
      <w:pPr>
        <w:pStyle w:val="null3"/>
        <w:ind w:firstLine="960"/>
      </w:pPr>
      <w:r>
        <w:rPr>
          <w:rFonts w:ascii="仿宋_GB2312" w:hAnsi="仿宋_GB2312" w:cs="仿宋_GB2312" w:eastAsia="仿宋_GB2312"/>
        </w:rPr>
        <w:t>详见附件：供应商认为有必要说明的其他事项（如有）.docx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