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版本号：JJX-2026-033.1B120260715001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2026年安全生产治本攻坚三年行动中小企业主要负责人和安全管理人员安全生产及工伤预防教育培训项目(二次)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JJX-2026-033.1B1</w:t>
      </w:r>
      <w:r>
        <w:br/>
      </w:r>
      <w:r>
        <w:br/>
      </w:r>
      <w:r>
        <w:br/>
      </w:r>
    </w:p>
    <w:p>
      <w:pPr>
        <w:pStyle w:val="null3"/>
        <w:jc w:val="center"/>
        <w:outlineLvl w:val="2"/>
      </w:pPr>
      <w:r>
        <w:rPr>
          <w:rFonts w:ascii="仿宋_GB2312" w:hAnsi="仿宋_GB2312" w:cs="仿宋_GB2312" w:eastAsia="仿宋_GB2312"/>
          <w:sz w:val="28"/>
          <w:b/>
        </w:rPr>
        <w:t>渭南市应急管理局</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渭南市应急管理局</w:t>
      </w:r>
      <w:r>
        <w:rPr>
          <w:rFonts w:ascii="仿宋_GB2312" w:hAnsi="仿宋_GB2312" w:cs="仿宋_GB2312" w:eastAsia="仿宋_GB2312"/>
        </w:rPr>
        <w:t>委托，拟对</w:t>
      </w:r>
      <w:r>
        <w:rPr>
          <w:rFonts w:ascii="仿宋_GB2312" w:hAnsi="仿宋_GB2312" w:cs="仿宋_GB2312" w:eastAsia="仿宋_GB2312"/>
        </w:rPr>
        <w:t>2026年安全生产治本攻坚三年行动中小企业主要负责人和安全管理人员安全生产及工伤预防教育培训项目(二次)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2026年安全生产治本攻坚三年行动中小企业主要负责人和安全管理人员安全生产及工伤预防教育培训项目(二次)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举办全市中小企业主要负责人和安全管理人员安全生产及工伤预防教育培训工作，具体详见竞争性磋商文件采购内容。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姚军科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渭南市应急管理局</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本项目不涉及知识产权约束，保证采购人正常使用项目产品不会受到任何限制与影响。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1.资料：提供完整培训资料。 2.服务：按合同和响应文件承诺完成服务。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举办全市中小企业主要负责人和安全管理人员安全生产及工伤预防教育培训工作，具体服务内容详见采购文件。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开展全市中小企业主要负责人和安全管理人员安全生产及工伤预防教育培训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标的名称：开展全市中小企业主要负责人和安全管理人员安全生产及工伤预防教育培训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培训对象</w:t>
            </w:r>
          </w:p>
          <w:p>
            <w:pPr>
              <w:pStyle w:val="null3"/>
              <w:ind w:firstLine="480"/>
            </w:pPr>
            <w:r>
              <w:rPr>
                <w:rFonts w:ascii="仿宋_GB2312" w:hAnsi="仿宋_GB2312" w:cs="仿宋_GB2312" w:eastAsia="仿宋_GB2312"/>
                <w:sz w:val="24"/>
              </w:rPr>
              <w:t>1.危险化学品</w:t>
            </w:r>
            <w:r>
              <w:rPr>
                <w:rFonts w:ascii="仿宋_GB2312" w:hAnsi="仿宋_GB2312" w:cs="仿宋_GB2312" w:eastAsia="仿宋_GB2312"/>
                <w:sz w:val="24"/>
              </w:rPr>
              <w:t>行业</w:t>
            </w:r>
            <w:r>
              <w:rPr>
                <w:rFonts w:ascii="仿宋_GB2312" w:hAnsi="仿宋_GB2312" w:cs="仿宋_GB2312" w:eastAsia="仿宋_GB2312"/>
                <w:sz w:val="24"/>
              </w:rPr>
              <w:t>：组织培训企业负责人</w:t>
            </w:r>
            <w:r>
              <w:rPr>
                <w:rFonts w:ascii="仿宋_GB2312" w:hAnsi="仿宋_GB2312" w:cs="仿宋_GB2312" w:eastAsia="仿宋_GB2312"/>
                <w:sz w:val="24"/>
              </w:rPr>
              <w:t>98人（其中危险化学品中小企业主要负责人72人，烟花爆竹企业主要负责人26人），安管人员92人，共190人。</w:t>
            </w:r>
          </w:p>
          <w:p>
            <w:pPr>
              <w:pStyle w:val="null3"/>
              <w:ind w:firstLine="480"/>
            </w:pPr>
            <w:r>
              <w:rPr>
                <w:rFonts w:ascii="仿宋_GB2312" w:hAnsi="仿宋_GB2312" w:cs="仿宋_GB2312" w:eastAsia="仿宋_GB2312"/>
                <w:sz w:val="24"/>
              </w:rPr>
              <w:t>2.煤矿</w:t>
            </w:r>
            <w:r>
              <w:rPr>
                <w:rFonts w:ascii="仿宋_GB2312" w:hAnsi="仿宋_GB2312" w:cs="仿宋_GB2312" w:eastAsia="仿宋_GB2312"/>
                <w:sz w:val="24"/>
              </w:rPr>
              <w:t>行业</w:t>
            </w:r>
            <w:r>
              <w:rPr>
                <w:rFonts w:ascii="仿宋_GB2312" w:hAnsi="仿宋_GB2312" w:cs="仿宋_GB2312" w:eastAsia="仿宋_GB2312"/>
                <w:sz w:val="24"/>
              </w:rPr>
              <w:t>：组织培训企业负责人</w:t>
            </w:r>
            <w:r>
              <w:rPr>
                <w:rFonts w:ascii="仿宋_GB2312" w:hAnsi="仿宋_GB2312" w:cs="仿宋_GB2312" w:eastAsia="仿宋_GB2312"/>
                <w:sz w:val="24"/>
              </w:rPr>
              <w:t>20人、安管人员80人，共100人。</w:t>
            </w:r>
          </w:p>
          <w:p>
            <w:pPr>
              <w:pStyle w:val="null3"/>
              <w:ind w:firstLine="480"/>
            </w:pPr>
            <w:r>
              <w:rPr>
                <w:rFonts w:ascii="仿宋_GB2312" w:hAnsi="仿宋_GB2312" w:cs="仿宋_GB2312" w:eastAsia="仿宋_GB2312"/>
                <w:sz w:val="24"/>
              </w:rPr>
              <w:t>3.非煤矿山</w:t>
            </w:r>
            <w:r>
              <w:rPr>
                <w:rFonts w:ascii="仿宋_GB2312" w:hAnsi="仿宋_GB2312" w:cs="仿宋_GB2312" w:eastAsia="仿宋_GB2312"/>
                <w:sz w:val="24"/>
              </w:rPr>
              <w:t>行业</w:t>
            </w:r>
            <w:r>
              <w:rPr>
                <w:rFonts w:ascii="仿宋_GB2312" w:hAnsi="仿宋_GB2312" w:cs="仿宋_GB2312" w:eastAsia="仿宋_GB2312"/>
                <w:sz w:val="24"/>
              </w:rPr>
              <w:t>：组织培训企业负责人</w:t>
            </w:r>
            <w:r>
              <w:rPr>
                <w:rFonts w:ascii="仿宋_GB2312" w:hAnsi="仿宋_GB2312" w:cs="仿宋_GB2312" w:eastAsia="仿宋_GB2312"/>
                <w:sz w:val="24"/>
              </w:rPr>
              <w:t>25人、安管人员25人，共50人。</w:t>
            </w:r>
          </w:p>
          <w:p>
            <w:pPr>
              <w:pStyle w:val="null3"/>
              <w:ind w:firstLine="480"/>
            </w:pPr>
            <w:r>
              <w:rPr>
                <w:rFonts w:ascii="仿宋_GB2312" w:hAnsi="仿宋_GB2312" w:cs="仿宋_GB2312" w:eastAsia="仿宋_GB2312"/>
                <w:sz w:val="24"/>
              </w:rPr>
              <w:t>4.工贸</w:t>
            </w:r>
            <w:r>
              <w:rPr>
                <w:rFonts w:ascii="仿宋_GB2312" w:hAnsi="仿宋_GB2312" w:cs="仿宋_GB2312" w:eastAsia="仿宋_GB2312"/>
                <w:sz w:val="24"/>
              </w:rPr>
              <w:t>行业</w:t>
            </w:r>
            <w:r>
              <w:rPr>
                <w:rFonts w:ascii="仿宋_GB2312" w:hAnsi="仿宋_GB2312" w:cs="仿宋_GB2312" w:eastAsia="仿宋_GB2312"/>
                <w:sz w:val="24"/>
              </w:rPr>
              <w:t>：组织培训企业主要负责人</w:t>
            </w:r>
            <w:r>
              <w:rPr>
                <w:rFonts w:ascii="仿宋_GB2312" w:hAnsi="仿宋_GB2312" w:cs="仿宋_GB2312" w:eastAsia="仿宋_GB2312"/>
                <w:sz w:val="24"/>
              </w:rPr>
              <w:t>126人、安管人员64人，共190人。</w:t>
            </w:r>
          </w:p>
          <w:p>
            <w:pPr>
              <w:pStyle w:val="null3"/>
              <w:ind w:firstLine="482"/>
            </w:pPr>
            <w:r>
              <w:rPr>
                <w:rFonts w:ascii="仿宋_GB2312" w:hAnsi="仿宋_GB2312" w:cs="仿宋_GB2312" w:eastAsia="仿宋_GB2312"/>
                <w:sz w:val="24"/>
                <w:b/>
              </w:rPr>
              <w:t>二、培训时间</w:t>
            </w:r>
          </w:p>
          <w:p>
            <w:pPr>
              <w:pStyle w:val="null3"/>
              <w:ind w:firstLine="480"/>
            </w:pPr>
            <w:r>
              <w:rPr>
                <w:rFonts w:ascii="仿宋_GB2312" w:hAnsi="仿宋_GB2312" w:cs="仿宋_GB2312" w:eastAsia="仿宋_GB2312"/>
                <w:sz w:val="24"/>
              </w:rPr>
              <w:t>1.危险化学品：</w:t>
            </w:r>
            <w:r>
              <w:rPr>
                <w:rFonts w:ascii="仿宋_GB2312" w:hAnsi="仿宋_GB2312" w:cs="仿宋_GB2312" w:eastAsia="仿宋_GB2312"/>
                <w:sz w:val="24"/>
              </w:rPr>
              <w:t>2期</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.煤矿行业：</w:t>
            </w:r>
            <w:r>
              <w:rPr>
                <w:rFonts w:ascii="仿宋_GB2312" w:hAnsi="仿宋_GB2312" w:cs="仿宋_GB2312" w:eastAsia="仿宋_GB2312"/>
                <w:sz w:val="24"/>
              </w:rPr>
              <w:t>1</w:t>
            </w:r>
            <w:r>
              <w:rPr>
                <w:rFonts w:ascii="仿宋_GB2312" w:hAnsi="仿宋_GB2312" w:cs="仿宋_GB2312" w:eastAsia="仿宋_GB2312"/>
                <w:sz w:val="24"/>
              </w:rPr>
              <w:t>期</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.非煤矿山行业：1期</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.工贸行业：2期</w:t>
            </w:r>
          </w:p>
          <w:p>
            <w:pPr>
              <w:pStyle w:val="null3"/>
              <w:ind w:firstLine="480"/>
            </w:pPr>
            <w:r>
              <w:rPr>
                <w:rFonts w:ascii="仿宋_GB2312" w:hAnsi="仿宋_GB2312" w:cs="仿宋_GB2312" w:eastAsia="仿宋_GB2312"/>
                <w:sz w:val="24"/>
              </w:rPr>
              <w:t>每期培训时间为</w:t>
            </w:r>
            <w:r>
              <w:rPr>
                <w:rFonts w:ascii="仿宋_GB2312" w:hAnsi="仿宋_GB2312" w:cs="仿宋_GB2312" w:eastAsia="仿宋_GB2312"/>
                <w:sz w:val="24"/>
              </w:rPr>
              <w:t>5天</w:t>
            </w:r>
            <w:r>
              <w:rPr>
                <w:rFonts w:ascii="仿宋_GB2312" w:hAnsi="仿宋_GB2312" w:cs="仿宋_GB2312" w:eastAsia="仿宋_GB2312"/>
                <w:sz w:val="24"/>
              </w:rPr>
              <w:t>，每天培训时间</w:t>
            </w:r>
            <w:r>
              <w:rPr>
                <w:rFonts w:ascii="仿宋_GB2312" w:hAnsi="仿宋_GB2312" w:cs="仿宋_GB2312" w:eastAsia="仿宋_GB2312"/>
                <w:sz w:val="24"/>
              </w:rPr>
              <w:t>8小时</w:t>
            </w:r>
            <w:r>
              <w:rPr>
                <w:rFonts w:ascii="仿宋_GB2312" w:hAnsi="仿宋_GB2312" w:cs="仿宋_GB2312" w:eastAsia="仿宋_GB2312"/>
                <w:sz w:val="24"/>
              </w:rPr>
              <w:t>。</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10月31日前完成培训内容。</w:t>
            </w:r>
          </w:p>
          <w:p>
            <w:pPr>
              <w:pStyle w:val="null3"/>
              <w:numPr>
                <w:ilvl w:val="0"/>
                <w:numId w:val="1"/>
              </w:numPr>
              <w:jc w:val="both"/>
            </w:pPr>
            <w:r>
              <w:rPr>
                <w:rFonts w:ascii="仿宋_GB2312" w:hAnsi="仿宋_GB2312" w:cs="仿宋_GB2312" w:eastAsia="仿宋_GB2312"/>
                <w:sz w:val="24"/>
                <w:b/>
              </w:rPr>
              <w:t>培训</w:t>
            </w:r>
            <w:r>
              <w:rPr>
                <w:rFonts w:ascii="仿宋_GB2312" w:hAnsi="仿宋_GB2312" w:cs="仿宋_GB2312" w:eastAsia="仿宋_GB2312"/>
                <w:sz w:val="24"/>
                <w:b/>
              </w:rPr>
              <w:t>内容</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危险化学品行业：</w:t>
            </w:r>
          </w:p>
          <w:p>
            <w:pPr>
              <w:pStyle w:val="null3"/>
              <w:ind w:firstLine="480"/>
            </w:pPr>
            <w:r>
              <w:rPr>
                <w:rFonts w:ascii="仿宋_GB2312" w:hAnsi="仿宋_GB2312" w:cs="仿宋_GB2312" w:eastAsia="仿宋_GB2312"/>
                <w:sz w:val="24"/>
              </w:rPr>
              <w:t>《安全生产法》《危险化学品安全法》《陕西省安全生产条例》《危险化学品安全管理条例》《烟花爆竹安全管理条例》《化工企业生产过程异常工况安全处置准则（试行）》《烟花爆竹工程设计安全标准》《烟花爆竹零售店（点）安全技术规范》《化工和危险化学品生产经营单位重大生产安全事故隐患判定标准（试行）》《陕西省石油天然气开采重大生产安全事故隐患判定标准》《烟花爆竹生产经营单位重大生产安全事故隐患判定标准（试行）》等法律法规标准解读；危险化学品和烟花爆竹行业特殊作业安全管理、安全风险分级分类管控和隐患排查治理双重预防机制建设等内容。</w:t>
            </w:r>
          </w:p>
          <w:p>
            <w:pPr>
              <w:pStyle w:val="null3"/>
              <w:ind w:firstLine="480"/>
              <w:jc w:val="both"/>
            </w:pPr>
            <w:r>
              <w:rPr>
                <w:rFonts w:ascii="仿宋_GB2312" w:hAnsi="仿宋_GB2312" w:cs="仿宋_GB2312" w:eastAsia="仿宋_GB2312"/>
                <w:sz w:val="24"/>
              </w:rPr>
              <w:t>2.煤矿行业</w:t>
            </w:r>
          </w:p>
          <w:p>
            <w:pPr>
              <w:pStyle w:val="null3"/>
              <w:ind w:firstLine="480"/>
              <w:jc w:val="both"/>
            </w:pPr>
            <w:r>
              <w:rPr>
                <w:rFonts w:ascii="仿宋_GB2312" w:hAnsi="仿宋_GB2312" w:cs="仿宋_GB2312" w:eastAsia="仿宋_GB2312"/>
                <w:sz w:val="24"/>
              </w:rPr>
              <w:t>《安全生产法》《陕西省安全生产条例》《煤矿安全生产条例》《中共中央办公厅国务院办公厅关于进一步加强矿山安全生产工作的意见》《关于防范遏制矿山领域重特大生产安全事故的硬措施》《煤矿企业重大事故隐患判定标准》《煤矿重大隐患动态清零办法》《矿山安全风险监测预警处置工作管理办法</w:t>
            </w:r>
            <w:r>
              <w:rPr>
                <w:rFonts w:ascii="仿宋_GB2312" w:hAnsi="仿宋_GB2312" w:cs="仿宋_GB2312" w:eastAsia="仿宋_GB2312"/>
                <w:sz w:val="24"/>
              </w:rPr>
              <w:t>(试行)》《安全生产违法行为行政处罚办法》《煤矿安全规程》和《煤矿防治水细则》《煤矿地质工作细则》《煤矿防灭火细则》《防治煤与瓦斯突出细则》《防治煤矿冲击地压细则》；《矿山安全生产治本攻坚三年行动方案（2024-2026）》《陕西省煤矿安全生产治本攻坚三年行动方案（2024-2026）》《陕西省煤矿安全风险分级管控和隐患排查治理双重预防机制建设与运行规范》《煤矿隐蔽致灾因素普规范》等法律法规标准解读；《陕西煤矿五类重大灾害防治的强力措施要点》，煤矿典型案例分析；煤矿生产安全事故应急处置；煤矿安全生产标准化管理体系建设、安全生产法定职责及责任追究等。</w:t>
            </w:r>
          </w:p>
          <w:p>
            <w:pPr>
              <w:pStyle w:val="null3"/>
              <w:ind w:firstLine="480"/>
            </w:pPr>
            <w:r>
              <w:rPr>
                <w:rFonts w:ascii="仿宋_GB2312" w:hAnsi="仿宋_GB2312" w:cs="仿宋_GB2312" w:eastAsia="仿宋_GB2312"/>
                <w:sz w:val="24"/>
              </w:rPr>
              <w:t>3.非煤矿山行业</w:t>
            </w:r>
          </w:p>
          <w:p>
            <w:pPr>
              <w:pStyle w:val="null3"/>
              <w:ind w:firstLine="480"/>
            </w:pPr>
            <w:r>
              <w:rPr>
                <w:rFonts w:ascii="仿宋_GB2312" w:hAnsi="仿宋_GB2312" w:cs="仿宋_GB2312" w:eastAsia="仿宋_GB2312"/>
                <w:sz w:val="24"/>
              </w:rPr>
              <w:t>《安全生产法》《陕西省安全生产条例》《中共中央办公厅国务院办公厅关于进一步加强矿山安全生产工作的意见》《关于防范遏制矿山领域重特大生产安全事故的硬措施》《金属非金属矿山企业重大事故隐患判定标准》《矿山安全生产治本攻坚三年行动方案（</w:t>
            </w:r>
            <w:r>
              <w:rPr>
                <w:rFonts w:ascii="仿宋_GB2312" w:hAnsi="仿宋_GB2312" w:cs="仿宋_GB2312" w:eastAsia="仿宋_GB2312"/>
                <w:sz w:val="24"/>
              </w:rPr>
              <w:t>2024-2026）》等法律法规标准解读；矿山双重预防机制及安全生产标准化建设；非煤矿山事故应急处置能力建设及典型事故案例分析；金属与非金属矿山职业危害及其防护。</w:t>
            </w:r>
          </w:p>
          <w:p>
            <w:pPr>
              <w:pStyle w:val="null3"/>
              <w:ind w:firstLine="480"/>
            </w:pPr>
            <w:r>
              <w:rPr>
                <w:rFonts w:ascii="仿宋_GB2312" w:hAnsi="仿宋_GB2312" w:cs="仿宋_GB2312" w:eastAsia="仿宋_GB2312"/>
                <w:sz w:val="24"/>
              </w:rPr>
              <w:t>4.工贸行业</w:t>
            </w:r>
          </w:p>
          <w:p>
            <w:pPr>
              <w:pStyle w:val="null3"/>
              <w:ind w:firstLine="480"/>
            </w:pPr>
            <w:r>
              <w:rPr>
                <w:rFonts w:ascii="仿宋_GB2312" w:hAnsi="仿宋_GB2312" w:cs="仿宋_GB2312" w:eastAsia="仿宋_GB2312"/>
                <w:sz w:val="24"/>
              </w:rPr>
              <w:t>《安全生产法》《陕西省安全生产条例》《冶金企业和有色金属企业安全生产规定》《工贸企业有限空间作业安全规定》《工贸企业风险管控与事故隐患排查治理双重预防机制建设》《工贸企业粉尘防爆安全规定》《工贸企业重大隐患判定标准》等法律法规标准解读；冶金、有色、建材、机械、轻工、纺织、烟草、商贸重点行业安全管理，企业可持续发展项目（</w:t>
            </w:r>
            <w:r>
              <w:rPr>
                <w:rFonts w:ascii="仿宋_GB2312" w:hAnsi="仿宋_GB2312" w:cs="仿宋_GB2312" w:eastAsia="仿宋_GB2312"/>
                <w:sz w:val="24"/>
              </w:rPr>
              <w:t>SCORE）。</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工伤预防</w:t>
            </w:r>
          </w:p>
          <w:p>
            <w:pPr>
              <w:pStyle w:val="null3"/>
              <w:ind w:firstLine="480"/>
            </w:pPr>
            <w:r>
              <w:rPr>
                <w:rFonts w:ascii="仿宋_GB2312" w:hAnsi="仿宋_GB2312" w:cs="仿宋_GB2312" w:eastAsia="仿宋_GB2312"/>
                <w:sz w:val="24"/>
              </w:rPr>
              <w:t>《工伤保险条例》《工伤预防费使用管理暂行办法》、国家和我省关于工伤预防工作的安排部署及内容解读，用人单位的参保缴费、事故报告、工伤认定申请等法定责任与义务，工伤事故调查处理、认定流程及工伤保险待遇支付规定，工伤保险行业差别费率与浮动费率机制及支缴率对企业用工成本的影响，工伤预防项目（宣传、培训）的申报、实施与评估验收，企业工伤预防内部责任体系构建与双重预防机制。</w:t>
            </w:r>
          </w:p>
          <w:p>
            <w:pPr>
              <w:pStyle w:val="null3"/>
              <w:ind w:firstLine="480"/>
            </w:pPr>
            <w:r>
              <w:rPr>
                <w:rFonts w:ascii="仿宋_GB2312" w:hAnsi="仿宋_GB2312" w:cs="仿宋_GB2312" w:eastAsia="仿宋_GB2312"/>
                <w:sz w:val="24"/>
              </w:rPr>
              <w:t>强化重点行业领域重大事故隐患判定标准宣讲，并通过专题讲座、警示教育、分组讨论、考核考试等方式，组织危险化学品、非危险化学品行业中小企业主要负责人和安全管理人员学习掌握相关知识，巩固提升履职能力。</w:t>
            </w:r>
          </w:p>
          <w:p>
            <w:pPr>
              <w:pStyle w:val="null3"/>
              <w:ind w:firstLine="482"/>
              <w:jc w:val="both"/>
            </w:pPr>
            <w:r>
              <w:rPr>
                <w:rFonts w:ascii="仿宋_GB2312" w:hAnsi="仿宋_GB2312" w:cs="仿宋_GB2312" w:eastAsia="仿宋_GB2312"/>
                <w:sz w:val="24"/>
                <w:b/>
              </w:rPr>
              <w:t>四、质量安全要求</w:t>
            </w:r>
          </w:p>
          <w:p>
            <w:pPr>
              <w:pStyle w:val="null3"/>
              <w:ind w:firstLine="480"/>
              <w:jc w:val="both"/>
            </w:pPr>
            <w:r>
              <w:rPr>
                <w:rFonts w:ascii="仿宋_GB2312" w:hAnsi="仿宋_GB2312" w:cs="仿宋_GB2312" w:eastAsia="仿宋_GB2312"/>
                <w:sz w:val="24"/>
              </w:rPr>
              <w:t>1.质量：聘请优质师资，采取专题讲座、案件警示、分组谈论等方式，组织开展培训。</w:t>
            </w:r>
          </w:p>
          <w:p>
            <w:pPr>
              <w:pStyle w:val="null3"/>
              <w:ind w:firstLine="480"/>
              <w:jc w:val="both"/>
            </w:pPr>
            <w:r>
              <w:rPr>
                <w:rFonts w:ascii="仿宋_GB2312" w:hAnsi="仿宋_GB2312" w:cs="仿宋_GB2312" w:eastAsia="仿宋_GB2312"/>
                <w:sz w:val="24"/>
              </w:rPr>
              <w:t>2.安全：强化培训管理，参加培训的学员全部封闭式管理，不能“代读”、“陪读”，不允许请假。</w:t>
            </w:r>
          </w:p>
          <w:p>
            <w:pPr>
              <w:pStyle w:val="null3"/>
              <w:ind w:firstLine="480"/>
              <w:jc w:val="both"/>
            </w:pPr>
            <w:r>
              <w:rPr>
                <w:rFonts w:ascii="仿宋_GB2312" w:hAnsi="仿宋_GB2312" w:cs="仿宋_GB2312" w:eastAsia="仿宋_GB2312"/>
                <w:sz w:val="24"/>
              </w:rPr>
              <w:t>3.在培训期间向参加培训的学员提供食宿。提前制定培训食谱，保证餐饮质量；保证住宿便捷舒适。</w:t>
            </w:r>
          </w:p>
          <w:p>
            <w:pPr>
              <w:pStyle w:val="null3"/>
              <w:ind w:firstLine="480"/>
              <w:jc w:val="both"/>
            </w:pPr>
            <w:r>
              <w:rPr>
                <w:rFonts w:ascii="仿宋_GB2312" w:hAnsi="仿宋_GB2312" w:cs="仿宋_GB2312" w:eastAsia="仿宋_GB2312"/>
                <w:sz w:val="24"/>
              </w:rPr>
              <w:t>4.培训期间不得向参加培训的学员收取任何费用。</w:t>
            </w:r>
          </w:p>
          <w:p>
            <w:pPr>
              <w:pStyle w:val="null3"/>
              <w:ind w:firstLine="482"/>
              <w:jc w:val="both"/>
            </w:pPr>
            <w:r>
              <w:rPr>
                <w:rFonts w:ascii="仿宋_GB2312" w:hAnsi="仿宋_GB2312" w:cs="仿宋_GB2312" w:eastAsia="仿宋_GB2312"/>
                <w:sz w:val="24"/>
                <w:b/>
              </w:rPr>
              <w:t>五、服务要求</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 xml:space="preserve">1.师资：聘请优质师资，为培训班设计系统的课程内容，遴选优秀教师授课；严格按照培训要求组织实施。  </w:t>
            </w:r>
          </w:p>
          <w:p>
            <w:pPr>
              <w:pStyle w:val="null3"/>
              <w:ind w:firstLine="480"/>
              <w:jc w:val="both"/>
            </w:pPr>
            <w:r>
              <w:rPr>
                <w:rFonts w:ascii="仿宋_GB2312" w:hAnsi="仿宋_GB2312" w:cs="仿宋_GB2312" w:eastAsia="仿宋_GB2312"/>
                <w:sz w:val="24"/>
              </w:rPr>
              <w:t>2.期限：培训共</w:t>
            </w:r>
            <w:r>
              <w:rPr>
                <w:rFonts w:ascii="仿宋_GB2312" w:hAnsi="仿宋_GB2312" w:cs="仿宋_GB2312" w:eastAsia="仿宋_GB2312"/>
                <w:sz w:val="24"/>
              </w:rPr>
              <w:t>六</w:t>
            </w:r>
            <w:r>
              <w:rPr>
                <w:rFonts w:ascii="仿宋_GB2312" w:hAnsi="仿宋_GB2312" w:cs="仿宋_GB2312" w:eastAsia="仿宋_GB2312"/>
                <w:sz w:val="24"/>
              </w:rPr>
              <w:t>期，每期培训时间为</w:t>
            </w:r>
            <w:r>
              <w:rPr>
                <w:rFonts w:ascii="仿宋_GB2312" w:hAnsi="仿宋_GB2312" w:cs="仿宋_GB2312" w:eastAsia="仿宋_GB2312"/>
                <w:sz w:val="24"/>
              </w:rPr>
              <w:t>5天。202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10月31日前完成培训内容。</w:t>
            </w:r>
          </w:p>
          <w:p>
            <w:pPr>
              <w:pStyle w:val="null3"/>
              <w:ind w:firstLine="482"/>
              <w:jc w:val="both"/>
            </w:pPr>
            <w:r>
              <w:rPr>
                <w:rFonts w:ascii="仿宋_GB2312" w:hAnsi="仿宋_GB2312" w:cs="仿宋_GB2312" w:eastAsia="仿宋_GB2312"/>
                <w:sz w:val="24"/>
                <w:b/>
              </w:rPr>
              <w:t>六、验收标准</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1.资料：提供完整培训资料。</w:t>
            </w:r>
          </w:p>
          <w:p>
            <w:pPr>
              <w:pStyle w:val="null3"/>
              <w:ind w:firstLine="480"/>
              <w:jc w:val="both"/>
            </w:pPr>
            <w:r>
              <w:rPr>
                <w:rFonts w:ascii="仿宋_GB2312" w:hAnsi="仿宋_GB2312" w:cs="仿宋_GB2312" w:eastAsia="仿宋_GB2312"/>
                <w:sz w:val="24"/>
              </w:rPr>
              <w:t>2.服务：按合同和响应文件承诺完成服务。</w:t>
            </w:r>
          </w:p>
          <w:p>
            <w:pPr>
              <w:pStyle w:val="null3"/>
              <w:ind w:firstLine="400"/>
              <w:jc w:val="both"/>
            </w:pPr>
            <w:r>
              <w:rPr>
                <w:rFonts w:ascii="仿宋_GB2312" w:hAnsi="仿宋_GB2312" w:cs="仿宋_GB2312" w:eastAsia="仿宋_GB2312"/>
                <w:sz w:val="24"/>
                <w:b/>
              </w:rPr>
              <w:t xml:space="preserve"> </w:t>
            </w:r>
            <w:r>
              <w:rPr>
                <w:rFonts w:ascii="仿宋_GB2312" w:hAnsi="仿宋_GB2312" w:cs="仿宋_GB2312" w:eastAsia="仿宋_GB2312"/>
                <w:sz w:val="24"/>
                <w:b/>
              </w:rPr>
              <w:t>七、其他</w:t>
            </w:r>
          </w:p>
          <w:p>
            <w:pPr>
              <w:pStyle w:val="null3"/>
              <w:ind w:firstLine="480"/>
              <w:jc w:val="both"/>
            </w:pPr>
            <w:r>
              <w:rPr>
                <w:rFonts w:ascii="仿宋_GB2312" w:hAnsi="仿宋_GB2312" w:cs="仿宋_GB2312" w:eastAsia="仿宋_GB2312"/>
                <w:sz w:val="24"/>
              </w:rPr>
              <w:t>1.本合同价款包含授课费、住宿费、就餐费、场地费、培训材料费等履行合同所产生的一切相关费用。</w:t>
            </w:r>
          </w:p>
          <w:p>
            <w:pPr>
              <w:pStyle w:val="null3"/>
              <w:ind w:firstLine="480"/>
              <w:jc w:val="both"/>
            </w:pPr>
            <w:r>
              <w:rPr>
                <w:rFonts w:ascii="仿宋_GB2312" w:hAnsi="仿宋_GB2312" w:cs="仿宋_GB2312" w:eastAsia="仿宋_GB2312"/>
                <w:sz w:val="24"/>
              </w:rPr>
              <w:t>2.培训相关要求以最终签订合同为准。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2026年10月31日前完成培训内容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成交供应商提供的培训地点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内容完成后先由乙方进行自检，自检合格后邀请甲方进行验收。甲方确认乙方的自检内容后，组织乙方（必要时请有关专家）进行最终验收，验收时乙方应派员参加，共同对验收结果进行确认，并承担相关责任。验收合格后，填写验收单作为对服务的最终认可。 2、乙方向甲方提交服务实施过程中的所有资料，以便甲方日后管理和维护。 3、验收依据： （1）合同文本、合同附件、竞争性磋商文件、磋商响应文件。 （2）国内相应的标准、规范。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其他，培训结束经甲方验收合格后，达到付款条件起10个工作日内，支付合同总金额的100.0%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合同生效后，甲、乙双方须严格执行本合同条款的规定，全面履行合同，违者按《中华人民共和国民法典》的有关规定承担相应责任。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成交供应商在结果公示结束后，需提供系统签章后的磋商响应文件，双面打印三套，封皮加盖单位鲜章，送至采购代理机构。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或者其他组织的营业执照等证明文件，自然人的身份证明；2、有依法缴纳税收和社会保障资金的良好记录：提供2025年6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磋商时间不足一年的可提供成立后任意时段的资产负债表）或磋商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供应商名称和公章、营业执照的相关资料一致。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企业业绩.docx 标的清单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唯一报价，未超出采购预算金额。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2026年10月31日前完成培训内容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供应商针对本项目提供具体可行的项目实施方案，包含①教学服务方案②培训组织方案③资料整理及提供方案④食宿安排方案等内容。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16分，其中每有一项内容存在缺项或漏项的扣4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供应商针对本项目提供具体可行的项目进度安排，包含①进度计划安排②进度计划保证措施等内容。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供应商针对本项目提供具体可行的人员配备方案，包含①项目管理组织机构②人员分工及岗位职责等内容。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一、评审内容：供应商针对本项目提供具体可行的服务质量保障，包含①质量保证措施；②项目管理制度等内容。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1、承诺：接受采购人对服务的考核、监督及管理，并对服务质量加以改进，确保服务工作的优质高效，得3分。无承诺不得分。 2、承诺：若人员因事、病不能及时上岗时，请调其他服务人员补充，确保各项服务工作正常进行，得3分。无承诺不得分。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一、评审内容： 供应商针对本项目提供具体可行的应急预案及安全保障措施，包含①应急预案②安全保障措施等内容。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师资力量</w:t>
            </w:r>
          </w:p>
        </w:tc>
        <w:tc>
          <w:tcPr>
            <w:tcW w:type="dxa" w:w="2492"/>
          </w:tcPr>
          <w:p>
            <w:pPr>
              <w:pStyle w:val="null3"/>
            </w:pPr>
            <w:r>
              <w:rPr>
                <w:rFonts w:ascii="仿宋_GB2312" w:hAnsi="仿宋_GB2312" w:cs="仿宋_GB2312" w:eastAsia="仿宋_GB2312"/>
              </w:rPr>
              <w:t>供应商针对本项目提供具体可行的师资力量配备。每期配备正高级技术职称专业教师1名，副高级技术职称专业教师3名，得9分。未提供或提供不全的不得分。在此基础上每多一名副高级及以上技术职称人员加3分，最高加15分。 注： 须附人员职称证书复印件、身份证、聘书或社保复印件并加盖供应商公章，不提供的不得分。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供应商提供2023年5月1日至今具有类似项目业绩；磋商文件中需附合同复印件并加盖公章，以合同签订时间为准。每提供1个得2分，满分10分。。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1.满足竞争性磋商文件实质性要求且最终报价最低的供应商的价格为磋商基准价，其价格分为满分20分。 2.磋商报价得分=（磋商基准价/最终磋商报价）×20的公式计算得分。 3.磋商报价不完整的，不进入评标标准价的计算，本项得0分。 4.经磋商小组一致认定，超过预算金额,其响应将被拒绝。 符合磋商文件规定的小微企业、监狱企业、残疾人福利性单位优惠条件的供应商，价格给予10%的扣除，用扣除后的价格参与评审。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