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版本号：2026YXWH20260601001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陕西省水士保持监测站点2026年度运行维护项目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2026YXWH</w:t>
      </w:r>
      <w:r>
        <w:br/>
      </w:r>
      <w:r>
        <w:br/>
      </w:r>
      <w:r>
        <w:br/>
      </w:r>
    </w:p>
    <w:p>
      <w:pPr>
        <w:pStyle w:val="null3"/>
        <w:jc w:val="center"/>
        <w:outlineLvl w:val="2"/>
      </w:pPr>
      <w:r>
        <w:rPr>
          <w:rFonts w:ascii="仿宋_GB2312" w:hAnsi="仿宋_GB2312" w:cs="仿宋_GB2312" w:eastAsia="仿宋_GB2312"/>
          <w:sz w:val="28"/>
          <w:b/>
        </w:rPr>
        <w:t>陕西省水土保持生态环境监测中心</w:t>
      </w:r>
    </w:p>
    <w:p>
      <w:pPr>
        <w:pStyle w:val="null3"/>
        <w:jc w:val="center"/>
        <w:outlineLvl w:val="2"/>
      </w:pPr>
      <w:r>
        <w:rPr>
          <w:rFonts w:ascii="仿宋_GB2312" w:hAnsi="仿宋_GB2312" w:cs="仿宋_GB2312" w:eastAsia="仿宋_GB2312"/>
          <w:sz w:val="28"/>
          <w:b/>
        </w:rPr>
        <w:t>陕西江河工程项目管理有限责任公司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陕西江河工程项目管理有限责任公司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陕西省水土保持生态环境监测中心</w:t>
      </w:r>
      <w:r>
        <w:rPr>
          <w:rFonts w:ascii="仿宋_GB2312" w:hAnsi="仿宋_GB2312" w:cs="仿宋_GB2312" w:eastAsia="仿宋_GB2312"/>
        </w:rPr>
        <w:t>委托，拟对</w:t>
      </w:r>
      <w:r>
        <w:rPr>
          <w:rFonts w:ascii="仿宋_GB2312" w:hAnsi="仿宋_GB2312" w:cs="仿宋_GB2312" w:eastAsia="仿宋_GB2312"/>
        </w:rPr>
        <w:t>陕西省水士保持监测站点2026年度运行维护项目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2026YXWH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陕西省水士保持监测站点2026年度运行维护项目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水土保持监测是生态环境建设和经济社会发展的基础工作，水土保持监测工作产生的数据可以反映生态环境的情况,开展水土流失监测能及时了解我省土壤侵蚀状况、类型、强度与分布特征、危害及其影响情况、发生发展规律、动态变化趋势，通过水土保持监测站点监测数据的深度分析与应用，科学评价水土流失状况和水土保持生态建设效益，为政府部门和公众了解环境状况提供重要数据，为政府制定生态环境建设的政策提供数据支撑，更好地指导区域经济建设发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7、项目负责人要求：项目负责人须具有水利相关专业高级工程师及以上职称；</w:t>
      </w:r>
    </w:p>
    <w:p>
      <w:pPr>
        <w:pStyle w:val="null3"/>
      </w:pPr>
      <w:r>
        <w:rPr>
          <w:rFonts w:ascii="仿宋_GB2312" w:hAnsi="仿宋_GB2312" w:cs="仿宋_GB2312" w:eastAsia="仿宋_GB2312"/>
        </w:rPr>
        <w:t>8、单位负责人要求：单位负责人为同一人或者存在直接控股、管理关系的不同供应商，不得参加同一合同项下的政府采购活动；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陕西省水土保持生态环境监测中心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西安市航天经济技术开发区神舟四路239号1幢1单位</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陕西省水土保持生态环境监测中心经办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029-85936062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陕西江河工程项目管理有限责任公司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陕西省西安市未央区陕西省西安市经开区文景路中段202号陕西省三门峡库区防汛调度中心11楼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代理服务费收费标准：采购代理费用支付金额参照《招标代理服务收费管理暂行办法》（国家发改委计价格[2002]1980号）文件。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陕西省水土保持生态环境监测中心</w:t>
      </w:r>
      <w:r>
        <w:rPr>
          <w:rFonts w:ascii="仿宋_GB2312" w:hAnsi="仿宋_GB2312" w:cs="仿宋_GB2312" w:eastAsia="仿宋_GB2312"/>
        </w:rPr>
        <w:t>和</w:t>
      </w:r>
      <w:r>
        <w:rPr>
          <w:rFonts w:ascii="仿宋_GB2312" w:hAnsi="仿宋_GB2312" w:cs="仿宋_GB2312" w:eastAsia="仿宋_GB2312"/>
        </w:rPr>
        <w:t>陕西江河工程项目管理有限责任公司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陕西省水土保持生态环境监测中心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陕西江河工程项目管理有限责任公司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陕西省水土保持生态环境监测中心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陕西江河工程项目管理有限责任公司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同验收条件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联系人：孙超、邹贤钧</w:t>
      </w:r>
    </w:p>
    <w:p>
      <w:pPr>
        <w:pStyle w:val="null3"/>
      </w:pPr>
      <w:r>
        <w:rPr>
          <w:rFonts w:ascii="仿宋_GB2312" w:hAnsi="仿宋_GB2312" w:cs="仿宋_GB2312" w:eastAsia="仿宋_GB2312"/>
        </w:rPr>
        <w:t>联系电话：029-86100133</w:t>
      </w:r>
    </w:p>
    <w:p>
      <w:pPr>
        <w:pStyle w:val="null3"/>
      </w:pPr>
      <w:r>
        <w:rPr>
          <w:rFonts w:ascii="仿宋_GB2312" w:hAnsi="仿宋_GB2312" w:cs="仿宋_GB2312" w:eastAsia="仿宋_GB2312"/>
        </w:rPr>
        <w:t>地址：陕西省西安市未央区文景路中段202号陕西省三门峡库区防汛调度中心11楼</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水土保持监测是生态环境建设和经济社会发展的基础工作，水土保持监测工作产生的数据可以反映生态环境的情况,开展水土流失监测能及时了解我省土壤侵蚀状况、类型、强度与分布特征、危害及其影响情况、发生发展规律、动态变化趋势，通过水土保持监测站点监测数据的深度分析与应用，科学评价水土流失状况和水土保持生态建设效益，为政府部门和公众了解环境状况提供重要数据，为政府制定生态环境建设的政策提供数据支撑，更好地指导区域经济建设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3,470,500.00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陕西省水士保持监测站点2026年度运行维护项目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标的名称：陕西省水士保持监测站点2026年度运行维护项目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一、采购项目概况</w:t>
            </w:r>
          </w:p>
          <w:p>
            <w:pPr>
              <w:pStyle w:val="null3"/>
              <w:ind w:firstLine="480"/>
            </w:pPr>
            <w:r>
              <w:rPr>
                <w:rFonts w:ascii="仿宋_GB2312" w:hAnsi="仿宋_GB2312" w:cs="仿宋_GB2312" w:eastAsia="仿宋_GB2312"/>
                <w:sz w:val="24"/>
              </w:rPr>
              <w:t>水土保持监测是生态环境建设和经济社会发展的基础工作，水土保持监测工作产生的数据可以反映生态环境的情况,开展水土流失监测能及时了解我省土壤侵蚀状况、类型、强度与分布特征、危害及其影响情况、发生发展规律、动态变化趋势，通过水土保持监测站点监测数据的深度分析与应用，科学评价水土流失状况和水土保持生态建设效益，为政府部门和公众了解环境状况提供重要数据，为政府制定生态环境建设的政策提供数据支撑，更好地指导区域经济建设发展。</w:t>
            </w:r>
          </w:p>
          <w:p>
            <w:pPr>
              <w:pStyle w:val="null3"/>
            </w:pPr>
            <w:r>
              <w:rPr>
                <w:rFonts w:ascii="仿宋_GB2312" w:hAnsi="仿宋_GB2312" w:cs="仿宋_GB2312" w:eastAsia="仿宋_GB2312"/>
                <w:sz w:val="24"/>
                <w:b/>
              </w:rPr>
              <w:t>二、服务内容及服务要求</w:t>
            </w:r>
          </w:p>
          <w:p>
            <w:pPr>
              <w:pStyle w:val="null3"/>
              <w:ind w:firstLine="480"/>
            </w:pPr>
            <w:r>
              <w:rPr>
                <w:rFonts w:ascii="仿宋_GB2312" w:hAnsi="仿宋_GB2312" w:cs="仿宋_GB2312" w:eastAsia="仿宋_GB2312"/>
                <w:sz w:val="24"/>
              </w:rPr>
              <w:t>针对目前具备运维条件的31个监测站点，充分发挥现有监测设备和设施功能，按照逐步完善、逐年改善提高、逐步达到良性运行的要求，开展运维工作。</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监测基础设施维护。加强对现有城固县安家沟小流域综合观测站、铜川市泉子沟小流域综合观测站、延安市宝塔区王皮湾观测场等站点的17座小流域控制站和蓝田县清河小流域综合观测站、渭南市华州区故城径流场监测点、延安市宝塔区王皮湾观测场等站点的185个径流观测小区以及监测附属设施的维护，确保现有设施良性运行。</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监测设备运行维护。加强对蓝田县清河小流域综合观测站、横山区沙界小流域综合观测场、商南县鹦鹉沟小流域综合观测场等站点现有49台泥沙径流观测设备、31处气象站、5套风蚀观测设备维护，确保现有自动化观测设备能正常监测、数据正常传输，并按要求逐年检定。</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定位观测维护。185个径流小区中40个开展自动观测，39个采用人工观测，径流小区监测比例达到43%，17个小流域控制站(卡口站)8个自动观测，9个开展人工观测。</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构建全省监测数据信息存储库，保障监测数据安全。</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更换陕西省柞水水土保持监测实验站、关中水土保持监测实验基地和商南鹦鹉沟监测点各1台泥沙径流自动监测仪，保障重点站自动监测能力提升。</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每年开展一次日常安全监督检查。</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完成全省2026年度监测数据整汇编。</w:t>
            </w:r>
          </w:p>
          <w:p>
            <w:pPr>
              <w:pStyle w:val="null3"/>
            </w:pPr>
            <w:r>
              <w:rPr>
                <w:rFonts w:ascii="仿宋_GB2312" w:hAnsi="仿宋_GB2312" w:cs="仿宋_GB2312" w:eastAsia="仿宋_GB2312"/>
                <w:sz w:val="24"/>
                <w:b/>
              </w:rPr>
              <w:t>三、技术要求</w:t>
            </w:r>
          </w:p>
          <w:p>
            <w:pPr>
              <w:pStyle w:val="null3"/>
              <w:ind w:firstLine="480"/>
            </w:pPr>
            <w:r>
              <w:rPr>
                <w:rFonts w:ascii="仿宋_GB2312" w:hAnsi="仿宋_GB2312" w:cs="仿宋_GB2312" w:eastAsia="仿宋_GB2312"/>
                <w:sz w:val="24"/>
              </w:rPr>
              <w:t xml:space="preserve">3.1 </w:t>
            </w:r>
            <w:r>
              <w:rPr>
                <w:rFonts w:ascii="仿宋_GB2312" w:hAnsi="仿宋_GB2312" w:cs="仿宋_GB2312" w:eastAsia="仿宋_GB2312"/>
                <w:sz w:val="24"/>
              </w:rPr>
              <w:t>主要技术标准：</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《径流小区和小流域控制站监测手册》；</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《水土保持监测技术规程》(SL277-2002)；</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《水土保持监测设备通用技术条件》(SL342-2006)；</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《水文监测数据通信规约》(SL651一2014)；</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《水土保持业务经费定额标准》(水财务[2014]253)；</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《工程勘察设计收费标准》(计价格[2002]10号)。</w:t>
            </w:r>
          </w:p>
          <w:p>
            <w:pPr>
              <w:pStyle w:val="null3"/>
              <w:ind w:firstLine="480"/>
            </w:pPr>
            <w:r>
              <w:rPr>
                <w:rFonts w:ascii="仿宋_GB2312" w:hAnsi="仿宋_GB2312" w:cs="仿宋_GB2312" w:eastAsia="仿宋_GB2312"/>
                <w:sz w:val="24"/>
              </w:rPr>
              <w:t>3.2</w:t>
            </w:r>
            <w:r>
              <w:rPr>
                <w:rFonts w:ascii="仿宋_GB2312" w:hAnsi="仿宋_GB2312" w:cs="仿宋_GB2312" w:eastAsia="仿宋_GB2312"/>
                <w:sz w:val="24"/>
              </w:rPr>
              <w:t>服务期限</w:t>
            </w:r>
          </w:p>
          <w:p>
            <w:pPr>
              <w:pStyle w:val="null3"/>
              <w:ind w:firstLine="480"/>
            </w:pPr>
            <w:r>
              <w:rPr>
                <w:rFonts w:ascii="仿宋_GB2312" w:hAnsi="仿宋_GB2312" w:cs="仿宋_GB2312" w:eastAsia="仿宋_GB2312"/>
                <w:sz w:val="24"/>
              </w:rPr>
              <w:t>服务期限：自合同签订之日起180日历天。</w:t>
            </w:r>
          </w:p>
          <w:p>
            <w:pPr>
              <w:pStyle w:val="null3"/>
            </w:pPr>
            <w:r>
              <w:rPr>
                <w:rFonts w:ascii="仿宋_GB2312" w:hAnsi="仿宋_GB2312" w:cs="仿宋_GB2312" w:eastAsia="仿宋_GB2312"/>
                <w:sz w:val="24"/>
                <w:b/>
              </w:rPr>
              <w:t>四、主要成果及目标</w:t>
            </w:r>
          </w:p>
          <w:p>
            <w:pPr>
              <w:pStyle w:val="null3"/>
              <w:ind w:firstLine="480"/>
            </w:pPr>
            <w:r>
              <w:rPr>
                <w:rFonts w:ascii="仿宋_GB2312" w:hAnsi="仿宋_GB2312" w:cs="仿宋_GB2312" w:eastAsia="仿宋_GB2312"/>
                <w:sz w:val="24"/>
              </w:rPr>
              <w:t>(1) 31</w:t>
            </w:r>
            <w:r>
              <w:rPr>
                <w:rFonts w:ascii="仿宋_GB2312" w:hAnsi="仿宋_GB2312" w:cs="仿宋_GB2312" w:eastAsia="仿宋_GB2312"/>
                <w:sz w:val="24"/>
              </w:rPr>
              <w:t>个省级监测站点设施和监测设备得到及时维护和检定，确保正常运行，发挥效益。</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各站点按照监测技术规范要求，完成监测工作任务。</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整编分析2026年度全省监测站点观测数据并刊印;建成全省监测数据信息存储库。</w:t>
            </w:r>
          </w:p>
          <w:p>
            <w:pPr>
              <w:pStyle w:val="null3"/>
            </w:pPr>
            <w:r>
              <w:rPr>
                <w:rFonts w:ascii="仿宋_GB2312" w:hAnsi="仿宋_GB2312" w:cs="仿宋_GB2312" w:eastAsia="仿宋_GB2312"/>
                <w:sz w:val="24"/>
                <w:b/>
              </w:rPr>
              <w:t>五、验收</w:t>
            </w:r>
          </w:p>
          <w:p>
            <w:pPr>
              <w:pStyle w:val="null3"/>
              <w:ind w:firstLine="480"/>
              <w:jc w:val="both"/>
            </w:pPr>
            <w:r>
              <w:rPr>
                <w:rFonts w:ascii="仿宋_GB2312" w:hAnsi="仿宋_GB2312" w:cs="仿宋_GB2312" w:eastAsia="仿宋_GB2312"/>
                <w:sz w:val="24"/>
                <w:color w:val="333333"/>
                <w:shd w:fill="FFFFFF" w:val="clear"/>
              </w:rPr>
              <w:t>满足《径流小区和小流域控制站监测手册》、《水土保持监测技术规范》(SL/T277-2024)要求，以现有站点设施设备为基础，保障现有设施设备逐步良性运行。</w:t>
            </w:r>
          </w:p>
          <w:p>
            <w:pPr>
              <w:pStyle w:val="null3"/>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color w:val="333333"/>
                <w:shd w:fill="FFFFFF" w:val="clear"/>
              </w:rPr>
              <w:t>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满足《径流小区和小流域控制站监测手册》、《水土保持监测技术规范》(SL/T277-2024)要求，以现有站点设施设备为基础，保障现有设施设备逐步良性运行。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进度款，各站点运行维护工作启动后，达到付款条件起7个工作日内，支付合同总金额的30.0%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进度款，各站点运行维护工作进度超50%后，达到付款条件起7个工作日内，支付合同总金额的20.0%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进度款，各站点运行维护工作完成后或乙方提供合同价的10％的银行履约担保，甲方收到履约担保后，达到付款条件起7个工作日内，支付合同总金额的10.0%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①甲方或乙方违反合同规定造成损失的应承担违约责任； ②因成果报告深度不够、资料不足而被要求返工从而造成问题的，除由乙方负责继续完善报告外，甲方还可视造成的时间延误和费用损失，计扣乙方合同价 1 %～ 3 %的违约金； ③由于乙方自身原因，延误了成果交付时间，视延误情况酌情扣除费用的1%～3%。</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性文件，同时，线下提交纸质响应性文件壹份。纸质响应性文件应胶装，标明供应商名称密封递交。线下纸质文件递交截止时间：同在线递交电子响应性文件截止时间一致；线下纸质文件递交地点：西安市未央区文景路中段202号陕西省三门峡库区防汛调度中心11层第一会议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项目负责人须具有水利相关专业高级工程师及以上职称；</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只能有一个报价，且不超过最高限价；</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供应商针对运维方案，内容应包含： ①监测基础设施维护；②监测设备运维；③日常巡检；④观测方案（含自动观测、人工观测）；⑤安全检查；⑥故障处置；⑦数据库建设方案；⑧数据整理、分析汇编方案；⑨运维档案记录；⑩制度管理。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供应商针对本项目应急预案，内容包含： ①应急响应方案；②应急处理流程和方法；③应急保障措施；④应急备品备件准备；⑤重大故障替代方案。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以上评审内容，满足一项得1分，每一子项有缺陷或不完全满足扣0.5分，不得负分，缺项不得分。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质量控制保障方案</w:t>
            </w:r>
          </w:p>
        </w:tc>
        <w:tc>
          <w:tcPr>
            <w:tcW w:type="dxa" w:w="2492"/>
          </w:tcPr>
          <w:p>
            <w:pPr>
              <w:pStyle w:val="null3"/>
            </w:pPr>
            <w:r>
              <w:rPr>
                <w:rFonts w:ascii="仿宋_GB2312" w:hAnsi="仿宋_GB2312" w:cs="仿宋_GB2312" w:eastAsia="仿宋_GB2312"/>
              </w:rPr>
              <w:t>一、评审内容 供应商针对本项目质量保障方案，内容包含： ①质量控制环节；②质量检查方法；③质量检查元素；④质量控制技术及保障措施。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供应商针对本项目进度保障方案，内容包含： ①项目进度计划； ②进度保障措施。 二、评审标准 1、完整性：工作进度计划条理、节点清晰，对评审内容中的各项要求有详细描述； 2、可实施性：切合本项目实际情况，提出步骤清晰、合理的方案； 3、针对性：措施能够紧扣项目实际情况，内容科学合理；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供应商针对本项目安全保障方案，内容包含： ①项目可能涉及的安全风险评估；②安全管理制度；③安全保障措施。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供应商针对本项目保密保障方案，内容包含： ①项目可能涉及的泄密风险元素评估； ②保密管理制度、保密保障措施。 二、评审标准 1、完整性：意见或建议必须全面，有详细描述； 2、可实施性：切合本项目实际情况，提出步骤清晰、合理的方案； 3、针对性：意见能够紧扣项目实际情况，内容科学合理； 三、赋分标准 以上评审内容，满足一项得3分，每有一子项有缺陷或不完全满足扣1分，不得负分，缺项不得分。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 管理机构配备计划；（专业配备、专业分工等） ② 组织机构岗位职责。（项目负责人、技术负责人、运维人员、观测人员等岗位职责）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以上两项评审内容，满足一项得4分，每有一子项有缺陷或不完全满足扣1分，不得负分，缺项不得分。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团队其他人员具有水利相关专业高级或以上职称每1人得2分，中级职称每一人得1分，其余不得分。总分：9分。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近三年承担过类似项目，有一项类似项目得3分，最多不超过9分；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项目负责人简况表.docx</w:t>
            </w:r>
          </w:p>
          <w:p>
            <w:pPr>
              <w:pStyle w:val="null3"/>
            </w:pPr>
            <w:r>
              <w:rPr>
                <w:rFonts w:ascii="仿宋_GB2312" w:hAnsi="仿宋_GB2312" w:cs="仿宋_GB2312" w:eastAsia="仿宋_GB2312"/>
              </w:rPr>
              <w:t>授权委托书.docx</w:t>
            </w:r>
          </w:p>
          <w:p>
            <w:pPr>
              <w:pStyle w:val="null3"/>
            </w:pPr>
            <w:r>
              <w:rPr>
                <w:rFonts w:ascii="仿宋_GB2312" w:hAnsi="仿宋_GB2312" w:cs="仿宋_GB2312" w:eastAsia="仿宋_GB2312"/>
              </w:rPr>
              <w:t>拒绝商业贿赂承诺书.docx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 （评标基准价=满足文件要求且价格最低的供应商报价）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授权委托书.docx</w:t>
            </w:r>
          </w:p>
          <w:p>
            <w:pPr>
              <w:pStyle w:val="null3"/>
            </w:pPr>
            <w:r>
              <w:rPr>
                <w:rFonts w:ascii="仿宋_GB2312" w:hAnsi="仿宋_GB2312" w:cs="仿宋_GB2312" w:eastAsia="仿宋_GB2312"/>
              </w:rPr>
              <w:t>拒绝商业贿赂承诺书.docx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详见附件：拒绝商业贿赂承诺书.docx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