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85CD30">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一、项目概述</w:t>
      </w:r>
    </w:p>
    <w:p w14:paraId="18E49514">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陕西省审计厅金审工程三期作为我省审计行业信息化建设的核心和审计机关重要信息化工程。基础环境方面累计建设部署服务器、存储、网络安全设备、云平台软件、数据库、中间件、桌面终端等软硬件设备共计3800余台（套），形成了完整的审计云支撑环境；应用系统方面包含审计综合作业平台、国家审计数字化管理平台、审计大数据中心、综合服务支撑系统、内部信息门户网站及其40余个分、子应用等核心系统，形成覆盖审计作业、管理、数据分析、综合保障的一体化业务体系，为履行审计监督职责提供信息化保障，有效提升了全省审计数字化水平。</w:t>
      </w:r>
    </w:p>
    <w:p w14:paraId="57D2B2D3">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二、项目目标</w:t>
      </w:r>
    </w:p>
    <w:p w14:paraId="73BA916E">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通过购买符合项目要求的第三方驻场运维服务，与采购人自有运维力量协同开展信息化运维保障，共同组建陕西省金审工程运维服务团队。确保采购人已上线应用系统和存量网络安全基础设施稳定运行，协同开展数据审计电子数据采集处理相关工作，及时响应并处置出现的各类问题和完善整改相关专业运维服务工作。</w:t>
      </w:r>
    </w:p>
    <w:p w14:paraId="7982250D">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三、采购内容</w:t>
      </w:r>
    </w:p>
    <w:p w14:paraId="043D81B1">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本项目采购内容主要包含基础环境和终端运维服务、基础软硬件平台和网络安全运维服务、软件运维服务、数据归集与标准化处理服务及其他服务，项目服务期限12个月。</w:t>
      </w:r>
    </w:p>
    <w:p w14:paraId="61D8DC85">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（一）基础环境和终端运维服务</w:t>
      </w:r>
    </w:p>
    <w:p w14:paraId="4009012A">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基础环境和终端运维服务主要包含机房设备、桌面终端设备以及视频会商系统相关软硬件运维服务，厅机关重要会议现场保障服务。</w:t>
      </w:r>
    </w:p>
    <w:p w14:paraId="0DC38802">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1．服务内容：</w:t>
      </w:r>
    </w:p>
    <w:p w14:paraId="4BD88DD2">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提供审计厅金审工程三期建设的审计专网机房、审计数据分析网机房以及审计厅其他相关机房场地巡检；提供厅机关1000余台桌面终端运维、音视频设备、会议系统运维服务，以及厅机关重要会议现场保障服务。</w:t>
      </w:r>
    </w:p>
    <w:p w14:paraId="1BA8CF89">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2．服务要求：</w:t>
      </w:r>
    </w:p>
    <w:p w14:paraId="1D20A6DB">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按约定周期定期对审计专网机房、审计数据分析网机房以及审计厅其他相关机房场地基础环境运行状态进行检查和分析，定期到现场对保证信息系统正常运行所必需的电力、空调、消防、安防等基础环境进行例行检查及状态监控、响应支持、故障上报。为采购人提供配置管理服务、巡检服务、技术培训服务，及时发现故障（或问题）隐患，完成巡检和故障上报。</w:t>
      </w:r>
    </w:p>
    <w:p w14:paraId="2479F193">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（2）提供厅机关1000余台桌面终端日常使用保障和硬件故障上报处置，市县审计机关国产化终端日常上报问题处置和新增型号审计应用适配测试等保障服务。</w:t>
      </w:r>
    </w:p>
    <w:p w14:paraId="223468EF">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（3）全省视频会商系统运行维护和会议管理，厅机关审计指挥中心等主要会议室场地音视频设备运维管理和重大会议现场保障服务。</w:t>
      </w:r>
    </w:p>
    <w:p w14:paraId="4B34AAFC">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（二）基础软硬件平台和网络安全运维服务</w:t>
      </w:r>
    </w:p>
    <w:p w14:paraId="1C027D29">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基础软硬件平台和网络安全运维服务主要包含网络运维服务、主机运维服务、存储运维服务、云平台运维服务、网络安全运维服务等。</w:t>
      </w:r>
    </w:p>
    <w:p w14:paraId="4F7B49DB">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1．服务内容：</w:t>
      </w:r>
    </w:p>
    <w:p w14:paraId="13DEA843">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（1）基础软硬件平台运维服务为审计专网、审计数据分析网网络、主机、存储等硬件设备提供配置服务、巡检服务、升级服务、故障排查与修复服务。</w:t>
      </w:r>
    </w:p>
    <w:p w14:paraId="33E1FECF">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（2）提供审计专网、审计数据分析网云资源分配管理等运维服务；协助华为云平台原厂服务开展云平台故障处置、升级和巡检等。</w:t>
      </w:r>
    </w:p>
    <w:p w14:paraId="7091ED90">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（3）网络安全运维服务按照审计厅现有的网络安全防护体系包含防火墙、IPSEC VPN、入侵检测系统、病毒过滤网关、双向网闸、漏洞扫描系统、终端准入系统、CA安全认证网关安全等开展安全运维服务，主要包括安全设备配置服务、安全设备巡检服务、安全设备升级服务、安全设备故障排查与修复服务、安全设备日志分析服务、安全设备审计记录统计服务。</w:t>
      </w:r>
    </w:p>
    <w:p w14:paraId="33629574">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2．服务要求：</w:t>
      </w:r>
    </w:p>
    <w:p w14:paraId="1DCA6BF7">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（1）设备配置服务：根据审计专网、审计数据分析网的业务计算与存储的实际需求，协助设备厂商完成设备配置工作。</w:t>
      </w:r>
    </w:p>
    <w:p w14:paraId="74F1E01B">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（2）设备巡检服务：根据网络、主机、存储等设备巡检方案，完成相关设备的巡检工作，形成巡检报告，并对巡检报告进行分析，发现问题、风险或者漏洞后及时上报。</w:t>
      </w:r>
    </w:p>
    <w:p w14:paraId="0893AA09">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（3）设备升级服务：根据相关需求和巡检中出现的问题，协助设备厂商编制升级方案并完成设备的升级。</w:t>
      </w:r>
    </w:p>
    <w:p w14:paraId="59301FC8">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（4）设备故障排查与修复服务：对巡检过程中发现的、用户反馈的或其他渠道发现的设备故障进行排查，协助相关厂商资源对设备故障问题进行修复，保障设备的正常运行。</w:t>
      </w:r>
    </w:p>
    <w:p w14:paraId="4D5AD6EF">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（5）云平台巡检服务：根据审计专网、审计数据分析网云平台巡检方案，完成云平台的巡检工作，形成巡检报告，并对巡检报告进行分析，发现问题、风险后及时上报。</w:t>
      </w:r>
    </w:p>
    <w:p w14:paraId="7C8E2F15">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（6）云平台协同服务：提供审计专网、审计数据分析网云平台资源分配管理；协助华为云平台原厂服务开展云平台故障处置、升级和巡检等。</w:t>
      </w:r>
    </w:p>
    <w:p w14:paraId="0ED03CCC">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（7）安全设备配置服务：根据不同的安全防护需求，完成厅机关和市县审计局相关的安全设备配置的工作。</w:t>
      </w:r>
    </w:p>
    <w:p w14:paraId="25DB9AE2">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（8）安全设备巡检服务：根据安全设备巡检方案，完成安全设备的巡检工作，形成巡检报告，并对巡检报告进行分析，发现问题、风险或漏洞后及时上报。</w:t>
      </w:r>
    </w:p>
    <w:p w14:paraId="111726BC">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（9）安全设备升级服务：根据安全需求和巡检中出现的问题，协助设备厂商编制升级方案并完成设备升级。</w:t>
      </w:r>
    </w:p>
    <w:p w14:paraId="13783276">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（10）安全设备日志分析服务：对于安全层面及相关设备预警的问题，协助设备厂商进行安全设备日志的分析，从日志层面分析安全问题原因。</w:t>
      </w:r>
    </w:p>
    <w:p w14:paraId="03A39F84">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（11）安全设备审计记录统计服务：协助审计管理员完成安全设备的用户登录、操作记录等信息的统计工作。</w:t>
      </w:r>
    </w:p>
    <w:p w14:paraId="1CBD77AD">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（三）软件运维服务</w:t>
      </w:r>
    </w:p>
    <w:p w14:paraId="1B47AB6B">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软件系统运维包括基础软件运维和应用软件运维。</w:t>
      </w:r>
    </w:p>
    <w:p w14:paraId="576D5E2E">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1．基础软件运维</w:t>
      </w:r>
    </w:p>
    <w:p w14:paraId="2CCF31D7">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基础软件运维包含操作系统巡检服务、操作系统故障处理服务、操作系统优化服务、数据库巡检服务、数据库现场排障服务、数据库优化服务、中间件巡检服务、中间件故障处理服务。</w:t>
      </w:r>
    </w:p>
    <w:p w14:paraId="7273A406">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（1）服务内容：</w:t>
      </w:r>
    </w:p>
    <w:p w14:paraId="03F77ECA">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针对审计厅金审工程三期建设的服务器操作系统、数据库、中间件开展巡检、优化、故障排查与修复服务。</w:t>
      </w:r>
    </w:p>
    <w:p w14:paraId="52739EBE">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（2）服务要求：</w:t>
      </w:r>
    </w:p>
    <w:p w14:paraId="29C1F151">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①巡检服务：根据操作系统、数据库、中间件等基础软件巡检方案，完成相关基础软件的巡检工作，形成巡检报告，并对巡检报告进行分析，发现问题、风险或者漏洞后及时上报。</w:t>
      </w:r>
    </w:p>
    <w:p w14:paraId="739694A5">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②优化服务：根据相关需求和巡检中出现的问题，对操作系统、数据库开展策略优化。</w:t>
      </w:r>
    </w:p>
    <w:p w14:paraId="659FC177">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③故障排查与修复服务：对巡检过程中发现的、用户反馈的或其他渠道发现的操作系统、数据库、中间件故障进行排查，协助相关厂商资源对基础软件故障问题进行修复，保障基础软件的正常运行。</w:t>
      </w:r>
    </w:p>
    <w:p w14:paraId="75272A19">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2．应用软件运维</w:t>
      </w:r>
    </w:p>
    <w:p w14:paraId="6A5CEFED">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应用软件运维包含应用软件系统例行维护、应用软件系统巡检服务、应用软件系统故障处理服务、应用软件系统优化改进、应用软件系统技术培训服务等驻场运维服务。</w:t>
      </w:r>
    </w:p>
    <w:p w14:paraId="3D424312">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（1）服务内容：</w:t>
      </w:r>
    </w:p>
    <w:p w14:paraId="06B2490F">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保障采购人存量应用系统（主要包括审计综合作业平台、审计数字化管理平台、审计大数据中心、综合服务支撑系统及其各分子系统）以及内部信息门户网站功能模块的正常运行。具体服务内容主要包括巡检服务、故障处理服务、优化改进服务、技术培训服务等驻场运维服务。</w:t>
      </w:r>
    </w:p>
    <w:p w14:paraId="5A83A950">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（2）服务要求：</w:t>
      </w:r>
    </w:p>
    <w:p w14:paraId="755E68A2">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①巡检服务：依据巡检要求，执行各应用系统及数据库状态的检查工作，并对检查结果进行深入分析，发现的问题、风险或漏洞将立即上报。在巡检活动中，对系统性能进行细致评估，对可能的性能瓶颈进行预警，并提出相应的优化方案。此外，依据巡检结果，及时更新系统日志，记录系统运行状况及巡检过程中的重要信息，以便为后续问题的迅速定位和解决提供有力支持。</w:t>
      </w:r>
    </w:p>
    <w:p w14:paraId="5A89E459">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②故障处理服务：对巡检过程中识别出的、用户报告的或通过其他途径发现的故障，进行诊断处理，并调动所需资源迅速修复，确保应用系统及数据库的稳定运行。</w:t>
      </w:r>
    </w:p>
    <w:p w14:paraId="7FA9BFC0">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③优化改进服务：对审计署统一建设下发的核心系统执行标准化配置与升级，保障应用系统处于最新版本。在此过程中，确保数据安全，防止因更新操作导致的数据遗失或损坏。此外，对升级后的应用系统及数据库进行准确性测试，以保证新版本的稳定性和兼容性。</w:t>
      </w:r>
    </w:p>
    <w:p w14:paraId="20501E1E">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④其他现场运维：</w:t>
      </w:r>
    </w:p>
    <w:p w14:paraId="5E1C5E8A">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a．配置服务：包括各应用的分子系统、数据库的加载和参数开展配置服务，并根据系统运行状况和业务需求，定期进行配置更新和优化，确保系统稳定性和业务连续性。</w:t>
      </w:r>
    </w:p>
    <w:p w14:paraId="56DB68A0">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b．备份和恢复服务：定期备份各应用系统的应用程序包和重要配置信息，确保应用系统的安全性和完整性，备份操作采用自动化脚本执行，以减少人为错误。备份数据将存储在相关存储设备中，并定期进行恢复测试，以验证备份的有效性。此外，备份策略将根据应用系统的重要性和变化频率进行调整，以优化存储空间和备份时间。</w:t>
      </w:r>
    </w:p>
    <w:p w14:paraId="3DB410F6">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c．漏洞修复服务：针对审计厅系统安全需求，提供漏洞修复服务，以增强各应用系统和数据库的安全性，并制定切实可行的修复计划，对已识别的漏洞进行修复，以确保应用系统及数据库的持续运行和数据的完整性。修复完成后，进行全面的测试与验证，以确保漏洞得到有效的修复。主要根据每年度等保密评复测工作，每季度服务器基线检查，每季度现有系统漏洞扫描、渗透测试、每年度攻防演练后发现的应用系统安全漏洞进行修复。</w:t>
      </w:r>
    </w:p>
    <w:p w14:paraId="49EDC009">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d．用户角色及权限配置服务：根据用户实际需求，对变动人员和组织结构、权限、角色进行调整，从而确保各应用系统正常使用。如统一权限管理分系统为省厅、各地市区县用户添加所需现有系统图标及系统内菜单功能权限。</w:t>
      </w:r>
    </w:p>
    <w:p w14:paraId="1D616DF5">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e．系统状态监控及预警服务：对各业务应用系统的运转状态进行持续性监控，包括服务的可用性、响应时间等；同时，对底层支撑的服务器计算资源（如CPU、内存利用率）及存储资源（如磁盘空间、IO性能）进行实时性能采集与分析，一旦发现性能指标偏离阈值或出现异常，系统自动触发多级预警机制，通过各种方式第一时间发出预警，确保潜在问题能被及时发现、快速定位与处理，从而有效保障各系统稳定、高效运行，防患于未然。</w:t>
      </w:r>
    </w:p>
    <w:p w14:paraId="3AD744C2">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⑤技术培训服务：按照采购人需求组织开展应用系统审计业务人员操作培训、系统管理员操作培训等。</w:t>
      </w:r>
    </w:p>
    <w:p w14:paraId="7D5F59F3">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（四）数据归集与标准化处理服务</w:t>
      </w:r>
    </w:p>
    <w:p w14:paraId="70B922A4">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数据归集与标准化处理服务包括审计大数据中心数据归集与处理技术支持服务、数据标准化技术支持服务。</w:t>
      </w:r>
    </w:p>
    <w:p w14:paraId="12D3C089">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1．数据归集与处理技术支持服务</w:t>
      </w:r>
    </w:p>
    <w:p w14:paraId="3C9C9F2D">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（1）服务内容：</w:t>
      </w:r>
    </w:p>
    <w:p w14:paraId="232A4587">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数据归集与处理是审计大数据中心数据的来源和基础，需要利用审计大数据中心提供的各类数据上报、采集、恢复、迁移工具，对从各单位采集的各类异构数据库备份文件、文本文件、XML文件数据等，开展数据归集和处理工作。主要包括为数据报送人员提供数据上报、恢复支撑服务，完成报送数据向国产数据库迁移的支撑服务，为数据业务分析人员提供数据采集、数据处理、批量数据处理、数据切分等的技术支持服务，以及信息资源规划、信息资源管理支撑服务。</w:t>
      </w:r>
    </w:p>
    <w:p w14:paraId="47BDDF4E">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（2）服务要求：</w:t>
      </w:r>
    </w:p>
    <w:p w14:paraId="6E5E2BDE">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①数据上报支持服务：针对数据上报要求，制定远程数据上报方案，提供数据远程报送、上报数据的病毒查杀、上报数据完整性验证、上报信息系统搭建和配置服务等工作。</w:t>
      </w:r>
    </w:p>
    <w:p w14:paraId="4182F72E">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②数据恢复支持服务：针对上报数据特点，制定合理的数据恢复方案，能够完成各类异构数据库备份文件、文本文件、XML等文件的数据恢复处理实施工作，针对数据恢复过程中的空间利用、性能优化等提供合理的规划与设计。</w:t>
      </w:r>
    </w:p>
    <w:p w14:paraId="0775DA21">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③数据迁移转换服务：针对已恢复的各类异构数据，完成向审计大数据中心国产数据库的数据迁移实施工作，具备数据迁移计划编制、方案设计和二次定制开发实施能力。 </w:t>
      </w:r>
    </w:p>
    <w:p w14:paraId="34DC1259">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④数据采集技术支持服务：根据数据业务分析人员的需求，提供汇总数据、校对验证数据质量等技术支持。</w:t>
      </w:r>
    </w:p>
    <w:p w14:paraId="5B6425FA">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⑤数据处理技术支持服务：根据数据业务分析人员的需求，提供业务部门的现场数据恢复、迁移、备份、清理等技术支持。</w:t>
      </w:r>
    </w:p>
    <w:p w14:paraId="6CE6BE57">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⑥批量处理数据技术支持服务：根据数据业务分析人员的需求，提供批量从文件提取数据入库的技术支持。</w:t>
      </w:r>
    </w:p>
    <w:p w14:paraId="49E6DEF3">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⑦数据库脚本编写与修改支持服务：提供技术支持服务，将需求转换成数据分析实现方案，编写分析语句，形成分析结果。</w:t>
      </w:r>
    </w:p>
    <w:p w14:paraId="3447EF4E">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⑧信息资源规划支持服务：针对审计业务的特点，根据现有的支撑环境以及数据情况，协助制定合理的信息资源规划，协助完成信息资源管理支撑工作。</w:t>
      </w:r>
    </w:p>
    <w:p w14:paraId="6906EDD1">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2．数据标准化技术支持服务</w:t>
      </w:r>
    </w:p>
    <w:p w14:paraId="2A55C7B6">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（1）服务内容：</w:t>
      </w:r>
    </w:p>
    <w:p w14:paraId="791BD71B">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数据标准化以国产数据库存储的同构数据为基础，按照统一的数据标准制定行业的标准数据。标准数据是审计大数据的核心数据，需要对同构库基础数据开展数据质量检查服务、数据校验服务、数据清洗转换服务、数据标准化模型编制服务等工作。</w:t>
      </w:r>
    </w:p>
    <w:p w14:paraId="1F040E38">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（2）服务要求：</w:t>
      </w:r>
    </w:p>
    <w:p w14:paraId="67A9EE62">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①数据质量校验分析支持服务：配合开展各行业数据质量校验分析工作，为行业标准化提供数据质量的相关需求。</w:t>
      </w:r>
    </w:p>
    <w:p w14:paraId="44A92944">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②标准化表制定支持服务：配合开展各行业数据标准化制定工作，按照行业标准化需求，形成行业标准大表。</w:t>
      </w:r>
    </w:p>
    <w:p w14:paraId="15AAB32D">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③异常数据清洗校验支持服务：配合开展各行业数据标准化数据清洗校验工作，按照行业标准化需求，将异常数据、不符合标准化的数据进行清洗达到标准化的数据质量要求。主要完成冗余数据处理、错弊数据处理、数据规范处理、数据类型对应等工作。</w:t>
      </w:r>
    </w:p>
    <w:p w14:paraId="55029320">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④数据标准化模型编制支持服务：配合开展各行业数据标准化模型编制工作，将编制好的模型配置到系统中，完成数据标准化工作。</w:t>
      </w:r>
    </w:p>
    <w:p w14:paraId="22218018">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⑤标准化数据汇总转换支持服务：开展各行业数据标准化转换工作提供支持服务。</w:t>
      </w:r>
    </w:p>
    <w:p w14:paraId="6100443E">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（五）其他服务</w:t>
      </w:r>
    </w:p>
    <w:p w14:paraId="0C56EAF4">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其他服务主要包含二线专家团队技术业务支持服务。</w:t>
      </w:r>
    </w:p>
    <w:p w14:paraId="289048E4">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1．服务内容：</w:t>
      </w:r>
    </w:p>
    <w:p w14:paraId="7E2E7A24">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以一线服务团队的服务内容为基础，在一线服务团队遇到无法解决的技术问题提供相应的远程支持服务或现场问题解决。</w:t>
      </w:r>
    </w:p>
    <w:p w14:paraId="1807724D">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2．服务要求：</w:t>
      </w:r>
    </w:p>
    <w:p w14:paraId="1FE4E6CB">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远程技术支持服务：在各应用系统、成品软件、其他应用系统、运维服务支撑系统、数据库等发生故障，且一线运维团队无法解决的情况下，二线技术支持团队根据一线运维团队反馈的问题、故障日志等，远程指导一线运维团队解决故障或提供相应解决方案。</w:t>
      </w:r>
    </w:p>
    <w:p w14:paraId="740D4257">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（2）远程业务支持服务：在一线团队无法在预期时间内完成用户分配的数据归集与处理、数据标准化等任务时，二线技术支持团队第一时间为一线团队提供数据业务支持，配合用户在预期时间内完成工作任务。</w:t>
      </w:r>
    </w:p>
    <w:p w14:paraId="2DCEA8E8">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资深专家现场数据库问题解决服务：提供数据库专家进行现场数据库健康检查服务。检查内容包括提供服务器、操作系统、数据库、备份系统、业务系统等多个方面的健康检查服务，以实时数据、历史数据、监控数据等为依据，形成详细的分析报告。针对数据库运行情况以及收集的性能信息提出系统各项性能参数配置合理调优或硬件扩容建议，在获得同意后，对数据库系统各项性能参数配置进行合理调优。</w:t>
      </w:r>
    </w:p>
    <w:p w14:paraId="465102D1">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四、运维服务要求及工作职责</w:t>
      </w:r>
    </w:p>
    <w:p w14:paraId="7713EE57">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（一）服务管理及人员要求</w:t>
      </w:r>
    </w:p>
    <w:p w14:paraId="28F78C2F">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1．服务管理要求</w:t>
      </w:r>
    </w:p>
    <w:p w14:paraId="542241F4">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eastAsia="zh-CN"/>
        </w:rPr>
        <w:t>应针对服务项目内容制定具体运维服务计划和日常实施方案；</w:t>
      </w:r>
    </w:p>
    <w:p w14:paraId="425D1B16">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eastAsia="zh-CN"/>
        </w:rPr>
        <w:t>应提供7*24小时的电话咨询、远程连接支持等各类技术支持服务。采购人在设备使用过程中如遇到问题，无论软硬件，</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eastAsia="zh-CN"/>
        </w:rPr>
        <w:t>应承诺及时提供电话支持和帮助。当信息系统发生故障，并影响业务系统正常运作时，应在30分钟内响应，4小时内修复；</w:t>
      </w:r>
    </w:p>
    <w:p w14:paraId="57B3124D">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eastAsia="zh-CN"/>
        </w:rPr>
        <w:t>应派出不少于15名面向全省审计机关的驻场工程师，在项目服务期内提供运维服务。当驻场工程师无法解决问题时或技术力量不足时，应及时提供后援技术支持和补充；</w:t>
      </w:r>
    </w:p>
    <w:p w14:paraId="39635B3B">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2．人员配置要求</w:t>
      </w:r>
    </w:p>
    <w:p w14:paraId="1349B2D9">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基础环境和终端运维服务2人，基础软硬件平台及网络安全运维服务4人（含1名主管），软件运维服务4人，数据归集与标准化处理服务5人。</w:t>
      </w:r>
    </w:p>
    <w:p w14:paraId="7567D133">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驻场运维人员岗位设置要求。</w:t>
      </w:r>
    </w:p>
    <w:tbl>
      <w:tblPr>
        <w:tblStyle w:val="2"/>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28" w:type="dxa"/>
        </w:tblCellMar>
      </w:tblPr>
      <w:tblGrid>
        <w:gridCol w:w="990"/>
        <w:gridCol w:w="1000"/>
        <w:gridCol w:w="5210"/>
        <w:gridCol w:w="627"/>
        <w:gridCol w:w="517"/>
      </w:tblGrid>
      <w:tr w14:paraId="4977B07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28" w:type="dxa"/>
          </w:tblCellMar>
        </w:tblPrEx>
        <w:trPr>
          <w:trHeight w:val="527" w:hRule="atLeast"/>
          <w:tblHeader/>
        </w:trPr>
        <w:tc>
          <w:tcPr>
            <w:tcW w:w="593" w:type="pct"/>
            <w:shd w:val="clear" w:color="auto" w:fill="BEBEBE" w:themeFill="background1" w:themeFillShade="BF"/>
            <w:vAlign w:val="center"/>
          </w:tcPr>
          <w:p w14:paraId="06BFE9B0">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运维事项</w:t>
            </w:r>
          </w:p>
        </w:tc>
        <w:tc>
          <w:tcPr>
            <w:tcW w:w="599" w:type="pct"/>
            <w:shd w:val="clear" w:color="auto" w:fill="BEBEBE" w:themeFill="background1" w:themeFillShade="BF"/>
            <w:vAlign w:val="center"/>
          </w:tcPr>
          <w:p w14:paraId="6835DFB6">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岗位</w:t>
            </w:r>
          </w:p>
        </w:tc>
        <w:tc>
          <w:tcPr>
            <w:tcW w:w="3122" w:type="pct"/>
            <w:shd w:val="clear" w:color="auto" w:fill="BEBEBE" w:themeFill="background1" w:themeFillShade="BF"/>
            <w:vAlign w:val="center"/>
          </w:tcPr>
          <w:p w14:paraId="1BAED1DE">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主要运维工作内容</w:t>
            </w:r>
          </w:p>
        </w:tc>
        <w:tc>
          <w:tcPr>
            <w:tcW w:w="376" w:type="pct"/>
            <w:shd w:val="clear" w:color="auto" w:fill="BEBEBE" w:themeFill="background1" w:themeFillShade="BF"/>
            <w:vAlign w:val="center"/>
          </w:tcPr>
          <w:p w14:paraId="7F963745">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等级（</w:t>
            </w:r>
            <w:r>
              <w:rPr>
                <w:rFonts w:hint="eastAsia" w:ascii="宋体" w:hAnsi="宋体" w:eastAsia="宋体" w:cs="宋体"/>
                <w:color w:val="auto"/>
                <w:sz w:val="24"/>
                <w:szCs w:val="24"/>
                <w:highlight w:val="none"/>
                <w:lang w:val="en-US" w:eastAsia="zh-CN"/>
              </w:rPr>
              <w:t>不低于</w:t>
            </w:r>
            <w:r>
              <w:rPr>
                <w:rFonts w:hint="eastAsia" w:ascii="宋体" w:hAnsi="宋体" w:eastAsia="宋体" w:cs="宋体"/>
                <w:color w:val="auto"/>
                <w:sz w:val="24"/>
                <w:szCs w:val="24"/>
                <w:highlight w:val="none"/>
                <w:lang w:eastAsia="zh-CN"/>
              </w:rPr>
              <w:t>）</w:t>
            </w:r>
          </w:p>
        </w:tc>
        <w:tc>
          <w:tcPr>
            <w:tcW w:w="310" w:type="pct"/>
            <w:shd w:val="clear" w:color="auto" w:fill="BEBEBE" w:themeFill="background1" w:themeFillShade="BF"/>
            <w:vAlign w:val="center"/>
          </w:tcPr>
          <w:p w14:paraId="311FA1ED">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人数（</w:t>
            </w:r>
            <w:r>
              <w:rPr>
                <w:rFonts w:hint="eastAsia" w:ascii="宋体" w:hAnsi="宋体" w:eastAsia="宋体" w:cs="宋体"/>
                <w:color w:val="auto"/>
                <w:sz w:val="24"/>
                <w:szCs w:val="24"/>
                <w:highlight w:val="none"/>
                <w:lang w:val="en-US" w:eastAsia="zh-CN"/>
              </w:rPr>
              <w:t>不少于</w:t>
            </w:r>
            <w:r>
              <w:rPr>
                <w:rFonts w:hint="eastAsia" w:ascii="宋体" w:hAnsi="宋体" w:eastAsia="宋体" w:cs="宋体"/>
                <w:color w:val="auto"/>
                <w:sz w:val="24"/>
                <w:szCs w:val="24"/>
                <w:highlight w:val="none"/>
                <w:lang w:eastAsia="zh-CN"/>
              </w:rPr>
              <w:t>）</w:t>
            </w:r>
          </w:p>
        </w:tc>
      </w:tr>
      <w:tr w14:paraId="3E44778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28" w:type="dxa"/>
          </w:tblCellMar>
        </w:tblPrEx>
        <w:trPr>
          <w:trHeight w:val="1671" w:hRule="atLeast"/>
        </w:trPr>
        <w:tc>
          <w:tcPr>
            <w:tcW w:w="593" w:type="pct"/>
            <w:vMerge w:val="restart"/>
            <w:shd w:val="clear" w:color="000000" w:fill="FFFFFF"/>
            <w:vAlign w:val="center"/>
          </w:tcPr>
          <w:p w14:paraId="28CCD159">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基础环境和终端运维服务</w:t>
            </w:r>
          </w:p>
        </w:tc>
        <w:tc>
          <w:tcPr>
            <w:tcW w:w="599" w:type="pct"/>
            <w:vMerge w:val="restart"/>
            <w:shd w:val="clear" w:color="000000" w:fill="FFFFFF"/>
            <w:vAlign w:val="center"/>
          </w:tcPr>
          <w:p w14:paraId="005B00FA">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基础环境终端运维</w:t>
            </w:r>
          </w:p>
          <w:p w14:paraId="79D12284">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（2人）</w:t>
            </w:r>
          </w:p>
        </w:tc>
        <w:tc>
          <w:tcPr>
            <w:tcW w:w="3122" w:type="pct"/>
            <w:vMerge w:val="restart"/>
            <w:shd w:val="clear" w:color="000000" w:fill="FFFFFF"/>
            <w:vAlign w:val="center"/>
          </w:tcPr>
          <w:p w14:paraId="2AC35376">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提供审计专网机房、审计数据分析网机房以及审计厅相关机房场地设备开展巡检和常规服务；全省视频会商系统运行维护和会议管理，厅机关审计指挥中心等主要会议室场地音视频设备运维管理和重大会议现场保障服务。</w:t>
            </w:r>
          </w:p>
          <w:p w14:paraId="5B90E901">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提供厅机关1000余台终端日常使用保障、硬件故障处置和返厂维修等服务。提供市县审计机关国产化终端日常上报问题处置和新增型号审计应用适配测试等保障服务。</w:t>
            </w:r>
          </w:p>
        </w:tc>
        <w:tc>
          <w:tcPr>
            <w:tcW w:w="376" w:type="pct"/>
            <w:shd w:val="clear" w:color="000000" w:fill="FFFFFF"/>
            <w:vAlign w:val="center"/>
          </w:tcPr>
          <w:p w14:paraId="4C558183">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中级</w:t>
            </w:r>
          </w:p>
        </w:tc>
        <w:tc>
          <w:tcPr>
            <w:tcW w:w="310" w:type="pct"/>
            <w:shd w:val="clear" w:color="000000" w:fill="FFFFFF"/>
            <w:vAlign w:val="center"/>
          </w:tcPr>
          <w:p w14:paraId="0E0CB89A">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p>
        </w:tc>
      </w:tr>
      <w:tr w14:paraId="715EFEB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28" w:type="dxa"/>
          </w:tblCellMar>
        </w:tblPrEx>
        <w:trPr>
          <w:trHeight w:val="578" w:hRule="atLeast"/>
        </w:trPr>
        <w:tc>
          <w:tcPr>
            <w:tcW w:w="593" w:type="pct"/>
            <w:vMerge w:val="continue"/>
            <w:vAlign w:val="center"/>
          </w:tcPr>
          <w:p w14:paraId="0F787E4F">
            <w:pPr>
              <w:pStyle w:val="4"/>
              <w:spacing w:line="360" w:lineRule="auto"/>
              <w:jc w:val="both"/>
              <w:rPr>
                <w:rFonts w:hint="eastAsia" w:ascii="宋体" w:hAnsi="宋体" w:eastAsia="宋体" w:cs="宋体"/>
                <w:color w:val="auto"/>
                <w:sz w:val="24"/>
                <w:szCs w:val="24"/>
                <w:highlight w:val="none"/>
                <w:lang w:eastAsia="zh-CN"/>
              </w:rPr>
            </w:pPr>
          </w:p>
        </w:tc>
        <w:tc>
          <w:tcPr>
            <w:tcW w:w="599" w:type="pct"/>
            <w:vMerge w:val="continue"/>
            <w:shd w:val="clear" w:color="000000" w:fill="FFFFFF"/>
            <w:vAlign w:val="center"/>
          </w:tcPr>
          <w:p w14:paraId="00E3585F">
            <w:pPr>
              <w:pStyle w:val="4"/>
              <w:spacing w:line="360" w:lineRule="auto"/>
              <w:jc w:val="both"/>
              <w:rPr>
                <w:rFonts w:hint="eastAsia" w:ascii="宋体" w:hAnsi="宋体" w:eastAsia="宋体" w:cs="宋体"/>
                <w:color w:val="auto"/>
                <w:sz w:val="24"/>
                <w:szCs w:val="24"/>
                <w:highlight w:val="none"/>
                <w:lang w:eastAsia="zh-CN"/>
              </w:rPr>
            </w:pPr>
          </w:p>
        </w:tc>
        <w:tc>
          <w:tcPr>
            <w:tcW w:w="3122" w:type="pct"/>
            <w:vMerge w:val="continue"/>
            <w:shd w:val="clear" w:color="000000" w:fill="FFFFFF"/>
            <w:vAlign w:val="center"/>
          </w:tcPr>
          <w:p w14:paraId="71C620A8">
            <w:pPr>
              <w:pStyle w:val="4"/>
              <w:spacing w:line="360" w:lineRule="auto"/>
              <w:jc w:val="both"/>
              <w:rPr>
                <w:rFonts w:hint="eastAsia" w:ascii="宋体" w:hAnsi="宋体" w:eastAsia="宋体" w:cs="宋体"/>
                <w:color w:val="auto"/>
                <w:sz w:val="24"/>
                <w:szCs w:val="24"/>
                <w:highlight w:val="none"/>
                <w:lang w:eastAsia="zh-CN"/>
              </w:rPr>
            </w:pPr>
          </w:p>
        </w:tc>
        <w:tc>
          <w:tcPr>
            <w:tcW w:w="376" w:type="pct"/>
            <w:shd w:val="clear" w:color="000000" w:fill="FFFFFF"/>
            <w:vAlign w:val="center"/>
          </w:tcPr>
          <w:p w14:paraId="4CB18E14">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初级</w:t>
            </w:r>
          </w:p>
        </w:tc>
        <w:tc>
          <w:tcPr>
            <w:tcW w:w="310" w:type="pct"/>
            <w:shd w:val="clear" w:color="000000" w:fill="FFFFFF"/>
            <w:vAlign w:val="center"/>
          </w:tcPr>
          <w:p w14:paraId="3C4F333A">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p>
        </w:tc>
      </w:tr>
      <w:tr w14:paraId="35FD104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28" w:type="dxa"/>
          </w:tblCellMar>
        </w:tblPrEx>
        <w:trPr>
          <w:trHeight w:val="990" w:hRule="atLeast"/>
        </w:trPr>
        <w:tc>
          <w:tcPr>
            <w:tcW w:w="593" w:type="pct"/>
            <w:vMerge w:val="restart"/>
            <w:shd w:val="clear" w:color="000000" w:fill="FFFFFF"/>
            <w:vAlign w:val="center"/>
          </w:tcPr>
          <w:p w14:paraId="14624067">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基础软硬件平台及网络安全运维服务</w:t>
            </w:r>
          </w:p>
        </w:tc>
        <w:tc>
          <w:tcPr>
            <w:tcW w:w="599" w:type="pct"/>
            <w:shd w:val="clear" w:color="000000" w:fill="FFFFFF"/>
            <w:vAlign w:val="center"/>
          </w:tcPr>
          <w:p w14:paraId="0FDA7955">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运维技术主管</w:t>
            </w:r>
          </w:p>
          <w:p w14:paraId="56018A6D">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（1人）</w:t>
            </w:r>
          </w:p>
        </w:tc>
        <w:tc>
          <w:tcPr>
            <w:tcW w:w="3122" w:type="pct"/>
            <w:shd w:val="clear" w:color="000000" w:fill="FFFFFF"/>
            <w:vAlign w:val="center"/>
          </w:tcPr>
          <w:p w14:paraId="77EA38B7">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负责省厅驻场运维团队现场管理，组织运维事项工单分配督办、重大故障（事件）处置协调、市县运维团队培训指导等工作，协助省厅运维管理中心开展运维工作绩效考核等工作。</w:t>
            </w:r>
          </w:p>
        </w:tc>
        <w:tc>
          <w:tcPr>
            <w:tcW w:w="376" w:type="pct"/>
            <w:shd w:val="clear" w:color="000000" w:fill="FFFFFF"/>
            <w:vAlign w:val="center"/>
          </w:tcPr>
          <w:p w14:paraId="2723FAF1">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中级</w:t>
            </w:r>
          </w:p>
        </w:tc>
        <w:tc>
          <w:tcPr>
            <w:tcW w:w="310" w:type="pct"/>
            <w:shd w:val="clear" w:color="000000" w:fill="FFFFFF"/>
            <w:vAlign w:val="center"/>
          </w:tcPr>
          <w:p w14:paraId="6C278C70">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p>
        </w:tc>
      </w:tr>
      <w:tr w14:paraId="11AED1C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28" w:type="dxa"/>
          </w:tblCellMar>
        </w:tblPrEx>
        <w:trPr>
          <w:trHeight w:val="1274" w:hRule="atLeast"/>
        </w:trPr>
        <w:tc>
          <w:tcPr>
            <w:tcW w:w="593" w:type="pct"/>
            <w:vMerge w:val="continue"/>
            <w:vAlign w:val="center"/>
          </w:tcPr>
          <w:p w14:paraId="1002C63D">
            <w:pPr>
              <w:pStyle w:val="4"/>
              <w:spacing w:line="360" w:lineRule="auto"/>
              <w:jc w:val="both"/>
              <w:rPr>
                <w:rFonts w:hint="eastAsia" w:ascii="宋体" w:hAnsi="宋体" w:eastAsia="宋体" w:cs="宋体"/>
                <w:color w:val="auto"/>
                <w:sz w:val="24"/>
                <w:szCs w:val="24"/>
                <w:highlight w:val="none"/>
                <w:lang w:eastAsia="zh-CN"/>
              </w:rPr>
            </w:pPr>
          </w:p>
        </w:tc>
        <w:tc>
          <w:tcPr>
            <w:tcW w:w="599" w:type="pct"/>
            <w:shd w:val="clear" w:color="000000" w:fill="FFFFFF"/>
            <w:vAlign w:val="center"/>
          </w:tcPr>
          <w:p w14:paraId="6287E049">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基础软硬件平台运维服务</w:t>
            </w:r>
          </w:p>
          <w:p w14:paraId="7B768881">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（2人）</w:t>
            </w:r>
          </w:p>
        </w:tc>
        <w:tc>
          <w:tcPr>
            <w:tcW w:w="3122" w:type="pct"/>
            <w:shd w:val="clear" w:color="000000" w:fill="FFFFFF"/>
            <w:vAlign w:val="center"/>
          </w:tcPr>
          <w:p w14:paraId="4D34469B">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为审计专网、审计数据分析网网络、主机、存储等硬件设备提供配置服务、巡检服务、升级服务、故障排查与修复服务。提供审计专网、审计数据分析网云资源分配管理等运维。协助华为云平台原厂服务开展云平台故障处置、升级和巡检等。</w:t>
            </w:r>
          </w:p>
        </w:tc>
        <w:tc>
          <w:tcPr>
            <w:tcW w:w="376" w:type="pct"/>
            <w:shd w:val="clear" w:color="000000" w:fill="FFFFFF"/>
            <w:vAlign w:val="center"/>
          </w:tcPr>
          <w:p w14:paraId="7DDA1159">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中级</w:t>
            </w:r>
          </w:p>
        </w:tc>
        <w:tc>
          <w:tcPr>
            <w:tcW w:w="310" w:type="pct"/>
            <w:shd w:val="clear" w:color="000000" w:fill="FFFFFF"/>
            <w:vAlign w:val="center"/>
          </w:tcPr>
          <w:p w14:paraId="3A21DE40">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p>
        </w:tc>
      </w:tr>
      <w:tr w14:paraId="553C822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28" w:type="dxa"/>
          </w:tblCellMar>
        </w:tblPrEx>
        <w:trPr>
          <w:trHeight w:val="1264" w:hRule="atLeast"/>
        </w:trPr>
        <w:tc>
          <w:tcPr>
            <w:tcW w:w="593" w:type="pct"/>
            <w:vMerge w:val="continue"/>
            <w:vAlign w:val="center"/>
          </w:tcPr>
          <w:p w14:paraId="2C2C4756">
            <w:pPr>
              <w:pStyle w:val="4"/>
              <w:spacing w:line="360" w:lineRule="auto"/>
              <w:jc w:val="both"/>
              <w:rPr>
                <w:rFonts w:hint="eastAsia" w:ascii="宋体" w:hAnsi="宋体" w:eastAsia="宋体" w:cs="宋体"/>
                <w:color w:val="auto"/>
                <w:sz w:val="24"/>
                <w:szCs w:val="24"/>
                <w:highlight w:val="none"/>
                <w:lang w:eastAsia="zh-CN"/>
              </w:rPr>
            </w:pPr>
          </w:p>
        </w:tc>
        <w:tc>
          <w:tcPr>
            <w:tcW w:w="599" w:type="pct"/>
            <w:shd w:val="clear" w:color="000000" w:fill="FFFFFF"/>
            <w:vAlign w:val="center"/>
          </w:tcPr>
          <w:p w14:paraId="74C8E635">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网络安全运维服务</w:t>
            </w:r>
          </w:p>
          <w:p w14:paraId="07BBB07F">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（1人）</w:t>
            </w:r>
          </w:p>
        </w:tc>
        <w:tc>
          <w:tcPr>
            <w:tcW w:w="3122" w:type="pct"/>
            <w:shd w:val="clear" w:color="000000" w:fill="FFFFFF"/>
            <w:vAlign w:val="center"/>
          </w:tcPr>
          <w:p w14:paraId="6DA618F3">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依托审计厅现有的网络安全防护体系开展安全运维服务，包括安全设备配置服务、安全设备巡检服务、安全设备升级服务、安全设备故障排查与修复服务、安全设备日志分析服务、安全设备审计记录统计服务。</w:t>
            </w:r>
          </w:p>
        </w:tc>
        <w:tc>
          <w:tcPr>
            <w:tcW w:w="376" w:type="pct"/>
            <w:shd w:val="clear" w:color="000000" w:fill="FFFFFF"/>
            <w:vAlign w:val="center"/>
          </w:tcPr>
          <w:p w14:paraId="384E81A6">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初级</w:t>
            </w:r>
          </w:p>
        </w:tc>
        <w:tc>
          <w:tcPr>
            <w:tcW w:w="310" w:type="pct"/>
            <w:shd w:val="clear" w:color="000000" w:fill="FFFFFF"/>
            <w:vAlign w:val="center"/>
          </w:tcPr>
          <w:p w14:paraId="5FC4C0D7">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p>
        </w:tc>
      </w:tr>
      <w:tr w14:paraId="01684A8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28" w:type="dxa"/>
          </w:tblCellMar>
        </w:tblPrEx>
        <w:trPr>
          <w:trHeight w:val="1146" w:hRule="atLeast"/>
        </w:trPr>
        <w:tc>
          <w:tcPr>
            <w:tcW w:w="593" w:type="pct"/>
            <w:vMerge w:val="restart"/>
            <w:shd w:val="clear" w:color="000000" w:fill="FFFFFF"/>
            <w:vAlign w:val="center"/>
          </w:tcPr>
          <w:p w14:paraId="374452EF">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软件运维服务</w:t>
            </w:r>
          </w:p>
        </w:tc>
        <w:tc>
          <w:tcPr>
            <w:tcW w:w="599" w:type="pct"/>
            <w:vMerge w:val="restart"/>
            <w:shd w:val="clear" w:color="000000" w:fill="FFFFFF"/>
            <w:vAlign w:val="center"/>
          </w:tcPr>
          <w:p w14:paraId="57C0EBD4">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基础软件及应用系统运维</w:t>
            </w:r>
          </w:p>
          <w:p w14:paraId="28B5728B">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（4人）</w:t>
            </w:r>
          </w:p>
        </w:tc>
        <w:tc>
          <w:tcPr>
            <w:tcW w:w="3122" w:type="pct"/>
            <w:vMerge w:val="restart"/>
            <w:shd w:val="clear" w:color="000000" w:fill="FFFFFF"/>
            <w:vAlign w:val="center"/>
          </w:tcPr>
          <w:p w14:paraId="44A003C7">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保障基础软件操作系统、数据库、中间件稳定运行；保障金审三期各应用系统（主要包括审计综合作业平台、审计数字化管理平台、审计大数据中心、综合服务支撑系统及其各分子系统）以及内部信息门户网站的功能模块的正常运行。</w:t>
            </w:r>
          </w:p>
        </w:tc>
        <w:tc>
          <w:tcPr>
            <w:tcW w:w="376" w:type="pct"/>
            <w:shd w:val="clear" w:color="000000" w:fill="FFFFFF"/>
            <w:vAlign w:val="center"/>
          </w:tcPr>
          <w:p w14:paraId="4C332BFD">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中级</w:t>
            </w:r>
          </w:p>
        </w:tc>
        <w:tc>
          <w:tcPr>
            <w:tcW w:w="310" w:type="pct"/>
            <w:shd w:val="clear" w:color="000000" w:fill="FFFFFF"/>
            <w:vAlign w:val="center"/>
          </w:tcPr>
          <w:p w14:paraId="4F0F8765">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p>
        </w:tc>
      </w:tr>
      <w:tr w14:paraId="6221800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28" w:type="dxa"/>
          </w:tblCellMar>
        </w:tblPrEx>
        <w:trPr>
          <w:trHeight w:val="527" w:hRule="atLeast"/>
        </w:trPr>
        <w:tc>
          <w:tcPr>
            <w:tcW w:w="593" w:type="pct"/>
            <w:vMerge w:val="continue"/>
            <w:vAlign w:val="center"/>
          </w:tcPr>
          <w:p w14:paraId="0D960455">
            <w:pPr>
              <w:pStyle w:val="4"/>
              <w:spacing w:line="360" w:lineRule="auto"/>
              <w:jc w:val="both"/>
              <w:rPr>
                <w:rFonts w:hint="eastAsia" w:ascii="宋体" w:hAnsi="宋体" w:eastAsia="宋体" w:cs="宋体"/>
                <w:color w:val="auto"/>
                <w:sz w:val="24"/>
                <w:szCs w:val="24"/>
                <w:highlight w:val="none"/>
                <w:lang w:eastAsia="zh-CN"/>
              </w:rPr>
            </w:pPr>
          </w:p>
        </w:tc>
        <w:tc>
          <w:tcPr>
            <w:tcW w:w="599" w:type="pct"/>
            <w:vMerge w:val="continue"/>
            <w:vAlign w:val="center"/>
          </w:tcPr>
          <w:p w14:paraId="10A47935">
            <w:pPr>
              <w:pStyle w:val="4"/>
              <w:spacing w:line="360" w:lineRule="auto"/>
              <w:jc w:val="both"/>
              <w:rPr>
                <w:rFonts w:hint="eastAsia" w:ascii="宋体" w:hAnsi="宋体" w:eastAsia="宋体" w:cs="宋体"/>
                <w:color w:val="auto"/>
                <w:sz w:val="24"/>
                <w:szCs w:val="24"/>
                <w:highlight w:val="none"/>
                <w:lang w:eastAsia="zh-CN"/>
              </w:rPr>
            </w:pPr>
          </w:p>
        </w:tc>
        <w:tc>
          <w:tcPr>
            <w:tcW w:w="3122" w:type="pct"/>
            <w:vMerge w:val="continue"/>
            <w:vAlign w:val="center"/>
          </w:tcPr>
          <w:p w14:paraId="4C1EE639">
            <w:pPr>
              <w:pStyle w:val="4"/>
              <w:spacing w:line="360" w:lineRule="auto"/>
              <w:jc w:val="both"/>
              <w:rPr>
                <w:rFonts w:hint="eastAsia" w:ascii="宋体" w:hAnsi="宋体" w:eastAsia="宋体" w:cs="宋体"/>
                <w:color w:val="auto"/>
                <w:sz w:val="24"/>
                <w:szCs w:val="24"/>
                <w:highlight w:val="none"/>
                <w:lang w:eastAsia="zh-CN"/>
              </w:rPr>
            </w:pPr>
          </w:p>
        </w:tc>
        <w:tc>
          <w:tcPr>
            <w:tcW w:w="376" w:type="pct"/>
            <w:shd w:val="clear" w:color="000000" w:fill="FFFFFF"/>
            <w:vAlign w:val="center"/>
          </w:tcPr>
          <w:p w14:paraId="38642D14">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初级</w:t>
            </w:r>
          </w:p>
        </w:tc>
        <w:tc>
          <w:tcPr>
            <w:tcW w:w="310" w:type="pct"/>
            <w:shd w:val="clear" w:color="000000" w:fill="FFFFFF"/>
            <w:vAlign w:val="center"/>
          </w:tcPr>
          <w:p w14:paraId="4EA4E1B4">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p>
        </w:tc>
      </w:tr>
      <w:tr w14:paraId="2A10378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28" w:type="dxa"/>
          </w:tblCellMar>
        </w:tblPrEx>
        <w:trPr>
          <w:trHeight w:val="1163" w:hRule="atLeast"/>
        </w:trPr>
        <w:tc>
          <w:tcPr>
            <w:tcW w:w="593" w:type="pct"/>
            <w:vMerge w:val="restart"/>
            <w:shd w:val="clear" w:color="000000" w:fill="FFFFFF"/>
            <w:vAlign w:val="center"/>
          </w:tcPr>
          <w:p w14:paraId="6210E00B">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数据归集与标准化处理服务</w:t>
            </w:r>
          </w:p>
        </w:tc>
        <w:tc>
          <w:tcPr>
            <w:tcW w:w="599" w:type="pct"/>
            <w:shd w:val="clear" w:color="000000" w:fill="FFFFFF"/>
            <w:vAlign w:val="center"/>
          </w:tcPr>
          <w:p w14:paraId="33271007">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数据归集与处理技术支持</w:t>
            </w:r>
          </w:p>
          <w:p w14:paraId="58BECC3A">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（2人）</w:t>
            </w:r>
          </w:p>
        </w:tc>
        <w:tc>
          <w:tcPr>
            <w:tcW w:w="3122" w:type="pct"/>
            <w:shd w:val="clear" w:color="000000" w:fill="FFFFFF"/>
            <w:vAlign w:val="center"/>
          </w:tcPr>
          <w:p w14:paraId="4EE0AC83">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主要包括为数据报送人员提供数据上报、恢复支撑服务，完成报送数据向国产数据库迁移的支撑服务，为数据业务分析人员提供数据采集、数据处理、批量数据处理、数据切分等的技术支持服务，以及信息资源规划、信息资源管理支撑服务。</w:t>
            </w:r>
          </w:p>
        </w:tc>
        <w:tc>
          <w:tcPr>
            <w:tcW w:w="376" w:type="pct"/>
            <w:shd w:val="clear" w:color="000000" w:fill="FFFFFF"/>
            <w:vAlign w:val="center"/>
          </w:tcPr>
          <w:p w14:paraId="13AE89ED">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初级</w:t>
            </w:r>
          </w:p>
        </w:tc>
        <w:tc>
          <w:tcPr>
            <w:tcW w:w="310" w:type="pct"/>
            <w:shd w:val="clear" w:color="000000" w:fill="FFFFFF"/>
            <w:vAlign w:val="center"/>
          </w:tcPr>
          <w:p w14:paraId="6F09C0BA">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p>
        </w:tc>
      </w:tr>
      <w:tr w14:paraId="049649F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28" w:type="dxa"/>
          </w:tblCellMar>
        </w:tblPrEx>
        <w:trPr>
          <w:trHeight w:val="1146" w:hRule="atLeast"/>
        </w:trPr>
        <w:tc>
          <w:tcPr>
            <w:tcW w:w="593" w:type="pct"/>
            <w:vMerge w:val="continue"/>
            <w:vAlign w:val="center"/>
          </w:tcPr>
          <w:p w14:paraId="7A32573D">
            <w:pPr>
              <w:pStyle w:val="4"/>
              <w:spacing w:line="360" w:lineRule="auto"/>
              <w:jc w:val="both"/>
              <w:rPr>
                <w:rFonts w:hint="eastAsia" w:ascii="宋体" w:hAnsi="宋体" w:eastAsia="宋体" w:cs="宋体"/>
                <w:color w:val="auto"/>
                <w:sz w:val="24"/>
                <w:szCs w:val="24"/>
                <w:highlight w:val="none"/>
                <w:lang w:eastAsia="zh-CN"/>
              </w:rPr>
            </w:pPr>
          </w:p>
        </w:tc>
        <w:tc>
          <w:tcPr>
            <w:tcW w:w="599" w:type="pct"/>
            <w:vMerge w:val="restart"/>
            <w:shd w:val="clear" w:color="000000" w:fill="FFFFFF"/>
            <w:vAlign w:val="center"/>
          </w:tcPr>
          <w:p w14:paraId="6E8886B6">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数据标准化加工技术服务</w:t>
            </w:r>
          </w:p>
          <w:p w14:paraId="1B9CBE53">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（3人）</w:t>
            </w:r>
          </w:p>
        </w:tc>
        <w:tc>
          <w:tcPr>
            <w:tcW w:w="3122" w:type="pct"/>
            <w:vMerge w:val="restart"/>
            <w:shd w:val="clear" w:color="000000" w:fill="FFFFFF"/>
            <w:vAlign w:val="center"/>
          </w:tcPr>
          <w:p w14:paraId="77F6C1A7">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数据标准化以国产数据库存储的同构数据为基础，按照统一数据标准制定行业的标准数据。标准数据是审计大数据的核心数据，需开展数据质量检查服务、数据校验服务、数据清洗转换服务、数据标准化模型编制服务等工作。</w:t>
            </w:r>
          </w:p>
        </w:tc>
        <w:tc>
          <w:tcPr>
            <w:tcW w:w="376" w:type="pct"/>
            <w:shd w:val="clear" w:color="000000" w:fill="FFFFFF"/>
            <w:vAlign w:val="center"/>
          </w:tcPr>
          <w:p w14:paraId="3A16EC88">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中级</w:t>
            </w:r>
          </w:p>
        </w:tc>
        <w:tc>
          <w:tcPr>
            <w:tcW w:w="310" w:type="pct"/>
            <w:shd w:val="clear" w:color="000000" w:fill="FFFFFF"/>
            <w:vAlign w:val="center"/>
          </w:tcPr>
          <w:p w14:paraId="5E31BB50">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p>
        </w:tc>
      </w:tr>
      <w:tr w14:paraId="7232C07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28" w:type="dxa"/>
          </w:tblCellMar>
        </w:tblPrEx>
        <w:trPr>
          <w:trHeight w:val="689" w:hRule="atLeast"/>
        </w:trPr>
        <w:tc>
          <w:tcPr>
            <w:tcW w:w="593" w:type="pct"/>
            <w:vMerge w:val="continue"/>
            <w:vAlign w:val="center"/>
          </w:tcPr>
          <w:p w14:paraId="2AB968BD">
            <w:pPr>
              <w:pStyle w:val="4"/>
              <w:spacing w:line="360" w:lineRule="auto"/>
              <w:jc w:val="both"/>
              <w:rPr>
                <w:rFonts w:hint="eastAsia" w:ascii="宋体" w:hAnsi="宋体" w:eastAsia="宋体" w:cs="宋体"/>
                <w:color w:val="auto"/>
                <w:sz w:val="24"/>
                <w:szCs w:val="24"/>
                <w:highlight w:val="none"/>
                <w:lang w:eastAsia="zh-CN"/>
              </w:rPr>
            </w:pPr>
          </w:p>
        </w:tc>
        <w:tc>
          <w:tcPr>
            <w:tcW w:w="599" w:type="pct"/>
            <w:vMerge w:val="continue"/>
            <w:vAlign w:val="center"/>
          </w:tcPr>
          <w:p w14:paraId="4A85F622">
            <w:pPr>
              <w:pStyle w:val="4"/>
              <w:spacing w:line="360" w:lineRule="auto"/>
              <w:jc w:val="both"/>
              <w:rPr>
                <w:rFonts w:hint="eastAsia" w:ascii="宋体" w:hAnsi="宋体" w:eastAsia="宋体" w:cs="宋体"/>
                <w:color w:val="auto"/>
                <w:sz w:val="24"/>
                <w:szCs w:val="24"/>
                <w:highlight w:val="none"/>
                <w:lang w:eastAsia="zh-CN"/>
              </w:rPr>
            </w:pPr>
          </w:p>
        </w:tc>
        <w:tc>
          <w:tcPr>
            <w:tcW w:w="3122" w:type="pct"/>
            <w:vMerge w:val="continue"/>
            <w:vAlign w:val="center"/>
          </w:tcPr>
          <w:p w14:paraId="1A7FD080">
            <w:pPr>
              <w:pStyle w:val="4"/>
              <w:spacing w:line="360" w:lineRule="auto"/>
              <w:jc w:val="both"/>
              <w:rPr>
                <w:rFonts w:hint="eastAsia" w:ascii="宋体" w:hAnsi="宋体" w:eastAsia="宋体" w:cs="宋体"/>
                <w:color w:val="auto"/>
                <w:sz w:val="24"/>
                <w:szCs w:val="24"/>
                <w:highlight w:val="none"/>
                <w:lang w:eastAsia="zh-CN"/>
              </w:rPr>
            </w:pPr>
          </w:p>
        </w:tc>
        <w:tc>
          <w:tcPr>
            <w:tcW w:w="376" w:type="pct"/>
            <w:shd w:val="clear" w:color="000000" w:fill="FFFFFF"/>
            <w:vAlign w:val="center"/>
          </w:tcPr>
          <w:p w14:paraId="3E475333">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初级</w:t>
            </w:r>
          </w:p>
        </w:tc>
        <w:tc>
          <w:tcPr>
            <w:tcW w:w="310" w:type="pct"/>
            <w:shd w:val="clear" w:color="000000" w:fill="FFFFFF"/>
            <w:vAlign w:val="center"/>
          </w:tcPr>
          <w:p w14:paraId="26B4CE6F">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p>
        </w:tc>
      </w:tr>
    </w:tbl>
    <w:p w14:paraId="721A1702">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4．驻场人员要求</w:t>
      </w:r>
    </w:p>
    <w:p w14:paraId="2C22AF1D">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人员等级划分的要求和依据：参照省财政厅和省政务大数据局下发的《省级政务信息化运维类项目投资编制指南（试行）》要求，人员等级划分通常基于在审计行业运维领域的专业技能、经验、工作表现以及对新技术和新方法的掌握程度进行划分，将运维服务人员划分为初级、中级、高级三个等级，人员等级划定标准由采购人结合国家专业职称标准、人员学历、从业经验和取得对应岗位运维相关核心产品厂商认证等级等情况确定，人员等级不达标采购人有权责令服务商更换人员或结合标准核减对应岗位预算和合同额。</w:t>
      </w:r>
    </w:p>
    <w:p w14:paraId="7F261950">
      <w:pPr>
        <w:pStyle w:val="4"/>
        <w:spacing w:line="360" w:lineRule="auto"/>
        <w:jc w:val="both"/>
        <w:rPr>
          <w:rFonts w:hint="eastAsia" w:ascii="宋体" w:hAnsi="宋体" w:eastAsia="宋体" w:cs="宋体"/>
          <w:color w:val="0000FF"/>
          <w:sz w:val="24"/>
          <w:szCs w:val="24"/>
          <w:highlight w:val="none"/>
          <w:lang w:eastAsia="zh-CN"/>
        </w:rPr>
      </w:pPr>
      <w:r>
        <w:rPr>
          <w:rFonts w:hint="eastAsia" w:ascii="宋体" w:hAnsi="宋体" w:eastAsia="宋体" w:cs="宋体"/>
          <w:color w:val="auto"/>
          <w:sz w:val="24"/>
          <w:szCs w:val="24"/>
          <w:highlight w:val="none"/>
          <w:lang w:eastAsia="zh-CN"/>
        </w:rPr>
        <w:t>（2）驻场运维工程师主管要求：要求具有大学本科及以上学历，具有神通数据库系统管理员认证证书，有较强的技术能力以及丰富的政府行业服务经验及运维服务项目管理经验。合同签订</w:t>
      </w:r>
      <w:r>
        <w:rPr>
          <w:rFonts w:hint="eastAsia" w:ascii="宋体" w:hAnsi="宋体" w:eastAsia="宋体" w:cs="宋体"/>
          <w:color w:val="auto"/>
          <w:sz w:val="24"/>
          <w:szCs w:val="24"/>
          <w:highlight w:val="none"/>
          <w:lang w:val="en-US" w:eastAsia="zh-CN"/>
        </w:rPr>
        <w:t>前</w:t>
      </w:r>
      <w:r>
        <w:rPr>
          <w:rFonts w:hint="eastAsia" w:ascii="宋体" w:hAnsi="宋体" w:eastAsia="宋体" w:cs="宋体"/>
          <w:color w:val="auto"/>
          <w:sz w:val="24"/>
          <w:szCs w:val="24"/>
          <w:highlight w:val="none"/>
          <w:lang w:eastAsia="zh-CN"/>
        </w:rPr>
        <w:t>需提供在供应商本单位社保缴纳或入职证明。</w:t>
      </w:r>
    </w:p>
    <w:p w14:paraId="796C0B03">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（3）驻场运维工程师要求：</w:t>
      </w:r>
    </w:p>
    <w:p w14:paraId="3FBF4A6F">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应用系统运维工程师要求熟悉金审工程三期应用系统、主流Linux操作系统、国产中间件软件、国产数据库等，具备较强的虚拟化平台部署实施能力以及丰富的政府行业服务经验。</w:t>
      </w:r>
    </w:p>
    <w:p w14:paraId="4725766D">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基础软硬件平台运维工程师需有网络安全设施实施运维经验；具有良好的网络、计算、存储、安全等计算机体系结构和运维知识储备；具有独立网络排障能力，迅速定位、处理大中型网络紧急事件及疑难问题；熟悉主流网络安全设备，如路由器，交换机，防火墙，服务器的安装和配置。国产化终端、视频会议和机关会议场地运维工程师需有计算机终端设备相关软硬件实施运维经验；精通办公用终端计算机软、硬件知识，主流的国产化桌面操作系统及办公软件的安装、操作、配置和故障处理，能够快速判断软、硬件故障，并且能够指导用户使用主流软硬件。</w:t>
      </w:r>
    </w:p>
    <w:p w14:paraId="7E6AF724">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数据归集与标准化处理人员须具有神通数据库系统管理员认证证书，熟悉oracle、sqlserver等主流数据库管理系统的体系结构及备份恢复机制，具备丰富的数据归集与处理、数据标准化、数据分析能力，具备较丰富的数据库排障经验，具备一定的调优能力，具备一年以上数据库实施及维护经验。</w:t>
      </w:r>
    </w:p>
    <w:p w14:paraId="4B7D38A3">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合同签订前需提供相关驻场运维工程师在供应商本单位或签约人事代理机构社保缴纳或入职证明。</w:t>
      </w:r>
    </w:p>
    <w:p w14:paraId="557E6C86">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（4）驻场人员需在合同签订前按照采购人要求提供无犯罪记录证明、学历证明、近期体检报告、个人简历等材料。</w:t>
      </w:r>
    </w:p>
    <w:p w14:paraId="07247161">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5．驻场管理要求：</w:t>
      </w:r>
    </w:p>
    <w:p w14:paraId="242D26B0">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（1）服从采购人的统一安排；</w:t>
      </w:r>
    </w:p>
    <w:p w14:paraId="052ED7D6">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（2）严格遵守机关的作息时间，工作期间不得从事其它活动；</w:t>
      </w:r>
    </w:p>
    <w:p w14:paraId="0335D14A">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（3）严格遵守机关的规章制度和保密制度；</w:t>
      </w:r>
    </w:p>
    <w:p w14:paraId="402C7FCB">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（4）需认真记录日常运维服务工作，形成工作周报、月报、年报、故障记录报告、巡检报告等；</w:t>
      </w:r>
    </w:p>
    <w:p w14:paraId="5F7308DC">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（5）驻场工程师一旦确定，合同期内在未得到采购人允许前不得变更人员，否则采购人有权终止合同，供应商承担全部损失；</w:t>
      </w:r>
    </w:p>
    <w:p w14:paraId="491B83DD">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（6）供应商安排的休假应获得采购人批准后方可进行，长期（多于10天）休假期间供应商须补充相关能力的人员；</w:t>
      </w:r>
    </w:p>
    <w:p w14:paraId="59246F53">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（7）驻场工程师因考勤、技术能力等方面要求无法满足采购人需要，供应商应在采购人提出书面要求后10个工作日内更换符合采购人要求的驻场工程师。</w:t>
      </w:r>
    </w:p>
    <w:p w14:paraId="551231E5">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（二）服务考核</w:t>
      </w:r>
    </w:p>
    <w:p w14:paraId="2E2E0CBB">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1．系统出现故障时，从采购人提出故障或者服务要求开始，24小时内故障未恢复的，视为一次服务不合格，并继续作为新提出的故障申告，重新进行服务质量考核。</w:t>
      </w:r>
    </w:p>
    <w:p w14:paraId="483C7D0B">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2．未按规定进行巡检或者未按要求进行现场升级的，视为一次服务不合格。</w:t>
      </w:r>
    </w:p>
    <w:p w14:paraId="49FE52CF">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3．若因安装及维护过程中造成采购人损失的，应由供应商进行相应赔偿，同时视为该服务年度3次服务不合格。</w:t>
      </w:r>
    </w:p>
    <w:p w14:paraId="3761C9F3">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4．驻场工程师累计发生三次无故迟到早退现象，视为一次服务不合格。</w:t>
      </w:r>
    </w:p>
    <w:p w14:paraId="7863F181">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5．驻场工程师无故缺勤一次，视为一次服务不合格。</w:t>
      </w:r>
    </w:p>
    <w:p w14:paraId="130B4D3F">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6．一次服务不合格，扣3000元人民币。</w:t>
      </w:r>
    </w:p>
    <w:p w14:paraId="4F3CA4B8">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7．一个服务年度内累计超过6次服务不合格，用户有权终止合同，剩余款项将不予支付。</w:t>
      </w:r>
    </w:p>
    <w:p w14:paraId="671D6589">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五、服务考核验收要求</w:t>
      </w:r>
    </w:p>
    <w:p w14:paraId="6E55C60F">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供应商需提交年度运维报告、季度运维报告、运维工作记录（如日常巡检记录、故障处理记录、资源统计清单等）及合同服务期内的所有运维技术清单（如设备及产品的配置信息、版本扩充与升级信息等），且服务质量满足采购人要求。</w:t>
      </w:r>
    </w:p>
    <w:p w14:paraId="44B3A6FF">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二）驻场人员服务期间须服从采购人指定部门和人员的日常管理，日常工作接受采购人的考核，考核办法按照省审计厅运维中心制定的《陕西省金审工程运维管理中心运维驻场人员量化考核制度》执行，驻场人员考核结果应达到合格标准。采购人对不满足基本服务要求或考核未达标的服务人员可提出调换服务人员要求，供应商须及时更换并调派与服务内容相适应的人员继续提供服务，并应在10个工作日内完成服务人员替换及工作交接。此外，驻场服务人员中途因故更替的，供应商应及时选派合规人员接替并延续服务，原则上新旧人员交接期应不少于3周。</w:t>
      </w:r>
    </w:p>
    <w:p w14:paraId="76CBA4C9">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（三）</w:t>
      </w:r>
      <w:bookmarkStart w:id="0" w:name="_Toc21502"/>
      <w:r>
        <w:rPr>
          <w:rFonts w:hint="eastAsia" w:ascii="宋体" w:hAnsi="宋体" w:eastAsia="宋体" w:cs="宋体"/>
          <w:color w:val="auto"/>
          <w:sz w:val="24"/>
          <w:szCs w:val="24"/>
          <w:highlight w:val="none"/>
          <w:lang w:eastAsia="zh-CN"/>
        </w:rPr>
        <w:t>服务考核指标</w:t>
      </w:r>
      <w:bookmarkEnd w:id="0"/>
    </w:p>
    <w:tbl>
      <w:tblPr>
        <w:tblStyle w:val="2"/>
        <w:tblW w:w="8296"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15" w:type="dxa"/>
          <w:left w:w="15" w:type="dxa"/>
          <w:bottom w:w="15" w:type="dxa"/>
          <w:right w:w="15" w:type="dxa"/>
        </w:tblCellMar>
      </w:tblPr>
      <w:tblGrid>
        <w:gridCol w:w="699"/>
        <w:gridCol w:w="1134"/>
        <w:gridCol w:w="567"/>
        <w:gridCol w:w="3544"/>
        <w:gridCol w:w="2352"/>
      </w:tblGrid>
      <w:tr w14:paraId="4091487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15" w:type="dxa"/>
            <w:left w:w="15" w:type="dxa"/>
            <w:bottom w:w="15" w:type="dxa"/>
            <w:right w:w="15" w:type="dxa"/>
          </w:tblCellMar>
        </w:tblPrEx>
        <w:trPr>
          <w:tblHeader/>
        </w:trPr>
        <w:tc>
          <w:tcPr>
            <w:tcW w:w="699" w:type="dxa"/>
            <w:shd w:val="clear" w:color="auto" w:fill="BEBEBE" w:themeFill="background1" w:themeFillShade="BF"/>
            <w:noWrap/>
            <w:vAlign w:val="center"/>
          </w:tcPr>
          <w:p w14:paraId="02EF35E2">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序号</w:t>
            </w:r>
          </w:p>
        </w:tc>
        <w:tc>
          <w:tcPr>
            <w:tcW w:w="1134" w:type="dxa"/>
            <w:shd w:val="clear" w:color="auto" w:fill="BEBEBE" w:themeFill="background1" w:themeFillShade="BF"/>
            <w:noWrap/>
            <w:vAlign w:val="center"/>
          </w:tcPr>
          <w:p w14:paraId="0EF46D69">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考核维度</w:t>
            </w:r>
          </w:p>
        </w:tc>
        <w:tc>
          <w:tcPr>
            <w:tcW w:w="567" w:type="dxa"/>
            <w:shd w:val="clear" w:color="auto" w:fill="BEBEBE" w:themeFill="background1" w:themeFillShade="BF"/>
            <w:noWrap/>
            <w:vAlign w:val="center"/>
          </w:tcPr>
          <w:p w14:paraId="45827466">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分值</w:t>
            </w:r>
          </w:p>
        </w:tc>
        <w:tc>
          <w:tcPr>
            <w:tcW w:w="3544" w:type="dxa"/>
            <w:shd w:val="clear" w:color="auto" w:fill="BEBEBE" w:themeFill="background1" w:themeFillShade="BF"/>
            <w:noWrap/>
            <w:vAlign w:val="center"/>
          </w:tcPr>
          <w:p w14:paraId="13008F92">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考核要点</w:t>
            </w:r>
          </w:p>
        </w:tc>
        <w:tc>
          <w:tcPr>
            <w:tcW w:w="2352" w:type="dxa"/>
            <w:shd w:val="clear" w:color="auto" w:fill="BEBEBE" w:themeFill="background1" w:themeFillShade="BF"/>
            <w:noWrap/>
            <w:vAlign w:val="center"/>
          </w:tcPr>
          <w:p w14:paraId="026089FC">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评分说明</w:t>
            </w:r>
          </w:p>
        </w:tc>
      </w:tr>
      <w:tr w14:paraId="71F61E0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15" w:type="dxa"/>
            <w:left w:w="15" w:type="dxa"/>
            <w:bottom w:w="15" w:type="dxa"/>
            <w:right w:w="15" w:type="dxa"/>
          </w:tblCellMar>
        </w:tblPrEx>
        <w:tc>
          <w:tcPr>
            <w:tcW w:w="699" w:type="dxa"/>
            <w:noWrap/>
            <w:vAlign w:val="center"/>
          </w:tcPr>
          <w:p w14:paraId="4F5EFD60">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p>
        </w:tc>
        <w:tc>
          <w:tcPr>
            <w:tcW w:w="1134" w:type="dxa"/>
            <w:noWrap/>
            <w:vAlign w:val="center"/>
          </w:tcPr>
          <w:p w14:paraId="2F972961">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人员管理</w:t>
            </w:r>
          </w:p>
        </w:tc>
        <w:tc>
          <w:tcPr>
            <w:tcW w:w="567" w:type="dxa"/>
            <w:noWrap/>
            <w:vAlign w:val="center"/>
          </w:tcPr>
          <w:p w14:paraId="675538D1">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10</w:t>
            </w:r>
          </w:p>
        </w:tc>
        <w:tc>
          <w:tcPr>
            <w:tcW w:w="3544" w:type="dxa"/>
            <w:noWrap/>
            <w:vAlign w:val="center"/>
          </w:tcPr>
          <w:p w14:paraId="6F9F81B6">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人员按合同足额、稳定在岗；遵守工作纪律；提供7×24小时响应，业务故障及时响应。</w:t>
            </w:r>
          </w:p>
        </w:tc>
        <w:tc>
          <w:tcPr>
            <w:tcW w:w="2352" w:type="dxa"/>
            <w:noWrap/>
            <w:vAlign w:val="center"/>
          </w:tcPr>
          <w:p w14:paraId="42B842F8">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按到岗情况、考勤纪律、响应及时性评分。</w:t>
            </w:r>
          </w:p>
        </w:tc>
      </w:tr>
      <w:tr w14:paraId="5B2B4BA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15" w:type="dxa"/>
            <w:left w:w="15" w:type="dxa"/>
            <w:bottom w:w="15" w:type="dxa"/>
            <w:right w:w="15" w:type="dxa"/>
          </w:tblCellMar>
        </w:tblPrEx>
        <w:tc>
          <w:tcPr>
            <w:tcW w:w="699" w:type="dxa"/>
            <w:noWrap/>
            <w:vAlign w:val="center"/>
          </w:tcPr>
          <w:p w14:paraId="5F84F147">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p>
        </w:tc>
        <w:tc>
          <w:tcPr>
            <w:tcW w:w="1134" w:type="dxa"/>
            <w:noWrap/>
            <w:vAlign w:val="center"/>
          </w:tcPr>
          <w:p w14:paraId="4A0353E4">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基础环境和终端运维</w:t>
            </w:r>
          </w:p>
        </w:tc>
        <w:tc>
          <w:tcPr>
            <w:tcW w:w="567" w:type="dxa"/>
            <w:noWrap/>
            <w:vAlign w:val="center"/>
          </w:tcPr>
          <w:p w14:paraId="5F6E241A">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w:t>
            </w:r>
          </w:p>
        </w:tc>
        <w:tc>
          <w:tcPr>
            <w:tcW w:w="3544" w:type="dxa"/>
            <w:noWrap/>
            <w:vAlign w:val="center"/>
          </w:tcPr>
          <w:p w14:paraId="0CBC711B">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机房日常巡检与隐患排查；桌面及国产化终端故障处置；视频会商及会议现场保障。</w:t>
            </w:r>
          </w:p>
        </w:tc>
        <w:tc>
          <w:tcPr>
            <w:tcW w:w="2352" w:type="dxa"/>
            <w:noWrap/>
            <w:vAlign w:val="center"/>
          </w:tcPr>
          <w:p w14:paraId="3D739903">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按巡检执行、故障处置、会议保障质量评分。</w:t>
            </w:r>
          </w:p>
        </w:tc>
      </w:tr>
      <w:tr w14:paraId="7BFAE6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15" w:type="dxa"/>
            <w:left w:w="15" w:type="dxa"/>
            <w:bottom w:w="15" w:type="dxa"/>
            <w:right w:w="15" w:type="dxa"/>
          </w:tblCellMar>
        </w:tblPrEx>
        <w:tc>
          <w:tcPr>
            <w:tcW w:w="699" w:type="dxa"/>
            <w:noWrap/>
            <w:vAlign w:val="center"/>
          </w:tcPr>
          <w:p w14:paraId="11C5E5F0">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w:t>
            </w:r>
          </w:p>
        </w:tc>
        <w:tc>
          <w:tcPr>
            <w:tcW w:w="1134" w:type="dxa"/>
            <w:noWrap/>
            <w:vAlign w:val="center"/>
          </w:tcPr>
          <w:p w14:paraId="36F8C195">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基础软硬件与网络安全运维</w:t>
            </w:r>
          </w:p>
        </w:tc>
        <w:tc>
          <w:tcPr>
            <w:tcW w:w="567" w:type="dxa"/>
            <w:noWrap/>
            <w:vAlign w:val="center"/>
          </w:tcPr>
          <w:p w14:paraId="58FC4CFA">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20</w:t>
            </w:r>
          </w:p>
        </w:tc>
        <w:tc>
          <w:tcPr>
            <w:tcW w:w="3544" w:type="dxa"/>
            <w:noWrap/>
            <w:vAlign w:val="center"/>
          </w:tcPr>
          <w:p w14:paraId="4602045A">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网络、主机、存储、云平台日常运维与故障处置；安全设备巡检与日志审计。</w:t>
            </w:r>
          </w:p>
        </w:tc>
        <w:tc>
          <w:tcPr>
            <w:tcW w:w="2352" w:type="dxa"/>
            <w:noWrap/>
            <w:vAlign w:val="center"/>
          </w:tcPr>
          <w:p w14:paraId="033189A7">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按运维执行、风险漏洞处置、安全合规情况评分。</w:t>
            </w:r>
          </w:p>
        </w:tc>
      </w:tr>
      <w:tr w14:paraId="5AAC683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15" w:type="dxa"/>
            <w:left w:w="15" w:type="dxa"/>
            <w:bottom w:w="15" w:type="dxa"/>
            <w:right w:w="15" w:type="dxa"/>
          </w:tblCellMar>
        </w:tblPrEx>
        <w:tc>
          <w:tcPr>
            <w:tcW w:w="699" w:type="dxa"/>
            <w:noWrap/>
            <w:vAlign w:val="center"/>
          </w:tcPr>
          <w:p w14:paraId="3C307133">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w:t>
            </w:r>
          </w:p>
        </w:tc>
        <w:tc>
          <w:tcPr>
            <w:tcW w:w="1134" w:type="dxa"/>
            <w:noWrap/>
            <w:vAlign w:val="center"/>
          </w:tcPr>
          <w:p w14:paraId="1525A984">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软件运维服务</w:t>
            </w:r>
          </w:p>
        </w:tc>
        <w:tc>
          <w:tcPr>
            <w:tcW w:w="567" w:type="dxa"/>
            <w:noWrap/>
            <w:vAlign w:val="center"/>
          </w:tcPr>
          <w:p w14:paraId="0EB25DBB">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20</w:t>
            </w:r>
          </w:p>
        </w:tc>
        <w:tc>
          <w:tcPr>
            <w:tcW w:w="3544" w:type="dxa"/>
            <w:noWrap/>
            <w:vAlign w:val="center"/>
          </w:tcPr>
          <w:p w14:paraId="751A2F3F">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操作系统、数据库、中间件及业务应用系统运维；优化升级、备份恢复、漏洞修复与监控预警。</w:t>
            </w:r>
          </w:p>
        </w:tc>
        <w:tc>
          <w:tcPr>
            <w:tcW w:w="2352" w:type="dxa"/>
            <w:noWrap/>
            <w:vAlign w:val="center"/>
          </w:tcPr>
          <w:p w14:paraId="181F6FAD">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按系统稳定运行、优化升级质量、风险处置评分。</w:t>
            </w:r>
          </w:p>
        </w:tc>
      </w:tr>
      <w:tr w14:paraId="25A3F88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15" w:type="dxa"/>
            <w:left w:w="15" w:type="dxa"/>
            <w:bottom w:w="15" w:type="dxa"/>
            <w:right w:w="15" w:type="dxa"/>
          </w:tblCellMar>
        </w:tblPrEx>
        <w:tc>
          <w:tcPr>
            <w:tcW w:w="699" w:type="dxa"/>
            <w:noWrap/>
            <w:vAlign w:val="center"/>
          </w:tcPr>
          <w:p w14:paraId="75873760">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w:t>
            </w:r>
          </w:p>
        </w:tc>
        <w:tc>
          <w:tcPr>
            <w:tcW w:w="1134" w:type="dxa"/>
            <w:noWrap/>
            <w:vAlign w:val="center"/>
          </w:tcPr>
          <w:p w14:paraId="2680D71A">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数据归集与标准化处理</w:t>
            </w:r>
          </w:p>
        </w:tc>
        <w:tc>
          <w:tcPr>
            <w:tcW w:w="567" w:type="dxa"/>
            <w:noWrap/>
            <w:vAlign w:val="center"/>
          </w:tcPr>
          <w:p w14:paraId="614CB29F">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20</w:t>
            </w:r>
          </w:p>
        </w:tc>
        <w:tc>
          <w:tcPr>
            <w:tcW w:w="3544" w:type="dxa"/>
            <w:noWrap/>
            <w:vAlign w:val="center"/>
          </w:tcPr>
          <w:p w14:paraId="1880706D">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数据归集、恢复迁移、质量校验与清洗；标准化模型、标准表建设支持。</w:t>
            </w:r>
          </w:p>
        </w:tc>
        <w:tc>
          <w:tcPr>
            <w:tcW w:w="2352" w:type="dxa"/>
            <w:noWrap/>
            <w:vAlign w:val="center"/>
          </w:tcPr>
          <w:p w14:paraId="40EA9C10">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按数据准确性、完整性、标准化成果评分。</w:t>
            </w:r>
          </w:p>
        </w:tc>
      </w:tr>
      <w:tr w14:paraId="31CABF9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15" w:type="dxa"/>
            <w:left w:w="15" w:type="dxa"/>
            <w:bottom w:w="15" w:type="dxa"/>
            <w:right w:w="15" w:type="dxa"/>
          </w:tblCellMar>
        </w:tblPrEx>
        <w:tc>
          <w:tcPr>
            <w:tcW w:w="699" w:type="dxa"/>
            <w:noWrap/>
            <w:vAlign w:val="center"/>
          </w:tcPr>
          <w:p w14:paraId="57AFBBDE">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w:t>
            </w:r>
          </w:p>
        </w:tc>
        <w:tc>
          <w:tcPr>
            <w:tcW w:w="1134" w:type="dxa"/>
            <w:noWrap/>
            <w:vAlign w:val="center"/>
          </w:tcPr>
          <w:p w14:paraId="107186A8">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二线专家及其他服务</w:t>
            </w:r>
          </w:p>
        </w:tc>
        <w:tc>
          <w:tcPr>
            <w:tcW w:w="567" w:type="dxa"/>
            <w:noWrap/>
            <w:vAlign w:val="center"/>
          </w:tcPr>
          <w:p w14:paraId="66B32AD0">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w:t>
            </w:r>
          </w:p>
        </w:tc>
        <w:tc>
          <w:tcPr>
            <w:tcW w:w="3544" w:type="dxa"/>
            <w:noWrap/>
            <w:vAlign w:val="center"/>
          </w:tcPr>
          <w:p w14:paraId="36B214B2">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疑难问题二线技术支持；数据库专家现场健康检查与优化建议。</w:t>
            </w:r>
          </w:p>
        </w:tc>
        <w:tc>
          <w:tcPr>
            <w:tcW w:w="2352" w:type="dxa"/>
            <w:noWrap/>
            <w:vAlign w:val="center"/>
          </w:tcPr>
          <w:p w14:paraId="2855E1AF">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按问题解决效率、报告质量评分。</w:t>
            </w:r>
          </w:p>
        </w:tc>
      </w:tr>
      <w:tr w14:paraId="3D314CC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15" w:type="dxa"/>
            <w:left w:w="15" w:type="dxa"/>
            <w:bottom w:w="15" w:type="dxa"/>
            <w:right w:w="15" w:type="dxa"/>
          </w:tblCellMar>
        </w:tblPrEx>
        <w:tc>
          <w:tcPr>
            <w:tcW w:w="699" w:type="dxa"/>
            <w:noWrap/>
            <w:vAlign w:val="center"/>
          </w:tcPr>
          <w:p w14:paraId="60CE2F24">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w:t>
            </w:r>
          </w:p>
        </w:tc>
        <w:tc>
          <w:tcPr>
            <w:tcW w:w="1134" w:type="dxa"/>
            <w:noWrap/>
            <w:vAlign w:val="center"/>
          </w:tcPr>
          <w:p w14:paraId="36BA52DE">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客户满意度</w:t>
            </w:r>
          </w:p>
        </w:tc>
        <w:tc>
          <w:tcPr>
            <w:tcW w:w="567" w:type="dxa"/>
            <w:noWrap/>
            <w:vAlign w:val="center"/>
          </w:tcPr>
          <w:p w14:paraId="693D2921">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w:t>
            </w:r>
          </w:p>
        </w:tc>
        <w:tc>
          <w:tcPr>
            <w:tcW w:w="3544" w:type="dxa"/>
            <w:noWrap/>
            <w:vAlign w:val="center"/>
          </w:tcPr>
          <w:p w14:paraId="2C72DE4A">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业务部门、使用人员服务评价；运维服务态度、问题处置反馈效率；用户投诉处理闭环情况。</w:t>
            </w:r>
          </w:p>
        </w:tc>
        <w:tc>
          <w:tcPr>
            <w:tcW w:w="2352" w:type="dxa"/>
            <w:noWrap/>
            <w:vAlign w:val="center"/>
          </w:tcPr>
          <w:p w14:paraId="33F6E172">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根据问卷调查、日常反馈、有效投诉情况综合评分。</w:t>
            </w:r>
          </w:p>
        </w:tc>
      </w:tr>
      <w:tr w14:paraId="631FC36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15" w:type="dxa"/>
            <w:left w:w="15" w:type="dxa"/>
            <w:bottom w:w="15" w:type="dxa"/>
            <w:right w:w="15" w:type="dxa"/>
          </w:tblCellMar>
        </w:tblPrEx>
        <w:tc>
          <w:tcPr>
            <w:tcW w:w="699" w:type="dxa"/>
            <w:noWrap/>
            <w:vAlign w:val="center"/>
          </w:tcPr>
          <w:p w14:paraId="347E2B30">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w:t>
            </w:r>
          </w:p>
        </w:tc>
        <w:tc>
          <w:tcPr>
            <w:tcW w:w="1134" w:type="dxa"/>
            <w:noWrap/>
            <w:vAlign w:val="center"/>
          </w:tcPr>
          <w:p w14:paraId="0D76BC90">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保密及安全合规</w:t>
            </w:r>
          </w:p>
        </w:tc>
        <w:tc>
          <w:tcPr>
            <w:tcW w:w="567" w:type="dxa"/>
            <w:noWrap/>
            <w:vAlign w:val="center"/>
          </w:tcPr>
          <w:p w14:paraId="38368BA9">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w:t>
            </w:r>
          </w:p>
        </w:tc>
        <w:tc>
          <w:tcPr>
            <w:tcW w:w="3544" w:type="dxa"/>
            <w:noWrap/>
            <w:vAlign w:val="center"/>
          </w:tcPr>
          <w:p w14:paraId="5A3B9B38">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落实信息保密、数据安全管理要求；严格遵守保密制度，严禁违规拷贝、外泄业务及敏感数据；做好账号权限管控，杜绝违规操作。</w:t>
            </w:r>
          </w:p>
        </w:tc>
        <w:tc>
          <w:tcPr>
            <w:tcW w:w="2352" w:type="dxa"/>
            <w:noWrap/>
            <w:vAlign w:val="center"/>
          </w:tcPr>
          <w:p w14:paraId="406A7261">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发生失泄密、违规操作本项不得分；出现风险隐患酌情扣减分值。</w:t>
            </w:r>
          </w:p>
        </w:tc>
      </w:tr>
      <w:tr w14:paraId="56E77F9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15" w:type="dxa"/>
            <w:left w:w="15" w:type="dxa"/>
            <w:bottom w:w="15" w:type="dxa"/>
            <w:right w:w="15" w:type="dxa"/>
          </w:tblCellMar>
        </w:tblPrEx>
        <w:tc>
          <w:tcPr>
            <w:tcW w:w="699" w:type="dxa"/>
            <w:noWrap/>
            <w:vAlign w:val="center"/>
          </w:tcPr>
          <w:p w14:paraId="7CAC906B">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w:t>
            </w:r>
          </w:p>
        </w:tc>
        <w:tc>
          <w:tcPr>
            <w:tcW w:w="1134" w:type="dxa"/>
            <w:noWrap/>
            <w:vAlign w:val="center"/>
          </w:tcPr>
          <w:p w14:paraId="05A7C7FA">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加减分项（不计入基础分）</w:t>
            </w:r>
          </w:p>
        </w:tc>
        <w:tc>
          <w:tcPr>
            <w:tcW w:w="567" w:type="dxa"/>
            <w:noWrap/>
            <w:vAlign w:val="center"/>
          </w:tcPr>
          <w:p w14:paraId="683C2A83">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p>
        </w:tc>
        <w:tc>
          <w:tcPr>
            <w:tcW w:w="3544" w:type="dxa"/>
            <w:noWrap/>
            <w:vAlign w:val="center"/>
          </w:tcPr>
          <w:p w14:paraId="2562F799">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加分：重大保障表现突出、主动发现重大隐患；</w:t>
            </w:r>
          </w:p>
          <w:p w14:paraId="792E9BC9">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扣分：重大故障致业务中断、数据丢失泄露、被正式投诉。</w:t>
            </w:r>
          </w:p>
        </w:tc>
        <w:tc>
          <w:tcPr>
            <w:tcW w:w="2352" w:type="dxa"/>
            <w:noWrap/>
            <w:vAlign w:val="center"/>
          </w:tcPr>
          <w:p w14:paraId="20F1E685">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加分每项2–5分、累计封顶；重大事故按程度扣分或直接判不合格。</w:t>
            </w:r>
          </w:p>
        </w:tc>
      </w:tr>
    </w:tbl>
    <w:p w14:paraId="2B2F0086">
      <w:pPr>
        <w:pStyle w:val="4"/>
        <w:spacing w:line="360" w:lineRule="auto"/>
        <w:jc w:val="both"/>
        <w:rPr>
          <w:rFonts w:hint="eastAsia" w:ascii="宋体" w:hAnsi="宋体" w:eastAsia="宋体" w:cs="宋体"/>
          <w:color w:val="auto"/>
          <w:sz w:val="24"/>
          <w:szCs w:val="24"/>
          <w:highlight w:val="none"/>
          <w:lang w:eastAsia="zh-CN"/>
        </w:rPr>
      </w:pPr>
      <w:bookmarkStart w:id="1" w:name="_Toc16916"/>
      <w:bookmarkStart w:id="2" w:name="_Toc4967"/>
      <w:r>
        <w:rPr>
          <w:rFonts w:hint="eastAsia" w:ascii="宋体" w:hAnsi="宋体" w:eastAsia="宋体" w:cs="宋体"/>
          <w:color w:val="auto"/>
          <w:sz w:val="24"/>
          <w:szCs w:val="24"/>
          <w:highlight w:val="none"/>
          <w:lang w:eastAsia="zh-CN"/>
        </w:rPr>
        <w:t>（四）考核计分说明</w:t>
      </w:r>
      <w:bookmarkEnd w:id="1"/>
      <w:bookmarkEnd w:id="2"/>
    </w:p>
    <w:p w14:paraId="658543B0">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每年组织一次综合考核，考核数据以服务工单系统记录、采购人现场签字确认单、服务报告、满意度调查表等书面材料为依据。供应商须无条件配合采购人开展考核数据核查，对存疑数据应在收到质询后5个工作日内提交有效佐证材料，逾期未提交的视为认可采购人考核结论。</w:t>
      </w:r>
    </w:p>
    <w:p w14:paraId="226881FF">
      <w:pPr>
        <w:pStyle w:val="4"/>
        <w:spacing w:line="360" w:lineRule="auto"/>
        <w:jc w:val="both"/>
        <w:rPr>
          <w:rFonts w:hint="eastAsia" w:ascii="宋体" w:hAnsi="宋体" w:eastAsia="宋体" w:cs="宋体"/>
          <w:color w:val="auto"/>
          <w:sz w:val="24"/>
          <w:szCs w:val="24"/>
          <w:highlight w:val="none"/>
          <w:lang w:eastAsia="zh-CN"/>
        </w:rPr>
      </w:pPr>
      <w:bookmarkStart w:id="3" w:name="_Toc27269"/>
      <w:bookmarkStart w:id="4" w:name="_Toc32244"/>
      <w:r>
        <w:rPr>
          <w:rFonts w:hint="eastAsia" w:ascii="宋体" w:hAnsi="宋体" w:eastAsia="宋体" w:cs="宋体"/>
          <w:color w:val="auto"/>
          <w:sz w:val="24"/>
          <w:szCs w:val="24"/>
          <w:highlight w:val="none"/>
          <w:lang w:eastAsia="zh-CN"/>
        </w:rPr>
        <w:t>（五）考核结果及应用</w:t>
      </w:r>
      <w:bookmarkEnd w:id="3"/>
      <w:bookmarkEnd w:id="4"/>
    </w:p>
    <w:tbl>
      <w:tblPr>
        <w:tblStyle w:val="2"/>
        <w:tblW w:w="5000" w:type="pct"/>
        <w:jc w:val="center"/>
        <w:tblBorders>
          <w:top w:val="single" w:color="auto" w:sz="8" w:space="0"/>
          <w:left w:val="single" w:color="auto" w:sz="8" w:space="0"/>
          <w:bottom w:val="single" w:color="auto" w:sz="8" w:space="0"/>
          <w:right w:val="single" w:color="auto" w:sz="8" w:space="0"/>
          <w:insideH w:val="single" w:color="000000" w:sz="4" w:space="0"/>
          <w:insideV w:val="single" w:color="000000" w:sz="4" w:space="0"/>
        </w:tblBorders>
        <w:tblLayout w:type="autofit"/>
        <w:tblCellMar>
          <w:top w:w="0" w:type="dxa"/>
          <w:left w:w="108" w:type="dxa"/>
          <w:bottom w:w="0" w:type="dxa"/>
          <w:right w:w="108" w:type="dxa"/>
        </w:tblCellMar>
      </w:tblPr>
      <w:tblGrid>
        <w:gridCol w:w="1474"/>
        <w:gridCol w:w="1474"/>
        <w:gridCol w:w="5574"/>
      </w:tblGrid>
      <w:tr w14:paraId="4F1A5E22">
        <w:tblPrEx>
          <w:tblBorders>
            <w:top w:val="single" w:color="auto" w:sz="8" w:space="0"/>
            <w:left w:val="single" w:color="auto" w:sz="8" w:space="0"/>
            <w:bottom w:val="single" w:color="auto" w:sz="8" w:space="0"/>
            <w:right w:val="single" w:color="auto" w:sz="8"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865" w:type="pct"/>
            <w:shd w:val="clear" w:color="auto" w:fill="BEBEBE" w:themeFill="background1" w:themeFillShade="BF"/>
            <w:vAlign w:val="center"/>
          </w:tcPr>
          <w:p w14:paraId="48EAE53A">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考核等次</w:t>
            </w:r>
          </w:p>
        </w:tc>
        <w:tc>
          <w:tcPr>
            <w:tcW w:w="865" w:type="pct"/>
            <w:shd w:val="clear" w:color="auto" w:fill="BEBEBE" w:themeFill="background1" w:themeFillShade="BF"/>
            <w:vAlign w:val="center"/>
          </w:tcPr>
          <w:p w14:paraId="68F6725C">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分数区间</w:t>
            </w:r>
          </w:p>
        </w:tc>
        <w:tc>
          <w:tcPr>
            <w:tcW w:w="3271" w:type="pct"/>
            <w:shd w:val="clear" w:color="auto" w:fill="BEBEBE" w:themeFill="background1" w:themeFillShade="BF"/>
            <w:vAlign w:val="center"/>
          </w:tcPr>
          <w:p w14:paraId="58F0BBEE">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应用方式</w:t>
            </w:r>
          </w:p>
        </w:tc>
      </w:tr>
      <w:tr w14:paraId="3758D71A">
        <w:tblPrEx>
          <w:tblBorders>
            <w:top w:val="single" w:color="auto" w:sz="8" w:space="0"/>
            <w:left w:val="single" w:color="auto" w:sz="8" w:space="0"/>
            <w:bottom w:val="single" w:color="auto" w:sz="8" w:space="0"/>
            <w:right w:val="single" w:color="auto" w:sz="8" w:space="0"/>
            <w:insideH w:val="single" w:color="000000" w:sz="4" w:space="0"/>
            <w:insideV w:val="single" w:color="000000" w:sz="4" w:space="0"/>
          </w:tblBorders>
          <w:tblCellMar>
            <w:top w:w="0" w:type="dxa"/>
            <w:left w:w="108" w:type="dxa"/>
            <w:bottom w:w="0" w:type="dxa"/>
            <w:right w:w="108" w:type="dxa"/>
          </w:tblCellMar>
        </w:tblPrEx>
        <w:trPr>
          <w:jc w:val="center"/>
        </w:trPr>
        <w:tc>
          <w:tcPr>
            <w:tcW w:w="865" w:type="pct"/>
            <w:vAlign w:val="center"/>
          </w:tcPr>
          <w:p w14:paraId="3FDDE9B6">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优秀</w:t>
            </w:r>
          </w:p>
        </w:tc>
        <w:tc>
          <w:tcPr>
            <w:tcW w:w="865" w:type="pct"/>
            <w:vAlign w:val="center"/>
          </w:tcPr>
          <w:p w14:paraId="74898434">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&gt;90分</w:t>
            </w:r>
          </w:p>
        </w:tc>
        <w:tc>
          <w:tcPr>
            <w:tcW w:w="3271" w:type="pct"/>
            <w:vAlign w:val="center"/>
          </w:tcPr>
          <w:p w14:paraId="70C6C9C5">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符合续签条件，全额支付当期服务费，可续签下一期合同</w:t>
            </w:r>
          </w:p>
        </w:tc>
      </w:tr>
      <w:tr w14:paraId="7CF0E813">
        <w:tblPrEx>
          <w:tblBorders>
            <w:top w:val="single" w:color="auto" w:sz="8" w:space="0"/>
            <w:left w:val="single" w:color="auto" w:sz="8" w:space="0"/>
            <w:bottom w:val="single" w:color="auto" w:sz="8" w:space="0"/>
            <w:right w:val="single" w:color="auto" w:sz="8" w:space="0"/>
            <w:insideH w:val="single" w:color="000000" w:sz="4" w:space="0"/>
            <w:insideV w:val="single" w:color="000000" w:sz="4" w:space="0"/>
          </w:tblBorders>
          <w:tblCellMar>
            <w:top w:w="0" w:type="dxa"/>
            <w:left w:w="108" w:type="dxa"/>
            <w:bottom w:w="0" w:type="dxa"/>
            <w:right w:w="108" w:type="dxa"/>
          </w:tblCellMar>
        </w:tblPrEx>
        <w:trPr>
          <w:jc w:val="center"/>
        </w:trPr>
        <w:tc>
          <w:tcPr>
            <w:tcW w:w="865" w:type="pct"/>
            <w:vAlign w:val="center"/>
          </w:tcPr>
          <w:p w14:paraId="61BED51D">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良好</w:t>
            </w:r>
          </w:p>
        </w:tc>
        <w:tc>
          <w:tcPr>
            <w:tcW w:w="865" w:type="pct"/>
            <w:vAlign w:val="center"/>
          </w:tcPr>
          <w:p w14:paraId="4094728A">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81-90分</w:t>
            </w:r>
          </w:p>
        </w:tc>
        <w:tc>
          <w:tcPr>
            <w:tcW w:w="3271" w:type="pct"/>
            <w:vAlign w:val="center"/>
          </w:tcPr>
          <w:p w14:paraId="7307DB90">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整改后符合续签条件，支付当期服务费用需扣除服务不合格部分，可续签下一期合同</w:t>
            </w:r>
          </w:p>
        </w:tc>
      </w:tr>
      <w:tr w14:paraId="37488D93">
        <w:tblPrEx>
          <w:tblBorders>
            <w:top w:val="single" w:color="auto" w:sz="8" w:space="0"/>
            <w:left w:val="single" w:color="auto" w:sz="8" w:space="0"/>
            <w:bottom w:val="single" w:color="auto" w:sz="8" w:space="0"/>
            <w:right w:val="single" w:color="auto" w:sz="8" w:space="0"/>
            <w:insideH w:val="single" w:color="000000" w:sz="4" w:space="0"/>
            <w:insideV w:val="single" w:color="000000" w:sz="4" w:space="0"/>
          </w:tblBorders>
          <w:tblCellMar>
            <w:top w:w="0" w:type="dxa"/>
            <w:left w:w="108" w:type="dxa"/>
            <w:bottom w:w="0" w:type="dxa"/>
            <w:right w:w="108" w:type="dxa"/>
          </w:tblCellMar>
        </w:tblPrEx>
        <w:trPr>
          <w:jc w:val="center"/>
        </w:trPr>
        <w:tc>
          <w:tcPr>
            <w:tcW w:w="865" w:type="pct"/>
            <w:vAlign w:val="center"/>
          </w:tcPr>
          <w:p w14:paraId="3D29918C">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合格</w:t>
            </w:r>
          </w:p>
        </w:tc>
        <w:tc>
          <w:tcPr>
            <w:tcW w:w="865" w:type="pct"/>
            <w:vAlign w:val="center"/>
          </w:tcPr>
          <w:p w14:paraId="4A9179FB">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71-80分</w:t>
            </w:r>
          </w:p>
        </w:tc>
        <w:tc>
          <w:tcPr>
            <w:tcW w:w="3271" w:type="pct"/>
            <w:vAlign w:val="center"/>
          </w:tcPr>
          <w:p w14:paraId="21E0C555">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整改后符合续签条件，支付当期服务费用需扣除服务不合格部分，不得续签下一期合同</w:t>
            </w:r>
          </w:p>
        </w:tc>
      </w:tr>
      <w:tr w14:paraId="1CBFD723">
        <w:tblPrEx>
          <w:tblBorders>
            <w:top w:val="single" w:color="auto" w:sz="8" w:space="0"/>
            <w:left w:val="single" w:color="auto" w:sz="8" w:space="0"/>
            <w:bottom w:val="single" w:color="auto" w:sz="8" w:space="0"/>
            <w:right w:val="single" w:color="auto" w:sz="8" w:space="0"/>
            <w:insideH w:val="single" w:color="000000" w:sz="4" w:space="0"/>
            <w:insideV w:val="single" w:color="000000" w:sz="4" w:space="0"/>
          </w:tblBorders>
          <w:tblCellMar>
            <w:top w:w="0" w:type="dxa"/>
            <w:left w:w="108" w:type="dxa"/>
            <w:bottom w:w="0" w:type="dxa"/>
            <w:right w:w="108" w:type="dxa"/>
          </w:tblCellMar>
        </w:tblPrEx>
        <w:trPr>
          <w:jc w:val="center"/>
        </w:trPr>
        <w:tc>
          <w:tcPr>
            <w:tcW w:w="865" w:type="pct"/>
            <w:vAlign w:val="center"/>
          </w:tcPr>
          <w:p w14:paraId="2B6BDA19">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不合格</w:t>
            </w:r>
          </w:p>
        </w:tc>
        <w:tc>
          <w:tcPr>
            <w:tcW w:w="865" w:type="pct"/>
            <w:vAlign w:val="center"/>
          </w:tcPr>
          <w:p w14:paraId="1FEEA8AD">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≤70分</w:t>
            </w:r>
          </w:p>
        </w:tc>
        <w:tc>
          <w:tcPr>
            <w:tcW w:w="3271" w:type="pct"/>
            <w:vAlign w:val="center"/>
          </w:tcPr>
          <w:p w14:paraId="7D60325A">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按照实际验收情况支付，不得续签下一期合同</w:t>
            </w:r>
          </w:p>
        </w:tc>
      </w:tr>
    </w:tbl>
    <w:p w14:paraId="4CCCC08E">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上述要求均满足后，按照合同约定供应商向采购人提出书面服务验收申请，采购人在接到申请15个工作日内组织验收并做出验收结论。验收合格后采购人将按照合同规定支付对应比例驻场运维费用。</w:t>
      </w:r>
    </w:p>
    <w:p w14:paraId="7B884DC7">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六、服务保密要求</w:t>
      </w:r>
    </w:p>
    <w:p w14:paraId="6BC1973A">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供应商及所有驻场人员在项目实施过程中，遵循采购人的网络安全、数据安全和保密要求，对项目涉及的业务资料、技术资料、数据应严格保密，不得扩散。在合同服务期内如发生由供应商原因导致的安全事件或泄密事件，供应商应立即整改，并就事件造成的直接经济损失承担赔偿责任；同时采购人将视情节轻重对供应商采取必要的处理措施（包括但不限于向主管部门通报、解除合同、政府采购项目禁入等），并追究供应商和责任人的法律责任。</w:t>
      </w:r>
    </w:p>
    <w:p w14:paraId="0E8356C5">
      <w:pPr>
        <w:pStyle w:val="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（二）供应商履行服务过程中所获得或接触到的来源于采购人的任何数据资料，未经采购人书面同意，不得向第三方透露。</w:t>
      </w:r>
    </w:p>
    <w:p w14:paraId="455F3189">
      <w:r>
        <w:rPr>
          <w:rFonts w:hint="eastAsia" w:ascii="宋体" w:hAnsi="宋体" w:eastAsia="宋体" w:cs="宋体"/>
          <w:color w:val="auto"/>
          <w:sz w:val="24"/>
          <w:szCs w:val="24"/>
          <w:highlight w:val="none"/>
          <w:lang w:eastAsia="zh-CN"/>
        </w:rPr>
        <w:t>（三）供应商及所有驻场人员均需与采购人签署运维服务保密协议，并禁止将本项目的任何资料传播给项目外人员。</w:t>
      </w:r>
      <w:bookmarkStart w:id="5" w:name="_GoBack"/>
      <w:bookmarkEnd w:id="5"/>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172CD2"/>
    <w:rsid w:val="70172C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0</Words>
  <Characters>0</Characters>
  <Lines>0</Lines>
  <Paragraphs>0</Paragraphs>
  <TotalTime>0</TotalTime>
  <ScaleCrop>false</ScaleCrop>
  <LinksUpToDate>false</LinksUpToDate>
  <CharactersWithSpaces>0</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2026-10-08T08:58:00Z</dcterms:created>
  <dc:creator>默.</dc:creator>
  <cp:lastModifiedBy>默.</cp:lastModifiedBy>
  <dcterms:modified xsi:type="dcterms:W3CDTF">2026-10-08T08:58:40Z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68F868203DBC44E097DA572D7DB59799_11</vt:lpwstr>
  </property>
  <property fmtid="{D5CDD505-2E9C-101B-9397-08002B2CF9AE}" pid="4" name="KSOTemplateDocerSaveRecord">
    <vt:lpwstr>eyJoZGlkIjoiODRiNTUyYTZjMjQzNThhN2Q1ZDg0OTkwMzZkZmI1MDAiLCJ1c2VySWQiOiI0MjU4NjcyNzgifQ==</vt:lpwstr>
  </property>
</Properties>
</file>