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634AD1">
      <w:pPr>
        <w:spacing w:before="111" w:line="219" w:lineRule="auto"/>
        <w:jc w:val="center"/>
        <w:outlineLvl w:val="0"/>
        <w:rPr>
          <w:rFonts w:ascii="宋体" w:hAnsi="宋体" w:eastAsia="宋体" w:cs="宋体"/>
          <w:sz w:val="34"/>
          <w:szCs w:val="34"/>
        </w:rPr>
      </w:pPr>
      <w:bookmarkStart w:id="0" w:name="_GoBack"/>
      <w:bookmarkEnd w:id="0"/>
      <w:r>
        <w:rPr>
          <w:rFonts w:ascii="宋体" w:hAnsi="宋体" w:eastAsia="宋体" w:cs="宋体"/>
          <w:spacing w:val="-2"/>
          <w:sz w:val="34"/>
          <w:szCs w:val="34"/>
        </w:rPr>
        <w:t>附件1 政府采购需求书范本(货物类)</w:t>
      </w:r>
    </w:p>
    <w:p w14:paraId="41190EFC">
      <w:pPr>
        <w:spacing w:line="49" w:lineRule="exact"/>
      </w:pPr>
    </w:p>
    <w:tbl>
      <w:tblPr>
        <w:tblStyle w:val="1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39"/>
        <w:gridCol w:w="1129"/>
        <w:gridCol w:w="6568"/>
      </w:tblGrid>
      <w:tr w14:paraId="5EED0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4" w:hRule="atLeast"/>
        </w:trPr>
        <w:tc>
          <w:tcPr>
            <w:tcW w:w="383" w:type="pct"/>
            <w:textDirection w:val="tbRlV"/>
            <w:vAlign w:val="top"/>
          </w:tcPr>
          <w:p w14:paraId="0F74A55B">
            <w:pPr>
              <w:pStyle w:val="11"/>
              <w:spacing w:before="210" w:line="199" w:lineRule="auto"/>
              <w:ind w:left="185"/>
            </w:pPr>
            <w:r>
              <w:t>序</w:t>
            </w:r>
            <w:r>
              <w:rPr>
                <w:spacing w:val="23"/>
              </w:rPr>
              <w:t xml:space="preserve">   </w:t>
            </w:r>
            <w:r>
              <w:t>号</w:t>
            </w:r>
          </w:p>
        </w:tc>
        <w:tc>
          <w:tcPr>
            <w:tcW w:w="677" w:type="pct"/>
            <w:vAlign w:val="top"/>
          </w:tcPr>
          <w:p w14:paraId="316493E0">
            <w:pPr>
              <w:spacing w:line="244" w:lineRule="auto"/>
              <w:rPr>
                <w:rFonts w:ascii="Arial"/>
                <w:sz w:val="21"/>
              </w:rPr>
            </w:pPr>
          </w:p>
          <w:p w14:paraId="5688766B">
            <w:pPr>
              <w:spacing w:line="244" w:lineRule="auto"/>
              <w:rPr>
                <w:rFonts w:ascii="Arial"/>
                <w:sz w:val="21"/>
              </w:rPr>
            </w:pPr>
          </w:p>
          <w:p w14:paraId="536CEA3E">
            <w:pPr>
              <w:pStyle w:val="11"/>
              <w:spacing w:before="62" w:line="220" w:lineRule="auto"/>
              <w:ind w:left="131"/>
            </w:pPr>
            <w:r>
              <w:rPr>
                <w:spacing w:val="2"/>
              </w:rPr>
              <w:t>关键事项</w:t>
            </w:r>
          </w:p>
        </w:tc>
        <w:tc>
          <w:tcPr>
            <w:tcW w:w="3938" w:type="pct"/>
            <w:vAlign w:val="top"/>
          </w:tcPr>
          <w:p w14:paraId="4490D29A">
            <w:pPr>
              <w:spacing w:line="249" w:lineRule="auto"/>
              <w:rPr>
                <w:rFonts w:ascii="Arial"/>
                <w:sz w:val="21"/>
              </w:rPr>
            </w:pPr>
          </w:p>
          <w:p w14:paraId="42A2D862">
            <w:pPr>
              <w:spacing w:line="249" w:lineRule="auto"/>
              <w:rPr>
                <w:rFonts w:ascii="Arial"/>
                <w:sz w:val="21"/>
              </w:rPr>
            </w:pPr>
          </w:p>
          <w:p w14:paraId="42945CF6">
            <w:pPr>
              <w:pStyle w:val="11"/>
              <w:spacing w:before="61" w:line="219" w:lineRule="auto"/>
              <w:ind w:left="2692"/>
            </w:pPr>
            <w:r>
              <w:rPr>
                <w:spacing w:val="-2"/>
              </w:rPr>
              <w:t>说明和要求</w:t>
            </w:r>
          </w:p>
        </w:tc>
      </w:tr>
      <w:tr w14:paraId="4729D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9" w:hRule="atLeast"/>
        </w:trPr>
        <w:tc>
          <w:tcPr>
            <w:tcW w:w="383" w:type="pct"/>
            <w:vAlign w:val="top"/>
          </w:tcPr>
          <w:p w14:paraId="3060F071">
            <w:pPr>
              <w:spacing w:line="263" w:lineRule="auto"/>
              <w:rPr>
                <w:rFonts w:ascii="Arial"/>
                <w:sz w:val="21"/>
              </w:rPr>
            </w:pPr>
          </w:p>
          <w:p w14:paraId="0CA7652C">
            <w:pPr>
              <w:spacing w:line="264" w:lineRule="auto"/>
              <w:rPr>
                <w:rFonts w:ascii="Arial"/>
                <w:sz w:val="21"/>
              </w:rPr>
            </w:pPr>
          </w:p>
          <w:p w14:paraId="7080BAC0">
            <w:pPr>
              <w:spacing w:line="264" w:lineRule="auto"/>
              <w:rPr>
                <w:rFonts w:ascii="Arial"/>
                <w:sz w:val="21"/>
              </w:rPr>
            </w:pPr>
          </w:p>
          <w:p w14:paraId="008CAF8C">
            <w:pPr>
              <w:pStyle w:val="11"/>
              <w:spacing w:before="62" w:line="241" w:lineRule="auto"/>
              <w:ind w:left="235"/>
            </w:pPr>
            <w:r>
              <w:t>1</w:t>
            </w:r>
          </w:p>
        </w:tc>
        <w:tc>
          <w:tcPr>
            <w:tcW w:w="677" w:type="pct"/>
            <w:vAlign w:val="top"/>
          </w:tcPr>
          <w:p w14:paraId="601A21BD">
            <w:pPr>
              <w:spacing w:line="257" w:lineRule="auto"/>
              <w:rPr>
                <w:rFonts w:ascii="Arial"/>
                <w:sz w:val="21"/>
              </w:rPr>
            </w:pPr>
          </w:p>
          <w:p w14:paraId="583C3DF6">
            <w:pPr>
              <w:spacing w:line="257" w:lineRule="auto"/>
              <w:rPr>
                <w:rFonts w:ascii="Arial"/>
                <w:sz w:val="21"/>
              </w:rPr>
            </w:pPr>
          </w:p>
          <w:p w14:paraId="126F0A19">
            <w:pPr>
              <w:spacing w:line="257" w:lineRule="auto"/>
              <w:rPr>
                <w:rFonts w:ascii="Arial"/>
                <w:sz w:val="21"/>
              </w:rPr>
            </w:pPr>
          </w:p>
          <w:p w14:paraId="262C0689">
            <w:pPr>
              <w:pStyle w:val="11"/>
              <w:spacing w:before="62" w:line="219" w:lineRule="auto"/>
              <w:ind w:left="131"/>
            </w:pPr>
            <w:r>
              <w:rPr>
                <w:spacing w:val="-2"/>
              </w:rPr>
              <w:t>采购预算</w:t>
            </w:r>
          </w:p>
        </w:tc>
        <w:tc>
          <w:tcPr>
            <w:tcW w:w="3938" w:type="pct"/>
            <w:vAlign w:val="top"/>
          </w:tcPr>
          <w:p w14:paraId="03990EC0">
            <w:pPr>
              <w:pStyle w:val="11"/>
              <w:spacing w:before="156" w:line="216" w:lineRule="auto"/>
              <w:ind w:left="82"/>
              <w:rPr>
                <w:rFonts w:hint="eastAsia" w:eastAsia="宋体"/>
                <w:lang w:eastAsia="zh-CN"/>
              </w:rPr>
            </w:pPr>
            <w:r>
              <w:rPr>
                <w:spacing w:val="-1"/>
              </w:rPr>
              <w:t>人民币</w:t>
            </w:r>
            <w:r>
              <w:rPr>
                <w:rFonts w:hint="eastAsia"/>
                <w:spacing w:val="-1"/>
                <w:lang w:val="en-US" w:eastAsia="zh-CN"/>
              </w:rPr>
              <w:t>2300000.</w:t>
            </w:r>
            <w:r>
              <w:rPr>
                <w:spacing w:val="-1"/>
              </w:rPr>
              <w:t>00元</w:t>
            </w:r>
            <w:r>
              <w:rPr>
                <w:rFonts w:hint="eastAsia"/>
                <w:spacing w:val="-1"/>
                <w:lang w:eastAsia="zh-CN"/>
              </w:rPr>
              <w:t>（采购包1：1240000.00元、采购包2：1060000.00元）</w:t>
            </w:r>
          </w:p>
          <w:p w14:paraId="557F7D4A">
            <w:pPr>
              <w:pStyle w:val="11"/>
              <w:spacing w:before="270" w:line="392" w:lineRule="auto"/>
              <w:ind w:left="92" w:right="77"/>
            </w:pPr>
            <w:r>
              <w:t>仅指与本次采购标的直接相关的费用、前期勘察费、设计费等己发生的</w:t>
            </w:r>
            <w:r>
              <w:rPr>
                <w:spacing w:val="1"/>
              </w:rPr>
              <w:t>费用，以及监理费、接口费等为未来预留费用，不应当包含</w:t>
            </w:r>
            <w:r>
              <w:t>在本项目采购预算内甲方须向本级财政部门经费业务处室申请办</w:t>
            </w:r>
            <w:r>
              <w:rPr>
                <w:spacing w:val="-1"/>
              </w:rPr>
              <w:t>理经费剥离手续</w:t>
            </w:r>
          </w:p>
        </w:tc>
      </w:tr>
      <w:tr w14:paraId="05921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383" w:type="pct"/>
            <w:vAlign w:val="top"/>
          </w:tcPr>
          <w:p w14:paraId="6DAFE93B">
            <w:pPr>
              <w:spacing w:line="354" w:lineRule="auto"/>
              <w:rPr>
                <w:rFonts w:ascii="Arial"/>
                <w:sz w:val="21"/>
              </w:rPr>
            </w:pPr>
          </w:p>
          <w:p w14:paraId="5DE9F650">
            <w:pPr>
              <w:pStyle w:val="11"/>
              <w:spacing w:before="62" w:line="241" w:lineRule="auto"/>
              <w:ind w:left="235"/>
            </w:pPr>
            <w:r>
              <w:t>2</w:t>
            </w:r>
          </w:p>
        </w:tc>
        <w:tc>
          <w:tcPr>
            <w:tcW w:w="677" w:type="pct"/>
            <w:vAlign w:val="top"/>
          </w:tcPr>
          <w:p w14:paraId="767CF9CF">
            <w:pPr>
              <w:spacing w:line="334" w:lineRule="auto"/>
              <w:rPr>
                <w:rFonts w:ascii="Arial"/>
                <w:sz w:val="21"/>
              </w:rPr>
            </w:pPr>
          </w:p>
          <w:p w14:paraId="3E85897F">
            <w:pPr>
              <w:pStyle w:val="11"/>
              <w:spacing w:before="62" w:line="218" w:lineRule="auto"/>
              <w:ind w:left="131"/>
            </w:pPr>
            <w:r>
              <w:rPr>
                <w:spacing w:val="-2"/>
              </w:rPr>
              <w:t>最高限价</w:t>
            </w:r>
          </w:p>
        </w:tc>
        <w:tc>
          <w:tcPr>
            <w:tcW w:w="3938" w:type="pct"/>
            <w:vAlign w:val="top"/>
          </w:tcPr>
          <w:p w14:paraId="11D34356">
            <w:pPr>
              <w:pStyle w:val="11"/>
              <w:spacing w:before="168" w:line="219" w:lineRule="auto"/>
              <w:ind w:left="92"/>
            </w:pPr>
            <w:r>
              <w:rPr>
                <w:spacing w:val="-1"/>
              </w:rPr>
              <w:t>人民币</w:t>
            </w:r>
            <w:r>
              <w:rPr>
                <w:rFonts w:hint="eastAsia"/>
                <w:spacing w:val="-1"/>
                <w:lang w:val="en-US" w:eastAsia="zh-CN"/>
              </w:rPr>
              <w:t>2300000.</w:t>
            </w:r>
            <w:r>
              <w:rPr>
                <w:spacing w:val="-1"/>
              </w:rPr>
              <w:t>00元</w:t>
            </w:r>
            <w:r>
              <w:rPr>
                <w:rFonts w:hint="eastAsia"/>
                <w:spacing w:val="-1"/>
                <w:lang w:eastAsia="zh-CN"/>
              </w:rPr>
              <w:t>（采购包1：1240000.00元、采购包2：1060000.00元）</w:t>
            </w:r>
          </w:p>
          <w:p w14:paraId="4E8EC292">
            <w:pPr>
              <w:pStyle w:val="11"/>
              <w:spacing w:before="264" w:line="218" w:lineRule="auto"/>
              <w:ind w:left="92"/>
            </w:pPr>
            <w:r>
              <w:t>供应商投标报价高于最高限价的则其投标文件格按无效投</w:t>
            </w:r>
            <w:r>
              <w:rPr>
                <w:spacing w:val="-1"/>
              </w:rPr>
              <w:t>标文件处理。</w:t>
            </w:r>
          </w:p>
        </w:tc>
      </w:tr>
      <w:tr w14:paraId="273EA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9" w:hRule="atLeast"/>
        </w:trPr>
        <w:tc>
          <w:tcPr>
            <w:tcW w:w="383" w:type="pct"/>
            <w:vMerge w:val="restart"/>
            <w:tcBorders>
              <w:bottom w:val="nil"/>
            </w:tcBorders>
            <w:vAlign w:val="top"/>
          </w:tcPr>
          <w:p w14:paraId="2A902AB7">
            <w:pPr>
              <w:spacing w:line="273" w:lineRule="auto"/>
              <w:rPr>
                <w:rFonts w:ascii="Arial"/>
                <w:sz w:val="21"/>
              </w:rPr>
            </w:pPr>
          </w:p>
          <w:p w14:paraId="256BFBD5">
            <w:pPr>
              <w:spacing w:line="274" w:lineRule="auto"/>
              <w:rPr>
                <w:rFonts w:ascii="Arial"/>
                <w:sz w:val="21"/>
              </w:rPr>
            </w:pPr>
          </w:p>
          <w:p w14:paraId="651AE629">
            <w:pPr>
              <w:spacing w:line="274" w:lineRule="auto"/>
              <w:rPr>
                <w:rFonts w:ascii="Arial"/>
                <w:sz w:val="21"/>
              </w:rPr>
            </w:pPr>
          </w:p>
          <w:p w14:paraId="688C2822">
            <w:pPr>
              <w:spacing w:line="274" w:lineRule="auto"/>
              <w:rPr>
                <w:rFonts w:ascii="Arial"/>
                <w:sz w:val="21"/>
              </w:rPr>
            </w:pPr>
          </w:p>
          <w:p w14:paraId="2112EE9B">
            <w:pPr>
              <w:spacing w:line="274" w:lineRule="auto"/>
              <w:rPr>
                <w:rFonts w:ascii="Arial"/>
                <w:sz w:val="21"/>
              </w:rPr>
            </w:pPr>
          </w:p>
          <w:p w14:paraId="51A5675E">
            <w:pPr>
              <w:pStyle w:val="11"/>
              <w:spacing w:before="61"/>
              <w:ind w:left="235"/>
            </w:pPr>
            <w:r>
              <w:t>3</w:t>
            </w:r>
          </w:p>
        </w:tc>
        <w:tc>
          <w:tcPr>
            <w:tcW w:w="677" w:type="pct"/>
            <w:vMerge w:val="restart"/>
            <w:tcBorders>
              <w:bottom w:val="nil"/>
            </w:tcBorders>
            <w:vAlign w:val="top"/>
          </w:tcPr>
          <w:p w14:paraId="02AE2678">
            <w:pPr>
              <w:spacing w:line="270" w:lineRule="auto"/>
              <w:rPr>
                <w:rFonts w:ascii="Arial"/>
                <w:sz w:val="21"/>
              </w:rPr>
            </w:pPr>
          </w:p>
          <w:p w14:paraId="041EB5C7">
            <w:pPr>
              <w:spacing w:line="270" w:lineRule="auto"/>
              <w:rPr>
                <w:rFonts w:ascii="Arial"/>
                <w:sz w:val="21"/>
              </w:rPr>
            </w:pPr>
          </w:p>
          <w:p w14:paraId="46209A67">
            <w:pPr>
              <w:spacing w:line="270" w:lineRule="auto"/>
              <w:rPr>
                <w:rFonts w:ascii="Arial"/>
                <w:sz w:val="21"/>
              </w:rPr>
            </w:pPr>
          </w:p>
          <w:p w14:paraId="327640F7">
            <w:pPr>
              <w:spacing w:line="270" w:lineRule="auto"/>
              <w:rPr>
                <w:rFonts w:ascii="Arial"/>
                <w:sz w:val="21"/>
              </w:rPr>
            </w:pPr>
          </w:p>
          <w:p w14:paraId="2AF0CD8D">
            <w:pPr>
              <w:spacing w:line="271" w:lineRule="auto"/>
              <w:rPr>
                <w:rFonts w:ascii="Arial"/>
                <w:sz w:val="21"/>
              </w:rPr>
            </w:pPr>
          </w:p>
          <w:p w14:paraId="584DEFFB">
            <w:pPr>
              <w:pStyle w:val="11"/>
              <w:spacing w:before="62" w:line="220" w:lineRule="auto"/>
              <w:ind w:left="131"/>
            </w:pPr>
            <w:r>
              <w:rPr>
                <w:spacing w:val="5"/>
              </w:rPr>
              <w:t>项目性质</w:t>
            </w:r>
          </w:p>
        </w:tc>
        <w:tc>
          <w:tcPr>
            <w:tcW w:w="3938" w:type="pct"/>
            <w:vAlign w:val="top"/>
          </w:tcPr>
          <w:p w14:paraId="6FCD4737">
            <w:pPr>
              <w:pStyle w:val="11"/>
              <w:spacing w:before="239" w:line="219" w:lineRule="auto"/>
              <w:ind w:firstLine="190" w:firstLineChars="100"/>
            </w:pPr>
            <w:r>
              <w:t>专门面向中小企业采购</w:t>
            </w:r>
          </w:p>
          <w:p w14:paraId="391AABDF">
            <w:pPr>
              <w:pStyle w:val="11"/>
              <w:spacing w:before="295" w:line="219" w:lineRule="auto"/>
              <w:ind w:left="92"/>
            </w:pPr>
            <w:r>
              <w:rPr>
                <w:spacing w:val="-1"/>
              </w:rPr>
              <w:t>仅允许中小企业或小型、微型企业参与投标。</w:t>
            </w:r>
          </w:p>
        </w:tc>
      </w:tr>
      <w:tr w14:paraId="52487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9" w:hRule="atLeast"/>
        </w:trPr>
        <w:tc>
          <w:tcPr>
            <w:tcW w:w="383" w:type="pct"/>
            <w:vMerge w:val="continue"/>
            <w:tcBorders>
              <w:top w:val="nil"/>
            </w:tcBorders>
            <w:vAlign w:val="top"/>
          </w:tcPr>
          <w:p w14:paraId="1A5A9E59">
            <w:pPr>
              <w:rPr>
                <w:rFonts w:ascii="Arial"/>
                <w:sz w:val="21"/>
              </w:rPr>
            </w:pPr>
          </w:p>
        </w:tc>
        <w:tc>
          <w:tcPr>
            <w:tcW w:w="677" w:type="pct"/>
            <w:vMerge w:val="continue"/>
            <w:tcBorders>
              <w:top w:val="nil"/>
            </w:tcBorders>
            <w:vAlign w:val="top"/>
          </w:tcPr>
          <w:p w14:paraId="337382E4">
            <w:pPr>
              <w:rPr>
                <w:rFonts w:ascii="Arial"/>
                <w:sz w:val="21"/>
              </w:rPr>
            </w:pPr>
          </w:p>
        </w:tc>
        <w:tc>
          <w:tcPr>
            <w:tcW w:w="3938" w:type="pct"/>
            <w:vAlign w:val="top"/>
          </w:tcPr>
          <w:p w14:paraId="7D2F8848">
            <w:pPr>
              <w:pStyle w:val="11"/>
              <w:spacing w:before="220" w:line="219" w:lineRule="auto"/>
              <w:ind w:left="102"/>
            </w:pPr>
            <w:r>
              <w:t>√非专门面向中小企业采购</w:t>
            </w:r>
          </w:p>
          <w:p w14:paraId="5827EC3F">
            <w:pPr>
              <w:pStyle w:val="11"/>
              <w:spacing w:before="274" w:line="385" w:lineRule="auto"/>
              <w:ind w:left="82" w:right="111" w:firstLine="9"/>
              <w:jc w:val="both"/>
            </w:pPr>
            <w:r>
              <w:t>对符合《政府采购促进中小企业发展管理办法》(财库(202</w:t>
            </w:r>
            <w:r>
              <w:rPr>
                <w:spacing w:val="-1"/>
              </w:rPr>
              <w:t>0146号)规定</w:t>
            </w:r>
            <w:r>
              <w:t xml:space="preserve"> 的小微企业(监狱企业视同小型、微型企业)的报价给予10%(</w:t>
            </w:r>
            <w:r>
              <w:rPr>
                <w:rFonts w:hint="eastAsia"/>
                <w:lang w:val="en-US" w:eastAsia="zh-CN"/>
              </w:rPr>
              <w:t>10</w:t>
            </w:r>
            <w:r>
              <w:t>%-</w:t>
            </w:r>
            <w:r>
              <w:rPr>
                <w:rFonts w:hint="eastAsia"/>
                <w:lang w:val="en-US" w:eastAsia="zh-CN"/>
              </w:rPr>
              <w:t>20</w:t>
            </w:r>
            <w:r>
              <w:t>%)的扣除，用扣除后的价格参加评审。</w:t>
            </w:r>
          </w:p>
        </w:tc>
      </w:tr>
      <w:tr w14:paraId="4E6CE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1" w:hRule="atLeast"/>
        </w:trPr>
        <w:tc>
          <w:tcPr>
            <w:tcW w:w="383" w:type="pct"/>
            <w:vAlign w:val="center"/>
          </w:tcPr>
          <w:p w14:paraId="5CC7F9B4">
            <w:pPr>
              <w:pStyle w:val="11"/>
              <w:spacing w:before="62" w:line="241" w:lineRule="auto"/>
              <w:jc w:val="center"/>
            </w:pPr>
            <w:r>
              <w:t>4</w:t>
            </w:r>
          </w:p>
        </w:tc>
        <w:tc>
          <w:tcPr>
            <w:tcW w:w="677" w:type="pct"/>
            <w:vAlign w:val="center"/>
          </w:tcPr>
          <w:p w14:paraId="4D822A42">
            <w:pPr>
              <w:pStyle w:val="11"/>
              <w:spacing w:before="61" w:line="429" w:lineRule="auto"/>
              <w:ind w:right="223"/>
              <w:jc w:val="center"/>
            </w:pPr>
            <w:r>
              <w:rPr>
                <w:spacing w:val="-3"/>
              </w:rPr>
              <w:t>对供应</w:t>
            </w:r>
            <w:r>
              <w:rPr>
                <w:spacing w:val="4"/>
              </w:rPr>
              <w:t>商的资</w:t>
            </w:r>
            <w:r>
              <w:rPr>
                <w:spacing w:val="-2"/>
              </w:rPr>
              <w:t>格要求</w:t>
            </w:r>
          </w:p>
        </w:tc>
        <w:tc>
          <w:tcPr>
            <w:tcW w:w="3938" w:type="pct"/>
            <w:vAlign w:val="top"/>
          </w:tcPr>
          <w:p w14:paraId="0FEC59DC">
            <w:pPr>
              <w:spacing w:line="438" w:lineRule="auto"/>
              <w:rPr>
                <w:rFonts w:ascii="Arial"/>
                <w:sz w:val="21"/>
              </w:rPr>
            </w:pPr>
          </w:p>
          <w:p w14:paraId="0B407D7B">
            <w:pPr>
              <w:pStyle w:val="11"/>
              <w:spacing w:before="62" w:line="219" w:lineRule="auto"/>
            </w:pPr>
            <w:r>
              <w:rPr>
                <w:spacing w:val="-1"/>
              </w:rPr>
              <w:t>供应商需满足中华人民共和国政府采购法第二十二条</w:t>
            </w:r>
          </w:p>
          <w:p w14:paraId="09F9DC2E">
            <w:pPr>
              <w:pStyle w:val="11"/>
              <w:spacing w:before="274" w:line="402" w:lineRule="auto"/>
              <w:ind w:left="112" w:firstLine="49"/>
              <w:jc w:val="both"/>
            </w:pPr>
            <w:r>
              <w:rPr>
                <w:spacing w:val="-4"/>
              </w:rPr>
              <w:t>根据《政府采购促进中小企业发展管理办法》(财库(20201</w:t>
            </w:r>
            <w:r>
              <w:rPr>
                <w:spacing w:val="-5"/>
              </w:rPr>
              <w:t>46号)的规定，</w:t>
            </w:r>
            <w:r>
              <w:t xml:space="preserve"> </w:t>
            </w:r>
            <w:r>
              <w:rPr>
                <w:spacing w:val="-7"/>
              </w:rPr>
              <w:t>不得以企业注册资本、资产总额、营业收入、从业人员、利润、纳税额等</w:t>
            </w:r>
            <w:r>
              <w:rPr>
                <w:spacing w:val="9"/>
              </w:rPr>
              <w:t xml:space="preserve">  </w:t>
            </w:r>
            <w:r>
              <w:rPr>
                <w:spacing w:val="-6"/>
              </w:rPr>
              <w:t>规模条件和财务指标作为供应商的资格要求</w:t>
            </w:r>
            <w:r>
              <w:rPr>
                <w:spacing w:val="-7"/>
              </w:rPr>
              <w:t>或者评审因素，不得在企业股</w:t>
            </w:r>
            <w:r>
              <w:t xml:space="preserve">  </w:t>
            </w:r>
            <w:r>
              <w:rPr>
                <w:spacing w:val="-3"/>
              </w:rPr>
              <w:t>权结构、经营年限等方面对中小企业实行差</w:t>
            </w:r>
            <w:r>
              <w:rPr>
                <w:spacing w:val="-4"/>
              </w:rPr>
              <w:t>别待遇或者歧视待遇。</w:t>
            </w:r>
          </w:p>
        </w:tc>
      </w:tr>
      <w:tr w14:paraId="54D6E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4" w:hRule="atLeast"/>
        </w:trPr>
        <w:tc>
          <w:tcPr>
            <w:tcW w:w="383" w:type="pct"/>
            <w:vAlign w:val="top"/>
          </w:tcPr>
          <w:p w14:paraId="0BFA1ED2">
            <w:pPr>
              <w:spacing w:line="351" w:lineRule="auto"/>
              <w:rPr>
                <w:rFonts w:ascii="Arial"/>
                <w:sz w:val="21"/>
              </w:rPr>
            </w:pPr>
          </w:p>
          <w:p w14:paraId="2605F10C">
            <w:pPr>
              <w:pStyle w:val="11"/>
              <w:spacing w:before="62"/>
              <w:ind w:left="235"/>
            </w:pPr>
            <w:r>
              <w:t>5</w:t>
            </w:r>
          </w:p>
        </w:tc>
        <w:tc>
          <w:tcPr>
            <w:tcW w:w="677" w:type="pct"/>
            <w:vAlign w:val="top"/>
          </w:tcPr>
          <w:p w14:paraId="56CCAD5F">
            <w:pPr>
              <w:spacing w:line="333" w:lineRule="auto"/>
              <w:rPr>
                <w:rFonts w:ascii="Arial"/>
                <w:sz w:val="21"/>
              </w:rPr>
            </w:pPr>
          </w:p>
          <w:p w14:paraId="13C9EA9C">
            <w:pPr>
              <w:pStyle w:val="11"/>
              <w:spacing w:before="62" w:line="219" w:lineRule="auto"/>
              <w:ind w:left="131"/>
            </w:pPr>
            <w:r>
              <w:rPr>
                <w:spacing w:val="-2"/>
              </w:rPr>
              <w:t>是否允许</w:t>
            </w:r>
          </w:p>
        </w:tc>
        <w:tc>
          <w:tcPr>
            <w:tcW w:w="3938" w:type="pct"/>
            <w:vAlign w:val="top"/>
          </w:tcPr>
          <w:p w14:paraId="49E11735">
            <w:pPr>
              <w:pStyle w:val="11"/>
              <w:spacing w:before="165" w:line="219" w:lineRule="auto"/>
              <w:ind w:left="161"/>
            </w:pPr>
            <w:r>
              <w:rPr>
                <w:spacing w:val="2"/>
              </w:rPr>
              <w:t>允许(须提供财政部门审核通过的复印件)</w:t>
            </w:r>
          </w:p>
          <w:p w14:paraId="7285DE5B">
            <w:pPr>
              <w:pStyle w:val="11"/>
              <w:spacing w:before="274" w:line="219" w:lineRule="auto"/>
              <w:ind w:left="151"/>
            </w:pPr>
            <w:r>
              <w:t>根据《政府采购进口产品管理办法》(财库(2007)11</w:t>
            </w:r>
            <w:r>
              <w:rPr>
                <w:spacing w:val="-1"/>
              </w:rPr>
              <w:t>9号)的规定，采购</w:t>
            </w:r>
          </w:p>
        </w:tc>
      </w:tr>
    </w:tbl>
    <w:p w14:paraId="0CF66980">
      <w:pPr>
        <w:spacing w:line="277" w:lineRule="auto"/>
        <w:rPr>
          <w:rFonts w:ascii="Arial"/>
          <w:sz w:val="21"/>
        </w:rPr>
      </w:pPr>
    </w:p>
    <w:p w14:paraId="184B486A">
      <w:pPr>
        <w:spacing w:line="277" w:lineRule="auto"/>
        <w:rPr>
          <w:rFonts w:ascii="Arial"/>
          <w:sz w:val="21"/>
        </w:rPr>
      </w:pPr>
    </w:p>
    <w:p w14:paraId="595BD94F">
      <w:pPr>
        <w:spacing w:line="277" w:lineRule="auto"/>
        <w:rPr>
          <w:rFonts w:ascii="Arial"/>
          <w:sz w:val="21"/>
        </w:rPr>
      </w:pPr>
    </w:p>
    <w:p w14:paraId="6CCADE6F">
      <w:pPr>
        <w:spacing w:line="277" w:lineRule="auto"/>
        <w:rPr>
          <w:rFonts w:ascii="Arial"/>
          <w:sz w:val="21"/>
        </w:rPr>
      </w:pPr>
    </w:p>
    <w:p w14:paraId="7037615C">
      <w:pPr>
        <w:spacing w:line="277" w:lineRule="auto"/>
        <w:rPr>
          <w:rFonts w:ascii="Arial"/>
          <w:sz w:val="21"/>
        </w:rPr>
      </w:pPr>
    </w:p>
    <w:p w14:paraId="2F4476A9">
      <w:pPr>
        <w:spacing w:line="277" w:lineRule="auto"/>
        <w:rPr>
          <w:rFonts w:ascii="Arial"/>
          <w:sz w:val="21"/>
        </w:rPr>
      </w:pPr>
    </w:p>
    <w:p w14:paraId="7585C08A">
      <w:pPr>
        <w:spacing w:line="212" w:lineRule="auto"/>
        <w:rPr>
          <w:rFonts w:ascii="Times New Roman" w:hAnsi="Times New Roman" w:eastAsia="Times New Roman" w:cs="Times New Roman"/>
          <w:sz w:val="11"/>
          <w:szCs w:val="11"/>
        </w:rPr>
        <w:sectPr>
          <w:footerReference r:id="rId3" w:type="default"/>
          <w:pgSz w:w="11900" w:h="16840"/>
          <w:pgMar w:top="1440" w:right="1786" w:bottom="1440" w:left="1785" w:header="0" w:footer="0" w:gutter="0"/>
          <w:cols w:space="720" w:num="1"/>
        </w:sectPr>
      </w:pPr>
    </w:p>
    <w:tbl>
      <w:tblPr>
        <w:tblStyle w:val="12"/>
        <w:tblW w:w="7585" w:type="dxa"/>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4"/>
        <w:gridCol w:w="1019"/>
        <w:gridCol w:w="5992"/>
      </w:tblGrid>
      <w:tr w14:paraId="5362D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3" w:hRule="atLeast"/>
        </w:trPr>
        <w:tc>
          <w:tcPr>
            <w:tcW w:w="574" w:type="dxa"/>
            <w:vMerge w:val="restart"/>
            <w:tcBorders>
              <w:bottom w:val="nil"/>
            </w:tcBorders>
            <w:vAlign w:val="top"/>
          </w:tcPr>
          <w:p w14:paraId="76CAA95F">
            <w:pPr>
              <w:rPr>
                <w:rFonts w:ascii="Arial"/>
                <w:sz w:val="21"/>
              </w:rPr>
            </w:pPr>
          </w:p>
        </w:tc>
        <w:tc>
          <w:tcPr>
            <w:tcW w:w="1019" w:type="dxa"/>
            <w:vMerge w:val="restart"/>
            <w:tcBorders>
              <w:bottom w:val="nil"/>
            </w:tcBorders>
            <w:vAlign w:val="top"/>
          </w:tcPr>
          <w:p w14:paraId="213C0150">
            <w:pPr>
              <w:pStyle w:val="11"/>
              <w:spacing w:before="162" w:line="219" w:lineRule="auto"/>
              <w:ind w:left="121"/>
            </w:pPr>
            <w:r>
              <w:rPr>
                <w:spacing w:val="4"/>
              </w:rPr>
              <w:t>进口产品</w:t>
            </w:r>
          </w:p>
        </w:tc>
        <w:tc>
          <w:tcPr>
            <w:tcW w:w="5992" w:type="dxa"/>
            <w:vAlign w:val="top"/>
          </w:tcPr>
          <w:p w14:paraId="677E1B91">
            <w:pPr>
              <w:pStyle w:val="11"/>
              <w:spacing w:before="81" w:line="435" w:lineRule="auto"/>
              <w:ind w:left="92" w:firstLine="9"/>
            </w:pPr>
            <w:r>
              <w:rPr>
                <w:spacing w:val="-3"/>
              </w:rPr>
              <w:t>人采购进口产品时，必须在采购活动开始前向财政部口提出申请井获得</w:t>
            </w:r>
            <w:r>
              <w:rPr>
                <w:spacing w:val="2"/>
              </w:rPr>
              <w:t xml:space="preserve">  </w:t>
            </w:r>
            <w:r>
              <w:t>财政部门审核同意后，才能开展采购活动。且不得因此排斥国产产</w:t>
            </w:r>
            <w:r>
              <w:rPr>
                <w:spacing w:val="-1"/>
              </w:rPr>
              <w:t>品，</w:t>
            </w:r>
            <w:r>
              <w:t xml:space="preserve"> </w:t>
            </w:r>
            <w:r>
              <w:rPr>
                <w:spacing w:val="-8"/>
              </w:rPr>
              <w:t>满足需求的国产产品依然可以参与竟争。“进口产品</w:t>
            </w:r>
            <w:r>
              <w:rPr>
                <w:spacing w:val="-9"/>
              </w:rPr>
              <w:t>的认定”参见《关于</w:t>
            </w:r>
            <w:r>
              <w:t xml:space="preserve"> </w:t>
            </w:r>
            <w:r>
              <w:rPr>
                <w:spacing w:val="-1"/>
              </w:rPr>
              <w:t>政府采购进口产品管理有关问题的通知》(财办库(2098)24</w:t>
            </w:r>
            <w:r>
              <w:rPr>
                <w:spacing w:val="-2"/>
              </w:rPr>
              <w:t>8号)文件</w:t>
            </w:r>
          </w:p>
          <w:p w14:paraId="25731D65">
            <w:pPr>
              <w:pStyle w:val="11"/>
              <w:spacing w:before="1" w:line="220" w:lineRule="auto"/>
              <w:ind w:left="122"/>
            </w:pPr>
            <w:r>
              <w:rPr>
                <w:spacing w:val="1"/>
              </w:rPr>
              <w:t>有关规定。</w:t>
            </w:r>
          </w:p>
        </w:tc>
      </w:tr>
      <w:tr w14:paraId="3EFF3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atLeast"/>
        </w:trPr>
        <w:tc>
          <w:tcPr>
            <w:tcW w:w="574" w:type="dxa"/>
            <w:vMerge w:val="continue"/>
            <w:tcBorders>
              <w:top w:val="nil"/>
            </w:tcBorders>
            <w:vAlign w:val="top"/>
          </w:tcPr>
          <w:p w14:paraId="014268C7">
            <w:pPr>
              <w:rPr>
                <w:rFonts w:ascii="Arial"/>
                <w:sz w:val="21"/>
              </w:rPr>
            </w:pPr>
          </w:p>
        </w:tc>
        <w:tc>
          <w:tcPr>
            <w:tcW w:w="1019" w:type="dxa"/>
            <w:vMerge w:val="continue"/>
            <w:tcBorders>
              <w:top w:val="nil"/>
            </w:tcBorders>
            <w:vAlign w:val="top"/>
          </w:tcPr>
          <w:p w14:paraId="6DB85811">
            <w:pPr>
              <w:rPr>
                <w:rFonts w:ascii="Arial"/>
                <w:sz w:val="21"/>
              </w:rPr>
            </w:pPr>
          </w:p>
        </w:tc>
        <w:tc>
          <w:tcPr>
            <w:tcW w:w="5992" w:type="dxa"/>
            <w:vAlign w:val="top"/>
          </w:tcPr>
          <w:p w14:paraId="4B82DE0A">
            <w:pPr>
              <w:pStyle w:val="11"/>
              <w:spacing w:before="209" w:line="219" w:lineRule="auto"/>
              <w:ind w:left="122"/>
            </w:pPr>
            <w:r>
              <w:rPr>
                <w:spacing w:val="-6"/>
              </w:rPr>
              <w:t>√</w:t>
            </w:r>
            <w:r>
              <w:rPr>
                <w:spacing w:val="-65"/>
              </w:rPr>
              <w:t xml:space="preserve"> </w:t>
            </w:r>
            <w:r>
              <w:rPr>
                <w:spacing w:val="-6"/>
              </w:rPr>
              <w:t>不允许</w:t>
            </w:r>
          </w:p>
          <w:p w14:paraId="7ECD15EB">
            <w:pPr>
              <w:spacing w:line="251" w:lineRule="auto"/>
              <w:rPr>
                <w:rFonts w:ascii="Arial"/>
                <w:sz w:val="21"/>
              </w:rPr>
            </w:pPr>
          </w:p>
          <w:p w14:paraId="11683967">
            <w:pPr>
              <w:pStyle w:val="11"/>
              <w:spacing w:before="62" w:line="219" w:lineRule="auto"/>
              <w:ind w:left="122"/>
            </w:pPr>
            <w:r>
              <w:t>所投产品为进口产品时，将被视为无效投标。</w:t>
            </w:r>
          </w:p>
        </w:tc>
      </w:tr>
      <w:tr w14:paraId="12FF2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8" w:hRule="atLeast"/>
        </w:trPr>
        <w:tc>
          <w:tcPr>
            <w:tcW w:w="574" w:type="dxa"/>
            <w:vMerge w:val="restart"/>
            <w:tcBorders>
              <w:bottom w:val="nil"/>
            </w:tcBorders>
            <w:vAlign w:val="top"/>
          </w:tcPr>
          <w:p w14:paraId="153D85FA">
            <w:pPr>
              <w:spacing w:line="285" w:lineRule="auto"/>
              <w:rPr>
                <w:rFonts w:ascii="Arial"/>
                <w:sz w:val="21"/>
              </w:rPr>
            </w:pPr>
          </w:p>
          <w:p w14:paraId="0A7E5BCE">
            <w:pPr>
              <w:spacing w:line="285" w:lineRule="auto"/>
              <w:rPr>
                <w:rFonts w:ascii="Arial"/>
                <w:sz w:val="21"/>
              </w:rPr>
            </w:pPr>
          </w:p>
          <w:p w14:paraId="1CC811DD">
            <w:pPr>
              <w:spacing w:line="285" w:lineRule="auto"/>
              <w:rPr>
                <w:rFonts w:ascii="Arial"/>
                <w:sz w:val="21"/>
              </w:rPr>
            </w:pPr>
          </w:p>
          <w:p w14:paraId="2F33E021">
            <w:pPr>
              <w:spacing w:line="285" w:lineRule="auto"/>
              <w:rPr>
                <w:rFonts w:ascii="Arial"/>
                <w:sz w:val="21"/>
              </w:rPr>
            </w:pPr>
          </w:p>
          <w:p w14:paraId="5A708E09">
            <w:pPr>
              <w:pStyle w:val="11"/>
              <w:spacing w:before="62"/>
              <w:ind w:left="225"/>
            </w:pPr>
            <w:r>
              <w:t>6</w:t>
            </w:r>
          </w:p>
        </w:tc>
        <w:tc>
          <w:tcPr>
            <w:tcW w:w="1019" w:type="dxa"/>
            <w:vMerge w:val="restart"/>
            <w:tcBorders>
              <w:bottom w:val="nil"/>
            </w:tcBorders>
            <w:vAlign w:val="top"/>
          </w:tcPr>
          <w:p w14:paraId="5FA64732">
            <w:pPr>
              <w:spacing w:line="342" w:lineRule="auto"/>
              <w:rPr>
                <w:rFonts w:ascii="Arial"/>
                <w:sz w:val="21"/>
              </w:rPr>
            </w:pPr>
          </w:p>
          <w:p w14:paraId="0BFF980A">
            <w:pPr>
              <w:spacing w:line="343" w:lineRule="auto"/>
              <w:rPr>
                <w:rFonts w:ascii="Arial"/>
                <w:sz w:val="21"/>
              </w:rPr>
            </w:pPr>
          </w:p>
          <w:p w14:paraId="722EEB27">
            <w:pPr>
              <w:pStyle w:val="11"/>
              <w:spacing w:before="62" w:line="434" w:lineRule="auto"/>
              <w:ind w:left="210" w:right="235" w:hanging="89"/>
              <w:jc w:val="both"/>
            </w:pPr>
            <w:r>
              <w:rPr>
                <w:spacing w:val="-4"/>
              </w:rPr>
              <w:t>是否接</w:t>
            </w:r>
            <w:r>
              <w:t xml:space="preserve">  </w:t>
            </w:r>
            <w:r>
              <w:rPr>
                <w:spacing w:val="-4"/>
              </w:rPr>
              <w:t>受联合</w:t>
            </w:r>
            <w:r>
              <w:t xml:space="preserve"> </w:t>
            </w:r>
            <w:r>
              <w:rPr>
                <w:spacing w:val="-3"/>
              </w:rPr>
              <w:t>体投标</w:t>
            </w:r>
          </w:p>
        </w:tc>
        <w:tc>
          <w:tcPr>
            <w:tcW w:w="5992" w:type="dxa"/>
            <w:vAlign w:val="top"/>
          </w:tcPr>
          <w:p w14:paraId="2CAD16AC">
            <w:pPr>
              <w:pStyle w:val="11"/>
              <w:spacing w:before="231" w:line="221" w:lineRule="auto"/>
              <w:ind w:left="122"/>
            </w:pPr>
            <w:r>
              <w:rPr>
                <w:spacing w:val="-2"/>
              </w:rPr>
              <w:t>接受</w:t>
            </w:r>
          </w:p>
          <w:p w14:paraId="4BEF4531">
            <w:pPr>
              <w:pStyle w:val="11"/>
              <w:spacing w:before="301" w:line="391" w:lineRule="auto"/>
              <w:ind w:left="92" w:firstLine="29"/>
              <w:jc w:val="both"/>
            </w:pPr>
            <w:r>
              <w:rPr>
                <w:spacing w:val="-4"/>
              </w:rPr>
              <w:t>对于联合体协议或者分包意向协议约定小微企业的合同份额占到合同总</w:t>
            </w:r>
            <w:r>
              <w:rPr>
                <w:spacing w:val="8"/>
              </w:rPr>
              <w:t xml:space="preserve">  </w:t>
            </w:r>
            <w:r>
              <w:rPr>
                <w:spacing w:val="-3"/>
              </w:rPr>
              <w:t>金额30%以上的，对联合体或者大中型企业的报价给予%(2%-3%)的扣除，</w:t>
            </w:r>
            <w:r>
              <w:rPr>
                <w:spacing w:val="14"/>
              </w:rPr>
              <w:t xml:space="preserve"> </w:t>
            </w:r>
            <w:r>
              <w:rPr>
                <w:spacing w:val="1"/>
              </w:rPr>
              <w:t>用扣除后的报价参加评审。</w:t>
            </w:r>
          </w:p>
        </w:tc>
      </w:tr>
      <w:tr w14:paraId="23C4D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574" w:type="dxa"/>
            <w:vMerge w:val="continue"/>
            <w:tcBorders>
              <w:top w:val="nil"/>
            </w:tcBorders>
            <w:vAlign w:val="top"/>
          </w:tcPr>
          <w:p w14:paraId="523AC57C">
            <w:pPr>
              <w:rPr>
                <w:rFonts w:ascii="Arial"/>
                <w:sz w:val="21"/>
              </w:rPr>
            </w:pPr>
          </w:p>
        </w:tc>
        <w:tc>
          <w:tcPr>
            <w:tcW w:w="1019" w:type="dxa"/>
            <w:vMerge w:val="continue"/>
            <w:tcBorders>
              <w:top w:val="nil"/>
            </w:tcBorders>
            <w:vAlign w:val="top"/>
          </w:tcPr>
          <w:p w14:paraId="18905224">
            <w:pPr>
              <w:rPr>
                <w:rFonts w:ascii="Arial"/>
                <w:sz w:val="21"/>
              </w:rPr>
            </w:pPr>
          </w:p>
        </w:tc>
        <w:tc>
          <w:tcPr>
            <w:tcW w:w="5992" w:type="dxa"/>
            <w:vAlign w:val="top"/>
          </w:tcPr>
          <w:p w14:paraId="18BBEAF7">
            <w:pPr>
              <w:pStyle w:val="11"/>
              <w:spacing w:before="243" w:line="221" w:lineRule="auto"/>
              <w:ind w:left="122"/>
            </w:pPr>
            <w:r>
              <w:rPr>
                <w:spacing w:val="-6"/>
              </w:rPr>
              <w:t>√</w:t>
            </w:r>
            <w:r>
              <w:rPr>
                <w:spacing w:val="-64"/>
              </w:rPr>
              <w:t xml:space="preserve"> </w:t>
            </w:r>
            <w:r>
              <w:rPr>
                <w:spacing w:val="-6"/>
              </w:rPr>
              <w:t>不接受</w:t>
            </w:r>
          </w:p>
        </w:tc>
      </w:tr>
      <w:tr w14:paraId="32BFD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8" w:hRule="atLeast"/>
        </w:trPr>
        <w:tc>
          <w:tcPr>
            <w:tcW w:w="574" w:type="dxa"/>
            <w:vMerge w:val="restart"/>
            <w:tcBorders>
              <w:bottom w:val="nil"/>
            </w:tcBorders>
            <w:vAlign w:val="top"/>
          </w:tcPr>
          <w:p w14:paraId="16D7FE08">
            <w:pPr>
              <w:spacing w:line="254" w:lineRule="auto"/>
              <w:rPr>
                <w:rFonts w:ascii="Arial"/>
                <w:sz w:val="21"/>
              </w:rPr>
            </w:pPr>
          </w:p>
          <w:p w14:paraId="2E120953">
            <w:pPr>
              <w:spacing w:line="254" w:lineRule="auto"/>
              <w:rPr>
                <w:rFonts w:ascii="Arial"/>
                <w:sz w:val="21"/>
              </w:rPr>
            </w:pPr>
          </w:p>
          <w:p w14:paraId="1AA75E8B">
            <w:pPr>
              <w:spacing w:line="254" w:lineRule="auto"/>
              <w:rPr>
                <w:rFonts w:ascii="Arial"/>
                <w:sz w:val="21"/>
              </w:rPr>
            </w:pPr>
          </w:p>
          <w:p w14:paraId="4B830C71">
            <w:pPr>
              <w:spacing w:line="255" w:lineRule="auto"/>
              <w:rPr>
                <w:rFonts w:ascii="Arial"/>
                <w:sz w:val="21"/>
              </w:rPr>
            </w:pPr>
          </w:p>
          <w:p w14:paraId="0050735A">
            <w:pPr>
              <w:spacing w:line="255" w:lineRule="auto"/>
              <w:rPr>
                <w:rFonts w:ascii="Arial"/>
                <w:sz w:val="21"/>
              </w:rPr>
            </w:pPr>
          </w:p>
          <w:p w14:paraId="15C69744">
            <w:pPr>
              <w:pStyle w:val="11"/>
              <w:spacing w:before="62"/>
              <w:ind w:left="225"/>
            </w:pPr>
            <w:r>
              <w:t>7</w:t>
            </w:r>
          </w:p>
        </w:tc>
        <w:tc>
          <w:tcPr>
            <w:tcW w:w="1019" w:type="dxa"/>
            <w:vMerge w:val="restart"/>
            <w:tcBorders>
              <w:bottom w:val="nil"/>
            </w:tcBorders>
            <w:vAlign w:val="top"/>
          </w:tcPr>
          <w:p w14:paraId="7CC3F9D6">
            <w:pPr>
              <w:spacing w:line="254" w:lineRule="auto"/>
              <w:rPr>
                <w:rFonts w:ascii="Arial"/>
                <w:sz w:val="21"/>
              </w:rPr>
            </w:pPr>
          </w:p>
          <w:p w14:paraId="2E83C1FC">
            <w:pPr>
              <w:spacing w:line="254" w:lineRule="auto"/>
              <w:rPr>
                <w:rFonts w:ascii="Arial"/>
                <w:sz w:val="21"/>
              </w:rPr>
            </w:pPr>
          </w:p>
          <w:p w14:paraId="4EB187F5">
            <w:pPr>
              <w:spacing w:line="255" w:lineRule="auto"/>
              <w:rPr>
                <w:rFonts w:ascii="Arial"/>
                <w:sz w:val="21"/>
              </w:rPr>
            </w:pPr>
          </w:p>
          <w:p w14:paraId="0981D1A3">
            <w:pPr>
              <w:spacing w:line="255" w:lineRule="auto"/>
              <w:rPr>
                <w:rFonts w:ascii="Arial"/>
                <w:sz w:val="21"/>
              </w:rPr>
            </w:pPr>
          </w:p>
          <w:p w14:paraId="418676CF">
            <w:pPr>
              <w:pStyle w:val="11"/>
              <w:spacing w:before="62" w:line="221" w:lineRule="auto"/>
              <w:ind w:left="311"/>
            </w:pPr>
            <w:r>
              <w:rPr>
                <w:spacing w:val="8"/>
              </w:rPr>
              <w:t>履约</w:t>
            </w:r>
          </w:p>
          <w:p w14:paraId="3EB8BF77">
            <w:pPr>
              <w:pStyle w:val="11"/>
              <w:spacing w:before="280" w:line="220" w:lineRule="auto"/>
              <w:ind w:left="211"/>
            </w:pPr>
            <w:r>
              <w:rPr>
                <w:spacing w:val="-2"/>
              </w:rPr>
              <w:t>保证金</w:t>
            </w:r>
          </w:p>
        </w:tc>
        <w:tc>
          <w:tcPr>
            <w:tcW w:w="5992" w:type="dxa"/>
            <w:vAlign w:val="top"/>
          </w:tcPr>
          <w:p w14:paraId="6BB9269A">
            <w:pPr>
              <w:pStyle w:val="11"/>
              <w:spacing w:before="193" w:line="219" w:lineRule="auto"/>
              <w:ind w:left="122"/>
            </w:pPr>
            <w:r>
              <w:rPr>
                <w:spacing w:val="-6"/>
              </w:rPr>
              <w:t>√</w:t>
            </w:r>
            <w:r>
              <w:rPr>
                <w:spacing w:val="-64"/>
              </w:rPr>
              <w:t xml:space="preserve"> </w:t>
            </w:r>
            <w:r>
              <w:rPr>
                <w:spacing w:val="-6"/>
              </w:rPr>
              <w:t>不收取</w:t>
            </w:r>
          </w:p>
          <w:p w14:paraId="7D6B9AF7">
            <w:pPr>
              <w:pStyle w:val="11"/>
              <w:spacing w:before="293" w:line="219" w:lineRule="auto"/>
              <w:ind w:left="122"/>
            </w:pPr>
            <w:r>
              <w:t>占政府采购合同金额的%</w:t>
            </w:r>
          </w:p>
          <w:p w14:paraId="73B20231">
            <w:pPr>
              <w:pStyle w:val="11"/>
              <w:spacing w:before="284" w:line="372" w:lineRule="auto"/>
              <w:ind w:left="121" w:right="41" w:hanging="19"/>
            </w:pPr>
            <w:r>
              <w:rPr>
                <w:spacing w:val="-2"/>
              </w:rPr>
              <w:t>履约保证金的数额不得超过政府采购合同金额的10%;对于单价合同，其</w:t>
            </w:r>
            <w:r>
              <w:rPr>
                <w:spacing w:val="13"/>
              </w:rPr>
              <w:t xml:space="preserve"> </w:t>
            </w:r>
            <w:r>
              <w:rPr>
                <w:spacing w:val="-1"/>
              </w:rPr>
              <w:t>数额不得超过采购预算的10%</w:t>
            </w:r>
          </w:p>
        </w:tc>
      </w:tr>
      <w:tr w14:paraId="48401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574" w:type="dxa"/>
            <w:vMerge w:val="continue"/>
            <w:tcBorders>
              <w:top w:val="nil"/>
              <w:bottom w:val="nil"/>
            </w:tcBorders>
            <w:vAlign w:val="top"/>
          </w:tcPr>
          <w:p w14:paraId="0ED41A0A">
            <w:pPr>
              <w:rPr>
                <w:rFonts w:ascii="Arial"/>
                <w:sz w:val="21"/>
              </w:rPr>
            </w:pPr>
          </w:p>
        </w:tc>
        <w:tc>
          <w:tcPr>
            <w:tcW w:w="1019" w:type="dxa"/>
            <w:vMerge w:val="continue"/>
            <w:tcBorders>
              <w:top w:val="nil"/>
              <w:bottom w:val="nil"/>
            </w:tcBorders>
            <w:vAlign w:val="top"/>
          </w:tcPr>
          <w:p w14:paraId="5C46868B">
            <w:pPr>
              <w:rPr>
                <w:rFonts w:ascii="Arial"/>
                <w:sz w:val="21"/>
              </w:rPr>
            </w:pPr>
          </w:p>
        </w:tc>
        <w:tc>
          <w:tcPr>
            <w:tcW w:w="5992" w:type="dxa"/>
            <w:vAlign w:val="top"/>
          </w:tcPr>
          <w:p w14:paraId="738AEA5E">
            <w:pPr>
              <w:pStyle w:val="11"/>
              <w:spacing w:before="164" w:line="219" w:lineRule="auto"/>
              <w:ind w:left="122"/>
            </w:pPr>
            <w:r>
              <w:t>由采购单位自行收退</w:t>
            </w:r>
          </w:p>
        </w:tc>
      </w:tr>
      <w:tr w14:paraId="26406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574" w:type="dxa"/>
            <w:vMerge w:val="continue"/>
            <w:tcBorders>
              <w:top w:val="nil"/>
            </w:tcBorders>
            <w:vAlign w:val="top"/>
          </w:tcPr>
          <w:p w14:paraId="1DE65BA1">
            <w:pPr>
              <w:rPr>
                <w:rFonts w:ascii="Arial"/>
                <w:sz w:val="21"/>
              </w:rPr>
            </w:pPr>
          </w:p>
        </w:tc>
        <w:tc>
          <w:tcPr>
            <w:tcW w:w="1019" w:type="dxa"/>
            <w:vMerge w:val="continue"/>
            <w:tcBorders>
              <w:top w:val="nil"/>
            </w:tcBorders>
            <w:vAlign w:val="top"/>
          </w:tcPr>
          <w:p w14:paraId="4605C71F">
            <w:pPr>
              <w:rPr>
                <w:rFonts w:ascii="Arial"/>
                <w:sz w:val="21"/>
              </w:rPr>
            </w:pPr>
          </w:p>
        </w:tc>
        <w:tc>
          <w:tcPr>
            <w:tcW w:w="5992" w:type="dxa"/>
            <w:vAlign w:val="top"/>
          </w:tcPr>
          <w:p w14:paraId="785E4CBB">
            <w:pPr>
              <w:pStyle w:val="11"/>
              <w:spacing w:before="64" w:line="219" w:lineRule="auto"/>
              <w:ind w:left="122"/>
            </w:pPr>
            <w:r>
              <w:t>由代理机构负责收退</w:t>
            </w:r>
          </w:p>
        </w:tc>
      </w:tr>
      <w:tr w14:paraId="57EAD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9" w:hRule="atLeast"/>
        </w:trPr>
        <w:tc>
          <w:tcPr>
            <w:tcW w:w="574" w:type="dxa"/>
            <w:vAlign w:val="top"/>
          </w:tcPr>
          <w:p w14:paraId="00F4D80C">
            <w:pPr>
              <w:spacing w:line="370" w:lineRule="auto"/>
              <w:rPr>
                <w:rFonts w:ascii="Arial"/>
                <w:sz w:val="21"/>
              </w:rPr>
            </w:pPr>
          </w:p>
          <w:p w14:paraId="60ACE75A">
            <w:pPr>
              <w:pStyle w:val="11"/>
              <w:spacing w:before="62"/>
              <w:ind w:left="225"/>
            </w:pPr>
            <w:r>
              <w:t>8</w:t>
            </w:r>
          </w:p>
        </w:tc>
        <w:tc>
          <w:tcPr>
            <w:tcW w:w="1019" w:type="dxa"/>
            <w:vAlign w:val="top"/>
          </w:tcPr>
          <w:p w14:paraId="2ECA2B37">
            <w:pPr>
              <w:pStyle w:val="11"/>
              <w:spacing w:before="234" w:line="390" w:lineRule="auto"/>
              <w:ind w:left="121" w:right="219"/>
            </w:pPr>
            <w:r>
              <w:rPr>
                <w:spacing w:val="-3"/>
              </w:rPr>
              <w:t>现场踏</w:t>
            </w:r>
            <w:r>
              <w:t xml:space="preserve">  </w:t>
            </w:r>
            <w:r>
              <w:rPr>
                <w:spacing w:val="-3"/>
              </w:rPr>
              <w:t>勘和集</w:t>
            </w:r>
            <w:r>
              <w:t xml:space="preserve">  </w:t>
            </w:r>
            <w:r>
              <w:rPr>
                <w:spacing w:val="32"/>
              </w:rPr>
              <w:t>中答疑</w:t>
            </w:r>
          </w:p>
        </w:tc>
        <w:tc>
          <w:tcPr>
            <w:tcW w:w="5992" w:type="dxa"/>
            <w:vAlign w:val="top"/>
          </w:tcPr>
          <w:p w14:paraId="76146060">
            <w:pPr>
              <w:pStyle w:val="11"/>
              <w:spacing w:before="195" w:line="219" w:lineRule="auto"/>
              <w:ind w:left="122"/>
            </w:pPr>
            <w:r>
              <w:t>组织，集结地点：</w:t>
            </w:r>
          </w:p>
          <w:p w14:paraId="0B677BA6">
            <w:pPr>
              <w:pStyle w:val="11"/>
              <w:spacing w:before="277" w:line="222" w:lineRule="auto"/>
              <w:ind w:left="122"/>
            </w:pPr>
            <w:r>
              <w:rPr>
                <w:spacing w:val="-6"/>
              </w:rPr>
              <w:t>√</w:t>
            </w:r>
            <w:r>
              <w:rPr>
                <w:spacing w:val="-62"/>
              </w:rPr>
              <w:t xml:space="preserve"> </w:t>
            </w:r>
            <w:r>
              <w:rPr>
                <w:spacing w:val="-6"/>
              </w:rPr>
              <w:t>不组织</w:t>
            </w:r>
          </w:p>
        </w:tc>
      </w:tr>
      <w:tr w14:paraId="2D544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3" w:hRule="atLeast"/>
        </w:trPr>
        <w:tc>
          <w:tcPr>
            <w:tcW w:w="574" w:type="dxa"/>
            <w:vAlign w:val="top"/>
          </w:tcPr>
          <w:p w14:paraId="601FFB8F">
            <w:pPr>
              <w:spacing w:line="253" w:lineRule="auto"/>
              <w:rPr>
                <w:rFonts w:ascii="Arial"/>
                <w:sz w:val="21"/>
              </w:rPr>
            </w:pPr>
          </w:p>
          <w:p w14:paraId="1B7F73CC">
            <w:pPr>
              <w:spacing w:line="253" w:lineRule="auto"/>
              <w:rPr>
                <w:rFonts w:ascii="Arial"/>
                <w:sz w:val="21"/>
              </w:rPr>
            </w:pPr>
          </w:p>
          <w:p w14:paraId="3E2C470F">
            <w:pPr>
              <w:spacing w:line="253" w:lineRule="auto"/>
              <w:rPr>
                <w:rFonts w:ascii="Arial"/>
                <w:sz w:val="21"/>
              </w:rPr>
            </w:pPr>
          </w:p>
          <w:p w14:paraId="3172314E">
            <w:pPr>
              <w:spacing w:line="253" w:lineRule="auto"/>
              <w:rPr>
                <w:rFonts w:ascii="Arial"/>
                <w:sz w:val="21"/>
              </w:rPr>
            </w:pPr>
          </w:p>
          <w:p w14:paraId="3A3E2923">
            <w:pPr>
              <w:spacing w:line="253" w:lineRule="auto"/>
              <w:rPr>
                <w:rFonts w:ascii="Arial"/>
                <w:sz w:val="21"/>
              </w:rPr>
            </w:pPr>
          </w:p>
          <w:p w14:paraId="178BE8DC">
            <w:pPr>
              <w:pStyle w:val="11"/>
              <w:spacing w:before="62"/>
              <w:ind w:left="225"/>
            </w:pPr>
            <w:r>
              <w:t>9</w:t>
            </w:r>
          </w:p>
        </w:tc>
        <w:tc>
          <w:tcPr>
            <w:tcW w:w="1019" w:type="dxa"/>
            <w:vAlign w:val="top"/>
          </w:tcPr>
          <w:p w14:paraId="0EE7F770">
            <w:pPr>
              <w:spacing w:line="256" w:lineRule="auto"/>
              <w:rPr>
                <w:rFonts w:ascii="Arial"/>
                <w:sz w:val="21"/>
              </w:rPr>
            </w:pPr>
          </w:p>
          <w:p w14:paraId="7D41EE0A">
            <w:pPr>
              <w:spacing w:line="257" w:lineRule="auto"/>
              <w:rPr>
                <w:rFonts w:ascii="Arial"/>
                <w:sz w:val="21"/>
              </w:rPr>
            </w:pPr>
          </w:p>
          <w:p w14:paraId="4602384E">
            <w:pPr>
              <w:spacing w:line="257" w:lineRule="auto"/>
              <w:rPr>
                <w:rFonts w:ascii="Arial"/>
                <w:sz w:val="21"/>
              </w:rPr>
            </w:pPr>
          </w:p>
          <w:p w14:paraId="786EFC39">
            <w:pPr>
              <w:spacing w:line="257" w:lineRule="auto"/>
              <w:rPr>
                <w:rFonts w:ascii="Arial"/>
                <w:sz w:val="21"/>
              </w:rPr>
            </w:pPr>
          </w:p>
          <w:p w14:paraId="45E9FB01">
            <w:pPr>
              <w:pStyle w:val="11"/>
              <w:spacing w:before="61" w:line="218" w:lineRule="auto"/>
              <w:ind w:left="211"/>
            </w:pPr>
            <w:r>
              <w:rPr>
                <w:spacing w:val="-2"/>
              </w:rPr>
              <w:t>价格分</w:t>
            </w:r>
          </w:p>
          <w:p w14:paraId="1B7D405E">
            <w:pPr>
              <w:spacing w:line="282" w:lineRule="auto"/>
              <w:rPr>
                <w:rFonts w:ascii="Arial"/>
                <w:sz w:val="21"/>
              </w:rPr>
            </w:pPr>
          </w:p>
          <w:p w14:paraId="7CE21A0A">
            <w:pPr>
              <w:pStyle w:val="11"/>
              <w:spacing w:before="62" w:line="228" w:lineRule="auto"/>
              <w:ind w:left="311"/>
            </w:pPr>
            <w:r>
              <w:rPr>
                <w:spacing w:val="4"/>
              </w:rPr>
              <w:t>比重</w:t>
            </w:r>
          </w:p>
        </w:tc>
        <w:tc>
          <w:tcPr>
            <w:tcW w:w="5992" w:type="dxa"/>
            <w:vAlign w:val="top"/>
          </w:tcPr>
          <w:p w14:paraId="00F3F85B">
            <w:pPr>
              <w:pStyle w:val="11"/>
              <w:spacing w:before="206" w:line="219" w:lineRule="auto"/>
              <w:ind w:left="122"/>
            </w:pPr>
            <w:r>
              <w:t>占总分值的</w:t>
            </w:r>
            <w:r>
              <w:rPr>
                <w:rFonts w:hint="eastAsia"/>
                <w:lang w:val="en-US" w:eastAsia="zh-CN"/>
              </w:rPr>
              <w:t>30</w:t>
            </w:r>
            <w:r>
              <w:t>%</w:t>
            </w:r>
          </w:p>
          <w:p w14:paraId="65B223B5">
            <w:pPr>
              <w:pStyle w:val="11"/>
              <w:spacing w:before="291" w:line="404" w:lineRule="auto"/>
              <w:ind w:left="102" w:firstLine="29"/>
              <w:jc w:val="both"/>
            </w:pPr>
            <w:r>
              <w:rPr>
                <w:spacing w:val="-1"/>
              </w:rPr>
              <w:t>[招标]根据《政府采购货物和服务招标投</w:t>
            </w:r>
            <w:r>
              <w:rPr>
                <w:spacing w:val="-2"/>
              </w:rPr>
              <w:t>标管理办法》(财政部87号令)</w:t>
            </w:r>
            <w:r>
              <w:t xml:space="preserve"> 的规定，综合评分法货物项目的价格分值占总分</w:t>
            </w:r>
            <w:r>
              <w:rPr>
                <w:spacing w:val="-1"/>
              </w:rPr>
              <w:t>值的比重不得低于30%.</w:t>
            </w:r>
            <w:r>
              <w:t xml:space="preserve"> </w:t>
            </w:r>
            <w:r>
              <w:rPr>
                <w:spacing w:val="-2"/>
              </w:rPr>
              <w:t>执行国家统一定价标准和采用固定价格采购的项目，其价格不列为评审</w:t>
            </w:r>
            <w:r>
              <w:rPr>
                <w:spacing w:val="7"/>
              </w:rPr>
              <w:t xml:space="preserve"> </w:t>
            </w:r>
            <w:r>
              <w:rPr>
                <w:spacing w:val="1"/>
              </w:rPr>
              <w:t>因。[磋商]根据《政府采购竞争性磋商采购方式管理暂行</w:t>
            </w:r>
            <w:r>
              <w:t xml:space="preserve">办法》(财库 </w:t>
            </w:r>
            <w:r>
              <w:rPr>
                <w:spacing w:val="-2"/>
              </w:rPr>
              <w:t>(2014)214号)的规定，货物项目的价格分值占总分值的比重(即权值)为</w:t>
            </w:r>
          </w:p>
        </w:tc>
      </w:tr>
    </w:tbl>
    <w:p w14:paraId="06F5F3C0">
      <w:pPr>
        <w:rPr>
          <w:rFonts w:ascii="Arial"/>
          <w:sz w:val="21"/>
        </w:rPr>
      </w:pPr>
    </w:p>
    <w:p w14:paraId="2FCABC35">
      <w:pPr>
        <w:rPr>
          <w:rFonts w:ascii="Arial" w:hAnsi="Arial" w:eastAsia="Arial" w:cs="Arial"/>
          <w:sz w:val="21"/>
          <w:szCs w:val="21"/>
        </w:rPr>
        <w:sectPr>
          <w:footerReference r:id="rId4" w:type="default"/>
          <w:pgSz w:w="11900" w:h="16840"/>
          <w:pgMar w:top="1425" w:right="250" w:bottom="720" w:left="1785" w:header="0" w:footer="201" w:gutter="0"/>
          <w:cols w:space="720" w:num="1"/>
        </w:sectPr>
      </w:pPr>
    </w:p>
    <w:tbl>
      <w:tblPr>
        <w:tblStyle w:val="12"/>
        <w:tblW w:w="7449"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4"/>
        <w:gridCol w:w="1008"/>
        <w:gridCol w:w="5867"/>
      </w:tblGrid>
      <w:tr w14:paraId="3DED2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574" w:type="dxa"/>
            <w:vAlign w:val="top"/>
          </w:tcPr>
          <w:p w14:paraId="73C5935A">
            <w:pPr>
              <w:rPr>
                <w:rFonts w:ascii="Arial"/>
                <w:sz w:val="21"/>
              </w:rPr>
            </w:pPr>
          </w:p>
        </w:tc>
        <w:tc>
          <w:tcPr>
            <w:tcW w:w="1008" w:type="dxa"/>
            <w:vAlign w:val="top"/>
          </w:tcPr>
          <w:p w14:paraId="761F31E5">
            <w:pPr>
              <w:rPr>
                <w:rFonts w:ascii="Arial"/>
                <w:sz w:val="21"/>
              </w:rPr>
            </w:pPr>
          </w:p>
        </w:tc>
        <w:tc>
          <w:tcPr>
            <w:tcW w:w="5867" w:type="dxa"/>
            <w:vAlign w:val="top"/>
          </w:tcPr>
          <w:p w14:paraId="61B19C47">
            <w:pPr>
              <w:pStyle w:val="11"/>
              <w:spacing w:before="131" w:line="219" w:lineRule="auto"/>
              <w:ind w:left="102"/>
            </w:pPr>
            <w:r>
              <w:t>30%60%。</w:t>
            </w:r>
          </w:p>
          <w:p w14:paraId="64CC941D">
            <w:pPr>
              <w:pStyle w:val="11"/>
              <w:spacing w:before="131" w:line="219" w:lineRule="auto"/>
              <w:ind w:left="102"/>
            </w:pPr>
            <w:r>
              <w:t>[其他采购方式]无须设置。</w:t>
            </w:r>
          </w:p>
        </w:tc>
      </w:tr>
      <w:tr w14:paraId="5E72D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6" w:hRule="atLeast"/>
        </w:trPr>
        <w:tc>
          <w:tcPr>
            <w:tcW w:w="574" w:type="dxa"/>
            <w:vAlign w:val="top"/>
          </w:tcPr>
          <w:p w14:paraId="341A3A19">
            <w:pPr>
              <w:spacing w:line="246" w:lineRule="auto"/>
              <w:rPr>
                <w:rFonts w:ascii="Arial"/>
                <w:sz w:val="21"/>
              </w:rPr>
            </w:pPr>
          </w:p>
          <w:p w14:paraId="68E96C41">
            <w:pPr>
              <w:spacing w:line="247" w:lineRule="auto"/>
              <w:rPr>
                <w:rFonts w:ascii="Arial"/>
                <w:sz w:val="21"/>
              </w:rPr>
            </w:pPr>
          </w:p>
          <w:p w14:paraId="072B24D9">
            <w:pPr>
              <w:spacing w:line="247" w:lineRule="auto"/>
              <w:rPr>
                <w:rFonts w:ascii="Arial"/>
                <w:sz w:val="21"/>
              </w:rPr>
            </w:pPr>
          </w:p>
          <w:p w14:paraId="28709576">
            <w:pPr>
              <w:pStyle w:val="11"/>
              <w:spacing w:before="62"/>
              <w:ind w:left="184"/>
            </w:pPr>
            <w:r>
              <w:rPr>
                <w:spacing w:val="-6"/>
              </w:rPr>
              <w:t>10</w:t>
            </w:r>
          </w:p>
        </w:tc>
        <w:tc>
          <w:tcPr>
            <w:tcW w:w="1008" w:type="dxa"/>
            <w:vAlign w:val="top"/>
          </w:tcPr>
          <w:p w14:paraId="1DABA3C8">
            <w:pPr>
              <w:rPr>
                <w:rFonts w:ascii="Arial"/>
                <w:sz w:val="21"/>
              </w:rPr>
            </w:pPr>
          </w:p>
          <w:p w14:paraId="2465B46C">
            <w:pPr>
              <w:spacing w:line="241" w:lineRule="auto"/>
              <w:rPr>
                <w:rFonts w:ascii="Arial"/>
                <w:sz w:val="21"/>
              </w:rPr>
            </w:pPr>
          </w:p>
          <w:p w14:paraId="3A78A0D9">
            <w:pPr>
              <w:spacing w:line="241" w:lineRule="auto"/>
              <w:rPr>
                <w:rFonts w:ascii="Arial"/>
                <w:sz w:val="21"/>
              </w:rPr>
            </w:pPr>
          </w:p>
          <w:p w14:paraId="60944FA8">
            <w:pPr>
              <w:pStyle w:val="11"/>
              <w:spacing w:before="62" w:line="219" w:lineRule="auto"/>
              <w:ind w:left="110"/>
            </w:pPr>
            <w:r>
              <w:rPr>
                <w:spacing w:val="3"/>
              </w:rPr>
              <w:t>合同类型</w:t>
            </w:r>
          </w:p>
        </w:tc>
        <w:tc>
          <w:tcPr>
            <w:tcW w:w="5867" w:type="dxa"/>
            <w:vAlign w:val="top"/>
          </w:tcPr>
          <w:p w14:paraId="221A9E55">
            <w:pPr>
              <w:pStyle w:val="11"/>
              <w:spacing w:before="177" w:line="218" w:lineRule="auto"/>
              <w:ind w:left="102"/>
            </w:pPr>
            <w:r>
              <w:t>√</w:t>
            </w:r>
            <w:r>
              <w:rPr>
                <w:spacing w:val="2"/>
              </w:rPr>
              <w:t>固定总价</w:t>
            </w:r>
          </w:p>
          <w:p w14:paraId="0297472D">
            <w:pPr>
              <w:pStyle w:val="11"/>
              <w:spacing w:before="285" w:line="218" w:lineRule="auto"/>
              <w:ind w:left="102"/>
            </w:pPr>
            <w:r>
              <w:rPr>
                <w:spacing w:val="2"/>
              </w:rPr>
              <w:t>固定单价(适用于采购数量不定的情形)</w:t>
            </w:r>
          </w:p>
          <w:p w14:paraId="36D5AEA1">
            <w:pPr>
              <w:pStyle w:val="11"/>
              <w:spacing w:before="286" w:line="219" w:lineRule="auto"/>
              <w:ind w:left="102"/>
            </w:pPr>
            <w:r>
              <w:t>其他：</w:t>
            </w:r>
            <w:r>
              <w:rPr>
                <w:rFonts w:hint="eastAsia"/>
                <w:lang w:val="en-US" w:eastAsia="zh-CN"/>
              </w:rPr>
              <w:t>下浮率</w:t>
            </w:r>
            <w:r>
              <w:t>。</w:t>
            </w:r>
          </w:p>
        </w:tc>
      </w:tr>
      <w:tr w14:paraId="6F6D8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6" w:hRule="atLeast"/>
        </w:trPr>
        <w:tc>
          <w:tcPr>
            <w:tcW w:w="574" w:type="dxa"/>
            <w:vAlign w:val="top"/>
          </w:tcPr>
          <w:p w14:paraId="7AA83292">
            <w:pPr>
              <w:spacing w:line="258" w:lineRule="auto"/>
              <w:rPr>
                <w:rFonts w:ascii="Arial"/>
                <w:sz w:val="21"/>
              </w:rPr>
            </w:pPr>
          </w:p>
          <w:p w14:paraId="56844545">
            <w:pPr>
              <w:spacing w:line="258" w:lineRule="auto"/>
              <w:rPr>
                <w:rFonts w:ascii="Arial"/>
                <w:sz w:val="21"/>
              </w:rPr>
            </w:pPr>
          </w:p>
          <w:p w14:paraId="49249CF4">
            <w:pPr>
              <w:spacing w:line="259" w:lineRule="auto"/>
              <w:rPr>
                <w:rFonts w:ascii="Arial"/>
                <w:sz w:val="21"/>
              </w:rPr>
            </w:pPr>
          </w:p>
          <w:p w14:paraId="21EF2B72">
            <w:pPr>
              <w:pStyle w:val="11"/>
              <w:spacing w:before="61" w:line="241" w:lineRule="auto"/>
              <w:ind w:left="184"/>
            </w:pPr>
            <w:r>
              <w:rPr>
                <w:spacing w:val="-6"/>
              </w:rPr>
              <w:t>11</w:t>
            </w:r>
          </w:p>
        </w:tc>
        <w:tc>
          <w:tcPr>
            <w:tcW w:w="1008" w:type="dxa"/>
            <w:vAlign w:val="top"/>
          </w:tcPr>
          <w:p w14:paraId="5CE88B43">
            <w:pPr>
              <w:spacing w:line="259" w:lineRule="auto"/>
              <w:rPr>
                <w:rFonts w:ascii="Arial"/>
                <w:sz w:val="21"/>
              </w:rPr>
            </w:pPr>
          </w:p>
          <w:p w14:paraId="3B627216">
            <w:pPr>
              <w:spacing w:line="259" w:lineRule="auto"/>
              <w:rPr>
                <w:rFonts w:ascii="Arial"/>
                <w:sz w:val="21"/>
              </w:rPr>
            </w:pPr>
          </w:p>
          <w:p w14:paraId="38ECEA12">
            <w:pPr>
              <w:pStyle w:val="11"/>
              <w:spacing w:before="61" w:line="219" w:lineRule="auto"/>
              <w:ind w:left="110"/>
            </w:pPr>
            <w:r>
              <w:rPr>
                <w:spacing w:val="-3"/>
              </w:rPr>
              <w:t>争议解决</w:t>
            </w:r>
          </w:p>
          <w:p w14:paraId="6876744C">
            <w:pPr>
              <w:pStyle w:val="11"/>
              <w:spacing w:before="224" w:line="219" w:lineRule="auto"/>
              <w:ind w:left="301"/>
            </w:pPr>
            <w:r>
              <w:rPr>
                <w:spacing w:val="-2"/>
              </w:rPr>
              <w:t>途径</w:t>
            </w:r>
          </w:p>
        </w:tc>
        <w:tc>
          <w:tcPr>
            <w:tcW w:w="5867" w:type="dxa"/>
            <w:vAlign w:val="top"/>
          </w:tcPr>
          <w:p w14:paraId="4B53A1EB">
            <w:pPr>
              <w:pStyle w:val="11"/>
              <w:spacing w:before="181" w:line="515" w:lineRule="auto"/>
              <w:ind w:left="102" w:right="3086"/>
            </w:pPr>
            <w:r>
              <w:t>向有管辖权的人民法院提起诉讼</w:t>
            </w:r>
            <w:r>
              <w:rPr>
                <w:spacing w:val="7"/>
              </w:rPr>
              <w:t xml:space="preserve"> </w:t>
            </w:r>
            <w:r>
              <w:rPr>
                <w:spacing w:val="-2"/>
              </w:rPr>
              <w:t>√</w:t>
            </w:r>
            <w:r>
              <w:rPr>
                <w:spacing w:val="-62"/>
              </w:rPr>
              <w:t xml:space="preserve"> </w:t>
            </w:r>
            <w:r>
              <w:rPr>
                <w:spacing w:val="-2"/>
              </w:rPr>
              <w:t>向西安仲裁委员会提起仲裁</w:t>
            </w:r>
          </w:p>
          <w:p w14:paraId="0BD455F9">
            <w:pPr>
              <w:pStyle w:val="11"/>
              <w:spacing w:line="218" w:lineRule="auto"/>
              <w:ind w:left="102"/>
            </w:pPr>
            <w:r>
              <w:rPr>
                <w:spacing w:val="1"/>
              </w:rPr>
              <w:t>由供应商做出选择</w:t>
            </w:r>
          </w:p>
        </w:tc>
      </w:tr>
      <w:tr w14:paraId="5D95B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3" w:hRule="atLeast"/>
        </w:trPr>
        <w:tc>
          <w:tcPr>
            <w:tcW w:w="574" w:type="dxa"/>
            <w:vAlign w:val="top"/>
          </w:tcPr>
          <w:p w14:paraId="4B6D7B0D">
            <w:pPr>
              <w:spacing w:line="270" w:lineRule="auto"/>
              <w:rPr>
                <w:rFonts w:ascii="Arial"/>
                <w:sz w:val="21"/>
              </w:rPr>
            </w:pPr>
          </w:p>
          <w:p w14:paraId="27C62491">
            <w:pPr>
              <w:spacing w:line="270" w:lineRule="auto"/>
              <w:rPr>
                <w:rFonts w:ascii="Arial"/>
                <w:sz w:val="21"/>
              </w:rPr>
            </w:pPr>
          </w:p>
          <w:p w14:paraId="6CE54C69">
            <w:pPr>
              <w:pStyle w:val="11"/>
              <w:spacing w:before="62" w:line="241" w:lineRule="auto"/>
              <w:ind w:left="184"/>
            </w:pPr>
            <w:r>
              <w:rPr>
                <w:spacing w:val="-6"/>
              </w:rPr>
              <w:t>12</w:t>
            </w:r>
          </w:p>
        </w:tc>
        <w:tc>
          <w:tcPr>
            <w:tcW w:w="1008" w:type="dxa"/>
            <w:vAlign w:val="top"/>
          </w:tcPr>
          <w:p w14:paraId="66240916">
            <w:pPr>
              <w:spacing w:line="246" w:lineRule="auto"/>
              <w:rPr>
                <w:rFonts w:ascii="Arial"/>
                <w:sz w:val="21"/>
              </w:rPr>
            </w:pPr>
          </w:p>
          <w:p w14:paraId="175F58F8">
            <w:pPr>
              <w:spacing w:line="247" w:lineRule="auto"/>
              <w:rPr>
                <w:rFonts w:ascii="Arial"/>
                <w:sz w:val="21"/>
              </w:rPr>
            </w:pPr>
          </w:p>
          <w:p w14:paraId="4B61EA08">
            <w:pPr>
              <w:pStyle w:val="11"/>
              <w:spacing w:before="61" w:line="221" w:lineRule="auto"/>
              <w:ind w:left="110"/>
            </w:pPr>
            <w:r>
              <w:rPr>
                <w:spacing w:val="-2"/>
              </w:rPr>
              <w:t>联系方式</w:t>
            </w:r>
          </w:p>
        </w:tc>
        <w:tc>
          <w:tcPr>
            <w:tcW w:w="5867" w:type="dxa"/>
            <w:vAlign w:val="top"/>
          </w:tcPr>
          <w:p w14:paraId="773174F1">
            <w:pPr>
              <w:pStyle w:val="11"/>
              <w:spacing w:before="205" w:line="219" w:lineRule="auto"/>
              <w:ind w:left="102"/>
              <w:rPr>
                <w:rFonts w:hint="eastAsia" w:eastAsia="宋体"/>
                <w:lang w:val="en-US" w:eastAsia="zh-CN"/>
              </w:rPr>
            </w:pPr>
            <w:r>
              <w:rPr>
                <w:spacing w:val="-2"/>
              </w:rPr>
              <w:t>项目对接人：</w:t>
            </w:r>
            <w:r>
              <w:rPr>
                <w:rFonts w:hint="eastAsia"/>
                <w:spacing w:val="-2"/>
                <w:lang w:val="en-US" w:eastAsia="zh-CN"/>
              </w:rPr>
              <w:t>郑林峰</w:t>
            </w:r>
          </w:p>
          <w:p w14:paraId="3A7C5655">
            <w:pPr>
              <w:spacing w:line="245" w:lineRule="auto"/>
              <w:rPr>
                <w:rFonts w:ascii="Arial"/>
                <w:sz w:val="21"/>
              </w:rPr>
            </w:pPr>
          </w:p>
          <w:p w14:paraId="6A83E0D9">
            <w:pPr>
              <w:pStyle w:val="11"/>
              <w:spacing w:before="61" w:line="221" w:lineRule="auto"/>
              <w:ind w:left="102"/>
              <w:rPr>
                <w:rFonts w:hint="default" w:eastAsia="宋体"/>
                <w:lang w:val="en-US" w:eastAsia="zh-CN"/>
              </w:rPr>
            </w:pPr>
            <w:r>
              <w:t>联系电话：</w:t>
            </w:r>
            <w:r>
              <w:rPr>
                <w:rFonts w:hint="eastAsia"/>
                <w:lang w:val="en-US" w:eastAsia="zh-CN"/>
              </w:rPr>
              <w:t>13474000028</w:t>
            </w:r>
          </w:p>
        </w:tc>
      </w:tr>
    </w:tbl>
    <w:p w14:paraId="169E6F7E">
      <w:pPr>
        <w:rPr>
          <w:rFonts w:hint="eastAsia" w:ascii="仿宋_GB2312" w:hAnsi="仿宋_GB2312" w:eastAsia="仿宋_GB2312" w:cs="仿宋_GB2312"/>
          <w:b/>
          <w:sz w:val="36"/>
          <w:szCs w:val="22"/>
          <w:lang w:val="en-US" w:eastAsia="zh-CN"/>
        </w:rPr>
      </w:pPr>
    </w:p>
    <w:p w14:paraId="62C3E832">
      <w:pPr>
        <w:rPr>
          <w:rFonts w:hint="eastAsia" w:ascii="仿宋_GB2312" w:hAnsi="仿宋_GB2312" w:eastAsia="仿宋_GB2312" w:cs="仿宋_GB2312"/>
          <w:b/>
          <w:sz w:val="36"/>
          <w:szCs w:val="22"/>
          <w:lang w:val="en-US" w:eastAsia="zh-CN"/>
        </w:rPr>
      </w:pPr>
      <w:r>
        <w:rPr>
          <w:rFonts w:hint="eastAsia" w:ascii="仿宋_GB2312" w:hAnsi="仿宋_GB2312" w:eastAsia="仿宋_GB2312" w:cs="仿宋_GB2312"/>
          <w:b/>
          <w:sz w:val="36"/>
          <w:szCs w:val="22"/>
          <w:lang w:val="en-US" w:eastAsia="zh-CN"/>
        </w:rPr>
        <w:br w:type="page"/>
      </w:r>
    </w:p>
    <w:p w14:paraId="6CE81381">
      <w:pPr>
        <w:pStyle w:val="6"/>
        <w:jc w:val="center"/>
        <w:rPr>
          <w:rFonts w:hint="eastAsia" w:ascii="仿宋_GB2312" w:hAnsi="仿宋_GB2312" w:eastAsia="仿宋_GB2312" w:cs="仿宋_GB2312"/>
          <w:b/>
          <w:sz w:val="36"/>
          <w:szCs w:val="22"/>
          <w:lang w:val="en-US" w:eastAsia="zh-CN"/>
        </w:rPr>
      </w:pPr>
      <w:r>
        <w:rPr>
          <w:rFonts w:hint="eastAsia" w:ascii="仿宋_GB2312" w:hAnsi="仿宋_GB2312" w:eastAsia="仿宋_GB2312" w:cs="仿宋_GB2312"/>
          <w:b/>
          <w:sz w:val="36"/>
          <w:szCs w:val="22"/>
          <w:lang w:val="en-US" w:eastAsia="zh-CN"/>
        </w:rPr>
        <w:t>采购需求</w:t>
      </w:r>
    </w:p>
    <w:p w14:paraId="6F7D9457">
      <w:pPr>
        <w:pStyle w:val="6"/>
        <w:jc w:val="both"/>
      </w:pPr>
      <w:r>
        <w:rPr>
          <w:rFonts w:ascii="仿宋_GB2312" w:hAnsi="仿宋_GB2312" w:eastAsia="仿宋_GB2312" w:cs="仿宋_GB2312"/>
        </w:rPr>
        <w:t>采购包1：</w:t>
      </w:r>
    </w:p>
    <w:p w14:paraId="082CBAE8">
      <w:pPr>
        <w:pStyle w:val="6"/>
      </w:pPr>
      <w:r>
        <w:rPr>
          <w:rFonts w:ascii="仿宋_GB2312" w:hAnsi="仿宋_GB2312" w:eastAsia="仿宋_GB2312" w:cs="仿宋_GB2312"/>
        </w:rPr>
        <w:t xml:space="preserve">采购包预算金额（元）: </w:t>
      </w:r>
      <w:r>
        <w:rPr>
          <w:rFonts w:hint="eastAsia" w:ascii="仿宋_GB2312" w:hAnsi="仿宋_GB2312" w:eastAsia="仿宋_GB2312" w:cs="仿宋_GB2312"/>
          <w:lang w:val="en-US" w:eastAsia="zh-CN"/>
        </w:rPr>
        <w:t>1240</w:t>
      </w:r>
      <w:r>
        <w:rPr>
          <w:rFonts w:ascii="仿宋_GB2312" w:hAnsi="仿宋_GB2312" w:eastAsia="仿宋_GB2312" w:cs="仿宋_GB2312"/>
        </w:rPr>
        <w:t>000.00</w:t>
      </w:r>
    </w:p>
    <w:p w14:paraId="7E63E705">
      <w:pPr>
        <w:pStyle w:val="6"/>
      </w:pPr>
      <w:r>
        <w:rPr>
          <w:rFonts w:ascii="仿宋_GB2312" w:hAnsi="仿宋_GB2312" w:eastAsia="仿宋_GB2312" w:cs="仿宋_GB2312"/>
        </w:rPr>
        <w:t xml:space="preserve">采购包最高限价（元）: </w:t>
      </w:r>
      <w:r>
        <w:rPr>
          <w:rFonts w:hint="eastAsia" w:ascii="仿宋_GB2312" w:hAnsi="仿宋_GB2312" w:eastAsia="仿宋_GB2312" w:cs="仿宋_GB2312"/>
          <w:lang w:val="en-US" w:eastAsia="zh-CN"/>
        </w:rPr>
        <w:t>1240</w:t>
      </w:r>
      <w:r>
        <w:rPr>
          <w:rFonts w:ascii="仿宋_GB2312" w:hAnsi="仿宋_GB2312" w:eastAsia="仿宋_GB2312" w:cs="仿宋_GB2312"/>
        </w:rPr>
        <w:t>000.00</w:t>
      </w:r>
    </w:p>
    <w:p w14:paraId="613E2508">
      <w:pPr>
        <w:pStyle w:val="6"/>
      </w:pPr>
      <w:r>
        <w:rPr>
          <w:rFonts w:ascii="仿宋_GB2312" w:hAnsi="仿宋_GB2312" w:eastAsia="仿宋_GB2312" w:cs="仿宋_GB2312"/>
        </w:rPr>
        <w:t>供应商报价不允许超过标的金额</w:t>
      </w:r>
    </w:p>
    <w:p w14:paraId="162BEAED">
      <w:pPr>
        <w:pStyle w:val="6"/>
      </w:pPr>
      <w:r>
        <w:rPr>
          <w:rFonts w:ascii="仿宋_GB2312" w:hAnsi="仿宋_GB2312" w:eastAsia="仿宋_GB2312" w:cs="仿宋_GB2312"/>
        </w:rPr>
        <w:t>（招单价的）供应商报价不允许超过标的单价</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1"/>
        <w:gridCol w:w="1108"/>
        <w:gridCol w:w="656"/>
        <w:gridCol w:w="1216"/>
        <w:gridCol w:w="727"/>
        <w:gridCol w:w="727"/>
        <w:gridCol w:w="727"/>
        <w:gridCol w:w="727"/>
        <w:gridCol w:w="727"/>
        <w:gridCol w:w="728"/>
        <w:gridCol w:w="728"/>
      </w:tblGrid>
      <w:tr w14:paraId="3375AC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1" w:type="dxa"/>
            <w:vAlign w:val="center"/>
          </w:tcPr>
          <w:p w14:paraId="5FB7C288">
            <w:pPr>
              <w:pStyle w:val="6"/>
              <w:jc w:val="center"/>
            </w:pPr>
            <w:r>
              <w:rPr>
                <w:rFonts w:ascii="仿宋_GB2312" w:hAnsi="仿宋_GB2312" w:eastAsia="仿宋_GB2312" w:cs="仿宋_GB2312"/>
              </w:rPr>
              <w:t>序号</w:t>
            </w:r>
          </w:p>
        </w:tc>
        <w:tc>
          <w:tcPr>
            <w:tcW w:w="1108" w:type="dxa"/>
            <w:vAlign w:val="center"/>
          </w:tcPr>
          <w:p w14:paraId="73361D9B">
            <w:pPr>
              <w:pStyle w:val="6"/>
              <w:jc w:val="center"/>
            </w:pPr>
            <w:r>
              <w:rPr>
                <w:rFonts w:ascii="仿宋_GB2312" w:hAnsi="仿宋_GB2312" w:eastAsia="仿宋_GB2312" w:cs="仿宋_GB2312"/>
              </w:rPr>
              <w:t>标的名称</w:t>
            </w:r>
          </w:p>
        </w:tc>
        <w:tc>
          <w:tcPr>
            <w:tcW w:w="656" w:type="dxa"/>
            <w:vAlign w:val="center"/>
          </w:tcPr>
          <w:p w14:paraId="265ED73F">
            <w:pPr>
              <w:pStyle w:val="6"/>
              <w:jc w:val="center"/>
            </w:pPr>
            <w:r>
              <w:rPr>
                <w:rFonts w:ascii="仿宋_GB2312" w:hAnsi="仿宋_GB2312" w:eastAsia="仿宋_GB2312" w:cs="仿宋_GB2312"/>
              </w:rPr>
              <w:t>数量</w:t>
            </w:r>
          </w:p>
        </w:tc>
        <w:tc>
          <w:tcPr>
            <w:tcW w:w="1216" w:type="dxa"/>
            <w:vAlign w:val="center"/>
          </w:tcPr>
          <w:p w14:paraId="0D668741">
            <w:pPr>
              <w:pStyle w:val="6"/>
              <w:jc w:val="center"/>
            </w:pPr>
            <w:r>
              <w:rPr>
                <w:rFonts w:ascii="仿宋_GB2312" w:hAnsi="仿宋_GB2312" w:eastAsia="仿宋_GB2312" w:cs="仿宋_GB2312"/>
              </w:rPr>
              <w:t>标的金额 （元）</w:t>
            </w:r>
          </w:p>
        </w:tc>
        <w:tc>
          <w:tcPr>
            <w:tcW w:w="727" w:type="dxa"/>
            <w:vAlign w:val="center"/>
          </w:tcPr>
          <w:p w14:paraId="26467A33">
            <w:pPr>
              <w:pStyle w:val="6"/>
              <w:jc w:val="center"/>
            </w:pPr>
            <w:r>
              <w:rPr>
                <w:rFonts w:ascii="仿宋_GB2312" w:hAnsi="仿宋_GB2312" w:eastAsia="仿宋_GB2312" w:cs="仿宋_GB2312"/>
              </w:rPr>
              <w:t>计量单位</w:t>
            </w:r>
          </w:p>
        </w:tc>
        <w:tc>
          <w:tcPr>
            <w:tcW w:w="727" w:type="dxa"/>
            <w:vAlign w:val="center"/>
          </w:tcPr>
          <w:p w14:paraId="5B943CBA">
            <w:pPr>
              <w:pStyle w:val="6"/>
              <w:jc w:val="center"/>
            </w:pPr>
            <w:r>
              <w:rPr>
                <w:rFonts w:ascii="仿宋_GB2312" w:hAnsi="仿宋_GB2312" w:eastAsia="仿宋_GB2312" w:cs="仿宋_GB2312"/>
              </w:rPr>
              <w:t>所属行业</w:t>
            </w:r>
          </w:p>
        </w:tc>
        <w:tc>
          <w:tcPr>
            <w:tcW w:w="727" w:type="dxa"/>
            <w:vAlign w:val="center"/>
          </w:tcPr>
          <w:p w14:paraId="592816F9">
            <w:pPr>
              <w:pStyle w:val="6"/>
              <w:jc w:val="center"/>
            </w:pPr>
            <w:r>
              <w:rPr>
                <w:rFonts w:ascii="仿宋_GB2312" w:hAnsi="仿宋_GB2312" w:eastAsia="仿宋_GB2312" w:cs="仿宋_GB2312"/>
              </w:rPr>
              <w:t>是否核心产品</w:t>
            </w:r>
          </w:p>
        </w:tc>
        <w:tc>
          <w:tcPr>
            <w:tcW w:w="727" w:type="dxa"/>
            <w:vAlign w:val="center"/>
          </w:tcPr>
          <w:p w14:paraId="3A5113A8">
            <w:pPr>
              <w:pStyle w:val="6"/>
              <w:jc w:val="center"/>
            </w:pPr>
            <w:r>
              <w:rPr>
                <w:rFonts w:ascii="仿宋_GB2312" w:hAnsi="仿宋_GB2312" w:eastAsia="仿宋_GB2312" w:cs="仿宋_GB2312"/>
              </w:rPr>
              <w:t>是否允许进口产品</w:t>
            </w:r>
          </w:p>
        </w:tc>
        <w:tc>
          <w:tcPr>
            <w:tcW w:w="727" w:type="dxa"/>
            <w:vAlign w:val="center"/>
          </w:tcPr>
          <w:p w14:paraId="3F477B7B">
            <w:pPr>
              <w:pStyle w:val="6"/>
              <w:jc w:val="center"/>
            </w:pPr>
            <w:r>
              <w:rPr>
                <w:rFonts w:ascii="仿宋_GB2312" w:hAnsi="仿宋_GB2312" w:eastAsia="仿宋_GB2312" w:cs="仿宋_GB2312"/>
              </w:rPr>
              <w:t>是否属于节能产品</w:t>
            </w:r>
          </w:p>
        </w:tc>
        <w:tc>
          <w:tcPr>
            <w:tcW w:w="728" w:type="dxa"/>
            <w:vAlign w:val="center"/>
          </w:tcPr>
          <w:p w14:paraId="0F4CB454">
            <w:pPr>
              <w:pStyle w:val="6"/>
              <w:jc w:val="center"/>
            </w:pPr>
            <w:r>
              <w:rPr>
                <w:rFonts w:ascii="仿宋_GB2312" w:hAnsi="仿宋_GB2312" w:eastAsia="仿宋_GB2312" w:cs="仿宋_GB2312"/>
              </w:rPr>
              <w:t>是否属于环境标志产品</w:t>
            </w:r>
          </w:p>
        </w:tc>
        <w:tc>
          <w:tcPr>
            <w:tcW w:w="728" w:type="dxa"/>
            <w:vAlign w:val="center"/>
          </w:tcPr>
          <w:p w14:paraId="3598C269">
            <w:pPr>
              <w:pStyle w:val="6"/>
              <w:jc w:val="center"/>
            </w:pPr>
            <w:r>
              <w:rPr>
                <w:rFonts w:ascii="仿宋_GB2312" w:hAnsi="仿宋_GB2312" w:eastAsia="仿宋_GB2312" w:cs="仿宋_GB2312"/>
              </w:rPr>
              <w:t>是否实施本国产品政策</w:t>
            </w:r>
          </w:p>
        </w:tc>
      </w:tr>
      <w:tr w14:paraId="76D2BB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36" w:hRule="atLeast"/>
        </w:trPr>
        <w:tc>
          <w:tcPr>
            <w:tcW w:w="451" w:type="dxa"/>
            <w:vAlign w:val="center"/>
          </w:tcPr>
          <w:p w14:paraId="5FE27DA8">
            <w:pPr>
              <w:pStyle w:val="6"/>
              <w:jc w:val="center"/>
            </w:pPr>
            <w:r>
              <w:rPr>
                <w:rFonts w:ascii="仿宋_GB2312" w:hAnsi="仿宋_GB2312" w:eastAsia="仿宋_GB2312" w:cs="仿宋_GB2312"/>
              </w:rPr>
              <w:t>1</w:t>
            </w:r>
          </w:p>
        </w:tc>
        <w:tc>
          <w:tcPr>
            <w:tcW w:w="1108" w:type="dxa"/>
            <w:vAlign w:val="center"/>
          </w:tcPr>
          <w:p w14:paraId="3C572D46">
            <w:pPr>
              <w:pStyle w:val="6"/>
              <w:jc w:val="center"/>
              <w:rPr>
                <w:rFonts w:hint="default" w:eastAsia="仿宋_GB2312"/>
                <w:lang w:val="en-US" w:eastAsia="zh-CN"/>
              </w:rPr>
            </w:pPr>
            <w:r>
              <w:rPr>
                <w:rFonts w:hint="eastAsia" w:ascii="仿宋_GB2312" w:hAnsi="仿宋_GB2312" w:eastAsia="仿宋_GB2312" w:cs="仿宋_GB2312"/>
              </w:rPr>
              <w:t>课桌椅、架子床</w:t>
            </w:r>
            <w:r>
              <w:rPr>
                <w:rFonts w:hint="eastAsia" w:ascii="仿宋_GB2312" w:hAnsi="仿宋_GB2312" w:eastAsia="仿宋_GB2312" w:cs="仿宋_GB2312"/>
                <w:lang w:val="en-US" w:eastAsia="zh-CN"/>
              </w:rPr>
              <w:t>等采购</w:t>
            </w:r>
          </w:p>
        </w:tc>
        <w:tc>
          <w:tcPr>
            <w:tcW w:w="656" w:type="dxa"/>
            <w:vAlign w:val="center"/>
          </w:tcPr>
          <w:p w14:paraId="2450D039">
            <w:pPr>
              <w:pStyle w:val="6"/>
              <w:jc w:val="center"/>
            </w:pPr>
            <w:r>
              <w:rPr>
                <w:rFonts w:ascii="仿宋_GB2312" w:hAnsi="仿宋_GB2312" w:eastAsia="仿宋_GB2312" w:cs="仿宋_GB2312"/>
              </w:rPr>
              <w:t>1.00</w:t>
            </w:r>
          </w:p>
        </w:tc>
        <w:tc>
          <w:tcPr>
            <w:tcW w:w="1216" w:type="dxa"/>
            <w:vAlign w:val="center"/>
          </w:tcPr>
          <w:p w14:paraId="6ABDD1EF">
            <w:pPr>
              <w:pStyle w:val="6"/>
              <w:jc w:val="center"/>
            </w:pPr>
            <w:r>
              <w:rPr>
                <w:rFonts w:hint="eastAsia" w:ascii="仿宋_GB2312" w:hAnsi="仿宋_GB2312" w:eastAsia="仿宋_GB2312" w:cs="仿宋_GB2312"/>
                <w:lang w:val="en-US" w:eastAsia="zh-CN"/>
              </w:rPr>
              <w:t>1240</w:t>
            </w:r>
            <w:r>
              <w:rPr>
                <w:rFonts w:ascii="仿宋_GB2312" w:hAnsi="仿宋_GB2312" w:eastAsia="仿宋_GB2312" w:cs="仿宋_GB2312"/>
              </w:rPr>
              <w:t>000.00</w:t>
            </w:r>
          </w:p>
        </w:tc>
        <w:tc>
          <w:tcPr>
            <w:tcW w:w="727" w:type="dxa"/>
            <w:vAlign w:val="center"/>
          </w:tcPr>
          <w:p w14:paraId="100E2D13">
            <w:pPr>
              <w:pStyle w:val="6"/>
              <w:jc w:val="center"/>
              <w:rPr>
                <w:rFonts w:hint="eastAsia" w:eastAsiaTheme="minorEastAsia"/>
                <w:lang w:eastAsia="zh-CN"/>
              </w:rPr>
            </w:pPr>
            <w:r>
              <w:rPr>
                <w:rFonts w:hint="eastAsia" w:ascii="仿宋_GB2312" w:hAnsi="仿宋_GB2312" w:eastAsia="仿宋_GB2312" w:cs="仿宋_GB2312"/>
                <w:lang w:val="en-US" w:eastAsia="zh-CN"/>
              </w:rPr>
              <w:t>批</w:t>
            </w:r>
          </w:p>
        </w:tc>
        <w:tc>
          <w:tcPr>
            <w:tcW w:w="727" w:type="dxa"/>
            <w:vAlign w:val="center"/>
          </w:tcPr>
          <w:p w14:paraId="63893BE9">
            <w:pPr>
              <w:pStyle w:val="6"/>
              <w:jc w:val="center"/>
            </w:pPr>
            <w:r>
              <w:rPr>
                <w:rFonts w:ascii="仿宋_GB2312" w:hAnsi="仿宋_GB2312" w:eastAsia="仿宋_GB2312" w:cs="仿宋_GB2312"/>
              </w:rPr>
              <w:t>工业</w:t>
            </w:r>
          </w:p>
        </w:tc>
        <w:tc>
          <w:tcPr>
            <w:tcW w:w="727" w:type="dxa"/>
            <w:vAlign w:val="center"/>
          </w:tcPr>
          <w:p w14:paraId="130DD68E">
            <w:pPr>
              <w:pStyle w:val="6"/>
              <w:jc w:val="center"/>
            </w:pPr>
            <w:r>
              <w:rPr>
                <w:rFonts w:ascii="仿宋_GB2312" w:hAnsi="仿宋_GB2312" w:eastAsia="仿宋_GB2312" w:cs="仿宋_GB2312"/>
              </w:rPr>
              <w:t>否</w:t>
            </w:r>
          </w:p>
        </w:tc>
        <w:tc>
          <w:tcPr>
            <w:tcW w:w="727" w:type="dxa"/>
            <w:vAlign w:val="center"/>
          </w:tcPr>
          <w:p w14:paraId="198D8DB0">
            <w:pPr>
              <w:pStyle w:val="6"/>
              <w:jc w:val="center"/>
            </w:pPr>
            <w:r>
              <w:rPr>
                <w:rFonts w:ascii="仿宋_GB2312" w:hAnsi="仿宋_GB2312" w:eastAsia="仿宋_GB2312" w:cs="仿宋_GB2312"/>
              </w:rPr>
              <w:t>否</w:t>
            </w:r>
          </w:p>
        </w:tc>
        <w:tc>
          <w:tcPr>
            <w:tcW w:w="727" w:type="dxa"/>
            <w:vAlign w:val="center"/>
          </w:tcPr>
          <w:p w14:paraId="06D4ECB4">
            <w:pPr>
              <w:pStyle w:val="6"/>
              <w:jc w:val="center"/>
            </w:pPr>
            <w:r>
              <w:rPr>
                <w:rFonts w:ascii="仿宋_GB2312" w:hAnsi="仿宋_GB2312" w:eastAsia="仿宋_GB2312" w:cs="仿宋_GB2312"/>
              </w:rPr>
              <w:t>否</w:t>
            </w:r>
          </w:p>
        </w:tc>
        <w:tc>
          <w:tcPr>
            <w:tcW w:w="728" w:type="dxa"/>
            <w:vAlign w:val="center"/>
          </w:tcPr>
          <w:p w14:paraId="67694521">
            <w:pPr>
              <w:pStyle w:val="6"/>
              <w:jc w:val="center"/>
            </w:pPr>
            <w:r>
              <w:rPr>
                <w:rFonts w:ascii="仿宋_GB2312" w:hAnsi="仿宋_GB2312" w:eastAsia="仿宋_GB2312" w:cs="仿宋_GB2312"/>
              </w:rPr>
              <w:t>否</w:t>
            </w:r>
          </w:p>
        </w:tc>
        <w:tc>
          <w:tcPr>
            <w:tcW w:w="728" w:type="dxa"/>
            <w:vAlign w:val="center"/>
          </w:tcPr>
          <w:p w14:paraId="19FE945C">
            <w:pPr>
              <w:pStyle w:val="6"/>
              <w:jc w:val="center"/>
            </w:pPr>
            <w:r>
              <w:rPr>
                <w:rFonts w:ascii="仿宋_GB2312" w:hAnsi="仿宋_GB2312" w:eastAsia="仿宋_GB2312" w:cs="仿宋_GB2312"/>
              </w:rPr>
              <w:t>是</w:t>
            </w:r>
          </w:p>
        </w:tc>
      </w:tr>
    </w:tbl>
    <w:p w14:paraId="50D40760">
      <w:pPr>
        <w:pStyle w:val="6"/>
      </w:pPr>
      <w:r>
        <w:rPr>
          <w:rFonts w:ascii="仿宋_GB2312" w:hAnsi="仿宋_GB2312" w:eastAsia="仿宋_GB2312" w:cs="仿宋_GB2312"/>
        </w:rPr>
        <w:t>采购包2：</w:t>
      </w:r>
    </w:p>
    <w:p w14:paraId="47E9EC86">
      <w:pPr>
        <w:pStyle w:val="6"/>
      </w:pPr>
      <w:r>
        <w:rPr>
          <w:rFonts w:ascii="仿宋_GB2312" w:hAnsi="仿宋_GB2312" w:eastAsia="仿宋_GB2312" w:cs="仿宋_GB2312"/>
        </w:rPr>
        <w:t xml:space="preserve">采购包预算金额（元）: </w:t>
      </w:r>
      <w:r>
        <w:rPr>
          <w:rFonts w:hint="eastAsia" w:ascii="仿宋_GB2312" w:hAnsi="仿宋_GB2312" w:eastAsia="仿宋_GB2312" w:cs="仿宋_GB2312"/>
          <w:lang w:val="en-US" w:eastAsia="zh-CN"/>
        </w:rPr>
        <w:t>1060</w:t>
      </w:r>
      <w:r>
        <w:rPr>
          <w:rFonts w:ascii="仿宋_GB2312" w:hAnsi="仿宋_GB2312" w:eastAsia="仿宋_GB2312" w:cs="仿宋_GB2312"/>
        </w:rPr>
        <w:t>000.00</w:t>
      </w:r>
    </w:p>
    <w:p w14:paraId="4DE07B54">
      <w:pPr>
        <w:pStyle w:val="6"/>
      </w:pPr>
      <w:r>
        <w:rPr>
          <w:rFonts w:ascii="仿宋_GB2312" w:hAnsi="仿宋_GB2312" w:eastAsia="仿宋_GB2312" w:cs="仿宋_GB2312"/>
        </w:rPr>
        <w:t xml:space="preserve">采购包最高限价（元）: </w:t>
      </w:r>
      <w:r>
        <w:rPr>
          <w:rFonts w:hint="eastAsia" w:ascii="仿宋_GB2312" w:hAnsi="仿宋_GB2312" w:eastAsia="仿宋_GB2312" w:cs="仿宋_GB2312"/>
          <w:lang w:val="en-US" w:eastAsia="zh-CN"/>
        </w:rPr>
        <w:t>1060</w:t>
      </w:r>
      <w:r>
        <w:rPr>
          <w:rFonts w:ascii="仿宋_GB2312" w:hAnsi="仿宋_GB2312" w:eastAsia="仿宋_GB2312" w:cs="仿宋_GB2312"/>
        </w:rPr>
        <w:t>000.00</w:t>
      </w:r>
    </w:p>
    <w:p w14:paraId="39990F11">
      <w:pPr>
        <w:pStyle w:val="6"/>
      </w:pPr>
      <w:r>
        <w:rPr>
          <w:rFonts w:ascii="仿宋_GB2312" w:hAnsi="仿宋_GB2312" w:eastAsia="仿宋_GB2312" w:cs="仿宋_GB2312"/>
        </w:rPr>
        <w:t>供应商报价不允许超过标的金额</w:t>
      </w:r>
    </w:p>
    <w:p w14:paraId="24AE1288">
      <w:pPr>
        <w:pStyle w:val="6"/>
      </w:pPr>
      <w:r>
        <w:rPr>
          <w:rFonts w:ascii="仿宋_GB2312" w:hAnsi="仿宋_GB2312" w:eastAsia="仿宋_GB2312" w:cs="仿宋_GB2312"/>
        </w:rPr>
        <w:t>（招单价的）供应商报价不允许超过标的单价</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16"/>
        <w:gridCol w:w="1037"/>
        <w:gridCol w:w="649"/>
        <w:gridCol w:w="1216"/>
        <w:gridCol w:w="729"/>
        <w:gridCol w:w="729"/>
        <w:gridCol w:w="729"/>
        <w:gridCol w:w="729"/>
        <w:gridCol w:w="729"/>
        <w:gridCol w:w="729"/>
        <w:gridCol w:w="730"/>
      </w:tblGrid>
      <w:tr w14:paraId="61D8EF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6" w:type="dxa"/>
            <w:vAlign w:val="center"/>
          </w:tcPr>
          <w:p w14:paraId="522A82D6">
            <w:pPr>
              <w:pStyle w:val="6"/>
              <w:jc w:val="center"/>
            </w:pPr>
            <w:r>
              <w:rPr>
                <w:rFonts w:ascii="仿宋_GB2312" w:hAnsi="仿宋_GB2312" w:eastAsia="仿宋_GB2312" w:cs="仿宋_GB2312"/>
              </w:rPr>
              <w:t>序号</w:t>
            </w:r>
          </w:p>
        </w:tc>
        <w:tc>
          <w:tcPr>
            <w:tcW w:w="1037" w:type="dxa"/>
            <w:vAlign w:val="center"/>
          </w:tcPr>
          <w:p w14:paraId="6CD75625">
            <w:pPr>
              <w:pStyle w:val="6"/>
              <w:jc w:val="center"/>
            </w:pPr>
            <w:r>
              <w:rPr>
                <w:rFonts w:ascii="仿宋_GB2312" w:hAnsi="仿宋_GB2312" w:eastAsia="仿宋_GB2312" w:cs="仿宋_GB2312"/>
              </w:rPr>
              <w:t>标的名称</w:t>
            </w:r>
          </w:p>
        </w:tc>
        <w:tc>
          <w:tcPr>
            <w:tcW w:w="649" w:type="dxa"/>
            <w:vAlign w:val="center"/>
          </w:tcPr>
          <w:p w14:paraId="295B91CD">
            <w:pPr>
              <w:pStyle w:val="6"/>
              <w:jc w:val="center"/>
            </w:pPr>
            <w:r>
              <w:rPr>
                <w:rFonts w:ascii="仿宋_GB2312" w:hAnsi="仿宋_GB2312" w:eastAsia="仿宋_GB2312" w:cs="仿宋_GB2312"/>
              </w:rPr>
              <w:t>数量</w:t>
            </w:r>
          </w:p>
        </w:tc>
        <w:tc>
          <w:tcPr>
            <w:tcW w:w="1216" w:type="dxa"/>
            <w:vAlign w:val="center"/>
          </w:tcPr>
          <w:p w14:paraId="15F8D14A">
            <w:pPr>
              <w:pStyle w:val="6"/>
              <w:jc w:val="center"/>
            </w:pPr>
            <w:r>
              <w:rPr>
                <w:rFonts w:ascii="仿宋_GB2312" w:hAnsi="仿宋_GB2312" w:eastAsia="仿宋_GB2312" w:cs="仿宋_GB2312"/>
              </w:rPr>
              <w:t>标的金额 （元）</w:t>
            </w:r>
          </w:p>
        </w:tc>
        <w:tc>
          <w:tcPr>
            <w:tcW w:w="729" w:type="dxa"/>
            <w:vAlign w:val="center"/>
          </w:tcPr>
          <w:p w14:paraId="147349A9">
            <w:pPr>
              <w:pStyle w:val="6"/>
              <w:jc w:val="center"/>
            </w:pPr>
            <w:r>
              <w:rPr>
                <w:rFonts w:ascii="仿宋_GB2312" w:hAnsi="仿宋_GB2312" w:eastAsia="仿宋_GB2312" w:cs="仿宋_GB2312"/>
              </w:rPr>
              <w:t>计量单位</w:t>
            </w:r>
          </w:p>
        </w:tc>
        <w:tc>
          <w:tcPr>
            <w:tcW w:w="729" w:type="dxa"/>
            <w:vAlign w:val="center"/>
          </w:tcPr>
          <w:p w14:paraId="04012468">
            <w:pPr>
              <w:pStyle w:val="6"/>
              <w:jc w:val="center"/>
            </w:pPr>
            <w:r>
              <w:rPr>
                <w:rFonts w:ascii="仿宋_GB2312" w:hAnsi="仿宋_GB2312" w:eastAsia="仿宋_GB2312" w:cs="仿宋_GB2312"/>
              </w:rPr>
              <w:t>所属行业</w:t>
            </w:r>
          </w:p>
        </w:tc>
        <w:tc>
          <w:tcPr>
            <w:tcW w:w="729" w:type="dxa"/>
            <w:vAlign w:val="center"/>
          </w:tcPr>
          <w:p w14:paraId="31A5B60A">
            <w:pPr>
              <w:pStyle w:val="6"/>
              <w:jc w:val="center"/>
            </w:pPr>
            <w:r>
              <w:rPr>
                <w:rFonts w:ascii="仿宋_GB2312" w:hAnsi="仿宋_GB2312" w:eastAsia="仿宋_GB2312" w:cs="仿宋_GB2312"/>
              </w:rPr>
              <w:t>是否核心产品</w:t>
            </w:r>
          </w:p>
        </w:tc>
        <w:tc>
          <w:tcPr>
            <w:tcW w:w="729" w:type="dxa"/>
            <w:vAlign w:val="center"/>
          </w:tcPr>
          <w:p w14:paraId="64670ED1">
            <w:pPr>
              <w:pStyle w:val="6"/>
              <w:jc w:val="center"/>
            </w:pPr>
            <w:r>
              <w:rPr>
                <w:rFonts w:ascii="仿宋_GB2312" w:hAnsi="仿宋_GB2312" w:eastAsia="仿宋_GB2312" w:cs="仿宋_GB2312"/>
              </w:rPr>
              <w:t>是否允许进口产品</w:t>
            </w:r>
          </w:p>
        </w:tc>
        <w:tc>
          <w:tcPr>
            <w:tcW w:w="729" w:type="dxa"/>
            <w:vAlign w:val="center"/>
          </w:tcPr>
          <w:p w14:paraId="03434F18">
            <w:pPr>
              <w:pStyle w:val="6"/>
              <w:jc w:val="center"/>
            </w:pPr>
            <w:r>
              <w:rPr>
                <w:rFonts w:ascii="仿宋_GB2312" w:hAnsi="仿宋_GB2312" w:eastAsia="仿宋_GB2312" w:cs="仿宋_GB2312"/>
              </w:rPr>
              <w:t>是否属于节能产品</w:t>
            </w:r>
          </w:p>
        </w:tc>
        <w:tc>
          <w:tcPr>
            <w:tcW w:w="729" w:type="dxa"/>
            <w:vAlign w:val="center"/>
          </w:tcPr>
          <w:p w14:paraId="307F84BF">
            <w:pPr>
              <w:pStyle w:val="6"/>
              <w:jc w:val="center"/>
            </w:pPr>
            <w:r>
              <w:rPr>
                <w:rFonts w:ascii="仿宋_GB2312" w:hAnsi="仿宋_GB2312" w:eastAsia="仿宋_GB2312" w:cs="仿宋_GB2312"/>
              </w:rPr>
              <w:t>是否属于环境标志产品</w:t>
            </w:r>
          </w:p>
        </w:tc>
        <w:tc>
          <w:tcPr>
            <w:tcW w:w="730" w:type="dxa"/>
            <w:vAlign w:val="center"/>
          </w:tcPr>
          <w:p w14:paraId="6D5E0877">
            <w:pPr>
              <w:pStyle w:val="6"/>
              <w:jc w:val="center"/>
            </w:pPr>
            <w:r>
              <w:rPr>
                <w:rFonts w:ascii="仿宋_GB2312" w:hAnsi="仿宋_GB2312" w:eastAsia="仿宋_GB2312" w:cs="仿宋_GB2312"/>
              </w:rPr>
              <w:t>是否实施本国产品政策</w:t>
            </w:r>
          </w:p>
        </w:tc>
      </w:tr>
      <w:tr w14:paraId="11EDC5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6" w:type="dxa"/>
            <w:vAlign w:val="center"/>
          </w:tcPr>
          <w:p w14:paraId="67DFA6A7">
            <w:pPr>
              <w:pStyle w:val="6"/>
              <w:jc w:val="center"/>
            </w:pPr>
            <w:r>
              <w:rPr>
                <w:rFonts w:ascii="仿宋_GB2312" w:hAnsi="仿宋_GB2312" w:eastAsia="仿宋_GB2312" w:cs="仿宋_GB2312"/>
              </w:rPr>
              <w:t>1</w:t>
            </w:r>
          </w:p>
        </w:tc>
        <w:tc>
          <w:tcPr>
            <w:tcW w:w="1037" w:type="dxa"/>
            <w:vAlign w:val="center"/>
          </w:tcPr>
          <w:p w14:paraId="5A133B20">
            <w:pPr>
              <w:pStyle w:val="6"/>
              <w:jc w:val="center"/>
            </w:pPr>
            <w:r>
              <w:rPr>
                <w:rFonts w:hint="eastAsia" w:ascii="仿宋_GB2312" w:hAnsi="仿宋_GB2312" w:eastAsia="仿宋_GB2312" w:cs="仿宋_GB2312"/>
                <w:lang w:val="en-US" w:eastAsia="zh-CN"/>
              </w:rPr>
              <w:t>实验室设备及</w:t>
            </w:r>
            <w:r>
              <w:rPr>
                <w:rFonts w:hint="eastAsia" w:ascii="仿宋_GB2312" w:hAnsi="仿宋_GB2312" w:eastAsia="仿宋_GB2312" w:cs="仿宋_GB2312"/>
              </w:rPr>
              <w:t>智慧黑板</w:t>
            </w:r>
            <w:r>
              <w:rPr>
                <w:rFonts w:hint="eastAsia" w:ascii="仿宋_GB2312" w:hAnsi="仿宋_GB2312" w:eastAsia="仿宋_GB2312" w:cs="仿宋_GB2312"/>
                <w:lang w:val="en-US" w:eastAsia="zh-CN"/>
              </w:rPr>
              <w:t>等采购</w:t>
            </w:r>
          </w:p>
        </w:tc>
        <w:tc>
          <w:tcPr>
            <w:tcW w:w="649" w:type="dxa"/>
            <w:vAlign w:val="center"/>
          </w:tcPr>
          <w:p w14:paraId="0E59041E">
            <w:pPr>
              <w:pStyle w:val="6"/>
              <w:jc w:val="center"/>
            </w:pPr>
            <w:r>
              <w:rPr>
                <w:rFonts w:ascii="仿宋_GB2312" w:hAnsi="仿宋_GB2312" w:eastAsia="仿宋_GB2312" w:cs="仿宋_GB2312"/>
              </w:rPr>
              <w:t>1.00</w:t>
            </w:r>
          </w:p>
        </w:tc>
        <w:tc>
          <w:tcPr>
            <w:tcW w:w="1216" w:type="dxa"/>
            <w:vAlign w:val="center"/>
          </w:tcPr>
          <w:p w14:paraId="290CC95D">
            <w:pPr>
              <w:pStyle w:val="6"/>
              <w:jc w:val="center"/>
            </w:pPr>
            <w:r>
              <w:rPr>
                <w:rFonts w:hint="eastAsia" w:ascii="仿宋_GB2312" w:hAnsi="仿宋_GB2312" w:eastAsia="仿宋_GB2312" w:cs="仿宋_GB2312"/>
                <w:lang w:val="en-US" w:eastAsia="zh-CN"/>
              </w:rPr>
              <w:t>1060</w:t>
            </w:r>
            <w:r>
              <w:rPr>
                <w:rFonts w:ascii="仿宋_GB2312" w:hAnsi="仿宋_GB2312" w:eastAsia="仿宋_GB2312" w:cs="仿宋_GB2312"/>
              </w:rPr>
              <w:t>000.00</w:t>
            </w:r>
          </w:p>
        </w:tc>
        <w:tc>
          <w:tcPr>
            <w:tcW w:w="729" w:type="dxa"/>
            <w:vAlign w:val="center"/>
          </w:tcPr>
          <w:p w14:paraId="3D653D68">
            <w:pPr>
              <w:pStyle w:val="6"/>
              <w:jc w:val="center"/>
              <w:rPr>
                <w:rFonts w:hint="eastAsia" w:eastAsiaTheme="minorEastAsia"/>
                <w:lang w:eastAsia="zh-CN"/>
              </w:rPr>
            </w:pPr>
            <w:r>
              <w:rPr>
                <w:rFonts w:hint="eastAsia" w:ascii="仿宋_GB2312" w:hAnsi="仿宋_GB2312" w:eastAsia="仿宋_GB2312" w:cs="仿宋_GB2312"/>
                <w:lang w:val="en-US" w:eastAsia="zh-CN"/>
              </w:rPr>
              <w:t>批</w:t>
            </w:r>
          </w:p>
        </w:tc>
        <w:tc>
          <w:tcPr>
            <w:tcW w:w="729" w:type="dxa"/>
            <w:vAlign w:val="center"/>
          </w:tcPr>
          <w:p w14:paraId="4BA03387">
            <w:pPr>
              <w:pStyle w:val="6"/>
              <w:jc w:val="center"/>
            </w:pPr>
            <w:r>
              <w:rPr>
                <w:rFonts w:ascii="仿宋_GB2312" w:hAnsi="仿宋_GB2312" w:eastAsia="仿宋_GB2312" w:cs="仿宋_GB2312"/>
              </w:rPr>
              <w:t>工业</w:t>
            </w:r>
          </w:p>
        </w:tc>
        <w:tc>
          <w:tcPr>
            <w:tcW w:w="729" w:type="dxa"/>
            <w:vAlign w:val="center"/>
          </w:tcPr>
          <w:p w14:paraId="27BB9588">
            <w:pPr>
              <w:pStyle w:val="6"/>
              <w:jc w:val="center"/>
            </w:pPr>
            <w:r>
              <w:rPr>
                <w:rFonts w:ascii="仿宋_GB2312" w:hAnsi="仿宋_GB2312" w:eastAsia="仿宋_GB2312" w:cs="仿宋_GB2312"/>
              </w:rPr>
              <w:t>否</w:t>
            </w:r>
          </w:p>
        </w:tc>
        <w:tc>
          <w:tcPr>
            <w:tcW w:w="729" w:type="dxa"/>
            <w:vAlign w:val="center"/>
          </w:tcPr>
          <w:p w14:paraId="67C53EBA">
            <w:pPr>
              <w:pStyle w:val="6"/>
              <w:jc w:val="center"/>
            </w:pPr>
            <w:r>
              <w:rPr>
                <w:rFonts w:ascii="仿宋_GB2312" w:hAnsi="仿宋_GB2312" w:eastAsia="仿宋_GB2312" w:cs="仿宋_GB2312"/>
              </w:rPr>
              <w:t>否</w:t>
            </w:r>
          </w:p>
        </w:tc>
        <w:tc>
          <w:tcPr>
            <w:tcW w:w="729" w:type="dxa"/>
            <w:vAlign w:val="center"/>
          </w:tcPr>
          <w:p w14:paraId="26553B9C">
            <w:pPr>
              <w:pStyle w:val="6"/>
              <w:jc w:val="center"/>
            </w:pPr>
            <w:r>
              <w:rPr>
                <w:rFonts w:ascii="仿宋_GB2312" w:hAnsi="仿宋_GB2312" w:eastAsia="仿宋_GB2312" w:cs="仿宋_GB2312"/>
              </w:rPr>
              <w:t>否</w:t>
            </w:r>
          </w:p>
        </w:tc>
        <w:tc>
          <w:tcPr>
            <w:tcW w:w="729" w:type="dxa"/>
            <w:vAlign w:val="center"/>
          </w:tcPr>
          <w:p w14:paraId="7D280DFA">
            <w:pPr>
              <w:pStyle w:val="6"/>
              <w:jc w:val="center"/>
            </w:pPr>
            <w:r>
              <w:rPr>
                <w:rFonts w:ascii="仿宋_GB2312" w:hAnsi="仿宋_GB2312" w:eastAsia="仿宋_GB2312" w:cs="仿宋_GB2312"/>
              </w:rPr>
              <w:t>否</w:t>
            </w:r>
          </w:p>
        </w:tc>
        <w:tc>
          <w:tcPr>
            <w:tcW w:w="730" w:type="dxa"/>
            <w:vAlign w:val="center"/>
          </w:tcPr>
          <w:p w14:paraId="7E2DBD70">
            <w:pPr>
              <w:pStyle w:val="6"/>
              <w:jc w:val="center"/>
            </w:pPr>
            <w:r>
              <w:rPr>
                <w:rFonts w:ascii="仿宋_GB2312" w:hAnsi="仿宋_GB2312" w:eastAsia="仿宋_GB2312" w:cs="仿宋_GB2312"/>
              </w:rPr>
              <w:t>是</w:t>
            </w:r>
          </w:p>
        </w:tc>
      </w:tr>
    </w:tbl>
    <w:p w14:paraId="5A267ECB">
      <w:pPr>
        <w:pStyle w:val="6"/>
        <w:outlineLvl w:val="2"/>
        <w:rPr>
          <w:rFonts w:ascii="仿宋_GB2312" w:hAnsi="仿宋_GB2312" w:eastAsia="仿宋_GB2312" w:cs="仿宋_GB2312"/>
          <w:b/>
          <w:sz w:val="28"/>
        </w:rPr>
      </w:pPr>
      <w:r>
        <w:rPr>
          <w:rFonts w:ascii="仿宋_GB2312" w:hAnsi="仿宋_GB2312" w:eastAsia="仿宋_GB2312" w:cs="仿宋_GB2312"/>
          <w:b/>
          <w:sz w:val="28"/>
        </w:rPr>
        <w:t>3.3技术要求</w:t>
      </w:r>
    </w:p>
    <w:p w14:paraId="2C9C254E">
      <w:pPr>
        <w:pStyle w:val="6"/>
        <w:outlineLvl w:val="2"/>
        <w:rPr>
          <w:rFonts w:ascii="仿宋_GB2312" w:hAnsi="仿宋_GB2312" w:eastAsia="仿宋_GB2312" w:cs="仿宋_GB2312"/>
          <w:b/>
          <w:sz w:val="28"/>
        </w:rPr>
      </w:pPr>
      <w:r>
        <w:rPr>
          <w:rFonts w:ascii="仿宋_GB2312" w:hAnsi="仿宋_GB2312" w:eastAsia="仿宋_GB2312" w:cs="仿宋_GB2312"/>
        </w:rPr>
        <w:t>采购包1：</w:t>
      </w:r>
    </w:p>
    <w:p w14:paraId="550DE891">
      <w:pPr>
        <w:pStyle w:val="6"/>
        <w:rPr>
          <w:rFonts w:ascii="仿宋_GB2312" w:hAnsi="仿宋_GB2312" w:eastAsia="仿宋_GB2312" w:cs="仿宋_GB2312"/>
          <w:b/>
          <w:sz w:val="28"/>
        </w:rPr>
      </w:pPr>
      <w:r>
        <w:rPr>
          <w:rFonts w:ascii="仿宋_GB2312" w:hAnsi="仿宋_GB2312" w:eastAsia="仿宋_GB2312" w:cs="仿宋_GB2312"/>
        </w:rPr>
        <w:t>标的名称：</w:t>
      </w:r>
      <w:r>
        <w:rPr>
          <w:rFonts w:hint="eastAsia" w:ascii="仿宋_GB2312" w:hAnsi="仿宋_GB2312" w:eastAsia="仿宋_GB2312" w:cs="仿宋_GB2312"/>
        </w:rPr>
        <w:t>课桌椅、架子床</w:t>
      </w:r>
      <w:r>
        <w:rPr>
          <w:rFonts w:hint="eastAsia" w:ascii="仿宋_GB2312" w:hAnsi="仿宋_GB2312" w:eastAsia="仿宋_GB2312" w:cs="仿宋_GB2312"/>
          <w:lang w:val="en-US" w:eastAsia="zh-CN"/>
        </w:rPr>
        <w:t>等采购</w:t>
      </w:r>
    </w:p>
    <w:tbl>
      <w:tblPr>
        <w:tblStyle w:val="4"/>
        <w:tblpPr w:leftFromText="180" w:rightFromText="180" w:vertAnchor="text" w:horzAnchor="page" w:tblpX="1790" w:tblpY="286"/>
        <w:tblOverlap w:val="neve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7"/>
        <w:gridCol w:w="966"/>
        <w:gridCol w:w="917"/>
        <w:gridCol w:w="780"/>
        <w:gridCol w:w="5162"/>
      </w:tblGrid>
      <w:tr w14:paraId="7D4DD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71194">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序号</w:t>
            </w:r>
          </w:p>
        </w:tc>
        <w:tc>
          <w:tcPr>
            <w:tcW w:w="5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2F806">
            <w:pPr>
              <w:keepNext w:val="0"/>
              <w:keepLines w:val="0"/>
              <w:widowControl/>
              <w:suppressLineNumbers w:val="0"/>
              <w:spacing w:line="360" w:lineRule="auto"/>
              <w:jc w:val="center"/>
              <w:textAlignment w:val="center"/>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单位</w:t>
            </w:r>
          </w:p>
          <w:p w14:paraId="64EE466E">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名称</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97AAC">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名称</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02F5A">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数量</w:t>
            </w:r>
          </w:p>
        </w:tc>
        <w:tc>
          <w:tcPr>
            <w:tcW w:w="30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0EDED">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参数</w:t>
            </w:r>
          </w:p>
        </w:tc>
      </w:tr>
      <w:tr w14:paraId="673EC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3"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49AC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566" w:type="pct"/>
            <w:tcBorders>
              <w:top w:val="single" w:color="000000" w:sz="4" w:space="0"/>
              <w:left w:val="nil"/>
              <w:bottom w:val="single" w:color="000000" w:sz="4" w:space="0"/>
              <w:right w:val="single" w:color="000000" w:sz="4" w:space="0"/>
            </w:tcBorders>
            <w:shd w:val="clear" w:color="auto" w:fill="auto"/>
            <w:noWrap/>
            <w:vAlign w:val="center"/>
          </w:tcPr>
          <w:p w14:paraId="314683C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城关中学</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C3DE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课桌椅</w:t>
            </w:r>
            <w:r>
              <w:rPr>
                <w:rFonts w:hint="eastAsia" w:ascii="仿宋" w:hAnsi="仿宋" w:eastAsia="仿宋" w:cs="仿宋"/>
                <w:b/>
                <w:bCs/>
                <w:i w:val="0"/>
                <w:iCs w:val="0"/>
                <w:color w:val="000000"/>
                <w:kern w:val="0"/>
                <w:sz w:val="20"/>
                <w:szCs w:val="20"/>
                <w:u w:val="none"/>
                <w:lang w:val="en-US" w:eastAsia="zh-CN" w:bidi="ar"/>
              </w:rPr>
              <w:t>（核心产品）</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992B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1000</w:t>
            </w:r>
          </w:p>
        </w:tc>
        <w:tc>
          <w:tcPr>
            <w:tcW w:w="3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5304F">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一、课桌规格：整体尺寸650*450*780（±5mm）；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1、桌面：参考尺寸650mm*450mm*18mm，桌面采用高密度板，桌面板四周边沿采用环保PP塑料一体成型封边工艺，桌面靠胸部PP注塑鸭嘴边设计；桌面前半部沿带笔槽。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2、桌斗：采用厚度≥0.8mm冷轧钢冲压成型，桌斗底部设有凹槽。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3、桌下架：采用≥1.2mm钢管。</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4.桌上架：立柱间采用≥1.2mm圆管，桌面下方焊接书包挂钩。</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5、脚垫：采用改性PP塑料制作。前脚垫带有自锁装置，后脚垫用螺丝与桌架连接。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二、课椅部分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1、靠背板：≥405*245mm，厚度≥3.5mm。采用改性PP塑料空吹塑成型。设有透气孔。靠背反面均设有加强筋。所有材料必须达到环保要求，不含重金属及其他有毒有害物质。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 xml:space="preserve">2、座板：≥400*380mm，厚度≥3.5mm。采用改性PP塑料空吹塑成型，有网状细孔。座板底部均设有加强筋。所有材料必须达到环保要求，不含重金属及其他有毒有害物质。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3、椅架：采用≥1.2mm钢管。焊接4片方形带孔铁片，固定座板。</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4、脚垫：采用改性PP塑料制作。前脚垫带有自锁装置，后脚垫用螺丝与桌架连接。</w:t>
            </w:r>
          </w:p>
          <w:p w14:paraId="5A19121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三、表面处理工艺</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桌架、椅架表面采用脱脂、磷化、钝化处理，粉末喷塑处理。</w:t>
            </w:r>
          </w:p>
        </w:tc>
      </w:tr>
      <w:tr w14:paraId="0449C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40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E5F2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566" w:type="pct"/>
            <w:vMerge w:val="restart"/>
            <w:tcBorders>
              <w:top w:val="single" w:color="000000" w:sz="4" w:space="0"/>
              <w:left w:val="nil"/>
              <w:bottom w:val="single" w:color="000000" w:sz="4" w:space="0"/>
              <w:right w:val="single" w:color="000000" w:sz="4" w:space="0"/>
            </w:tcBorders>
            <w:shd w:val="clear" w:color="auto" w:fill="auto"/>
            <w:noWrap/>
            <w:vAlign w:val="center"/>
          </w:tcPr>
          <w:p w14:paraId="24FD478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白鹿原中学</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8E07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课桌椅</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5FCF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300</w:t>
            </w:r>
          </w:p>
        </w:tc>
        <w:tc>
          <w:tcPr>
            <w:tcW w:w="3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7E6C">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一、课桌规格：整体尺寸650*450*780（±5mm）；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1、桌面：≥650mm*450mm*18mm，桌面采用高密度板，桌面板四周边沿采用环保PP塑料一体成型封边工艺，桌面靠胸部PP注塑鸭嘴边设计；桌面前半部沿带笔槽。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2、桌斗：采用厚度0.8mm冷轧钢冲压成型，桌斗底部设有凹槽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3、桌架：采用≥1.2mm钢管制作，桌面下方焊接书包挂钩。</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4、脚垫：采用改性PP塑料制作。前脚垫带有自锁装置，后脚垫用螺丝与桌架连接。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二、课椅部分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1、靠背板：≥405*245mm，厚度≥3.5mm。采用改性PP塑料空吹塑成型。设有透气孔。靠背反面均设有加强筋。所有材料必须达到环保要求，不含重金属及其他有毒有害物质。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 xml:space="preserve">2、座板：400*380mm，厚度≥3.5mm。采用改性PP塑料空吹塑成型，有网状细孔。座板底部均设有加强筋。所有材料必须达到环保要求，不含重金属及其他有毒有害物质。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3、椅架：采用≥1.2mm钢管。座板U型托架焊接4片方形带孔铁片。</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4、脚垫：采用改性PP塑料制作。前脚垫带有自锁装置，后脚垫用螺丝与桌架连接。</w:t>
            </w:r>
          </w:p>
          <w:p w14:paraId="30374C9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三、表面处理工艺</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桌架、椅架表面采用脱脂、磷化、钝化处理，粉末喷塑处理。</w:t>
            </w:r>
          </w:p>
        </w:tc>
      </w:tr>
      <w:tr w14:paraId="34E25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0" w:hRule="atLeast"/>
        </w:trPr>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A2D83">
            <w:pPr>
              <w:spacing w:line="360" w:lineRule="auto"/>
              <w:jc w:val="center"/>
              <w:rPr>
                <w:rFonts w:hint="eastAsia" w:ascii="仿宋" w:hAnsi="仿宋" w:eastAsia="仿宋" w:cs="仿宋"/>
                <w:i w:val="0"/>
                <w:iCs w:val="0"/>
                <w:color w:val="000000"/>
                <w:sz w:val="20"/>
                <w:szCs w:val="20"/>
                <w:u w:val="none"/>
              </w:rPr>
            </w:pPr>
          </w:p>
        </w:tc>
        <w:tc>
          <w:tcPr>
            <w:tcW w:w="566" w:type="pct"/>
            <w:vMerge w:val="continue"/>
            <w:tcBorders>
              <w:top w:val="single" w:color="000000" w:sz="4" w:space="0"/>
              <w:left w:val="nil"/>
              <w:bottom w:val="single" w:color="000000" w:sz="4" w:space="0"/>
              <w:right w:val="single" w:color="000000" w:sz="4" w:space="0"/>
            </w:tcBorders>
            <w:shd w:val="clear" w:color="auto" w:fill="auto"/>
            <w:noWrap/>
            <w:vAlign w:val="center"/>
          </w:tcPr>
          <w:p w14:paraId="1F14B7A2">
            <w:pPr>
              <w:spacing w:line="360" w:lineRule="auto"/>
              <w:jc w:val="center"/>
              <w:rPr>
                <w:rFonts w:hint="eastAsia" w:ascii="仿宋" w:hAnsi="仿宋" w:eastAsia="仿宋" w:cs="仿宋"/>
                <w:i w:val="0"/>
                <w:iCs w:val="0"/>
                <w:color w:val="000000"/>
                <w:sz w:val="20"/>
                <w:szCs w:val="20"/>
                <w:u w:val="none"/>
              </w:rPr>
            </w:pP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F968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学生架子床</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A9E1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3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F099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一、规格： 整体规格：≥2000mm（长）×900mm（宽）×1800mm（高）</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二、床头主管采用≥1.2mm钢管制作，床头撑采用≥0.7mm厚钢管 ，上下配工艺配件。</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三、床框主管采用≥1.2mm厚的钢管，床铺撑采用≥0.7mm厚的钢管.</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四、床板厚度均匀，≥20mm厚。</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五、床头，床铺采用螺丝连接。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六、脚套采用工程塑胶注塑成型。</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七、表面处理工艺</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表面采用脱脂、磷化、钝化处理，粉末喷涂保护。</w:t>
            </w:r>
          </w:p>
        </w:tc>
      </w:tr>
      <w:tr w14:paraId="06585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0" w:hRule="atLeast"/>
        </w:trPr>
        <w:tc>
          <w:tcPr>
            <w:tcW w:w="40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8804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566" w:type="pct"/>
            <w:vMerge w:val="restart"/>
            <w:tcBorders>
              <w:top w:val="single" w:color="000000" w:sz="4" w:space="0"/>
              <w:left w:val="nil"/>
              <w:bottom w:val="single" w:color="000000" w:sz="4" w:space="0"/>
              <w:right w:val="single" w:color="000000" w:sz="4" w:space="0"/>
            </w:tcBorders>
            <w:shd w:val="clear" w:color="auto" w:fill="auto"/>
            <w:noWrap/>
            <w:vAlign w:val="center"/>
          </w:tcPr>
          <w:p w14:paraId="624E0D3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焦岱中学</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7990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课桌椅</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866F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w:t>
            </w:r>
          </w:p>
        </w:tc>
        <w:tc>
          <w:tcPr>
            <w:tcW w:w="3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09526">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一、课桌规格：整体尺寸650*450*780（±5mm）；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1、桌面：≥650mm*450mm*18mm，桌面采用高密度板，桌面板四周边沿采用环保PP塑料一体成型封边工艺，桌面靠胸部PP注塑鸭嘴边设计；桌面前半部沿带笔槽。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2、桌斗：采用厚度≥0.8mm冷轧钢冲压成型，桌斗底部设有凹槽。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3、桌架：采用≥1.2mm钢管制作。桌面下方焊接书包挂钩。</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4、脚垫：采用改性PP塑料制作。前脚垫带有自锁装置，后脚垫用螺丝与桌架连接。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二、课椅部分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1、靠背板：≥405*245mm，厚度≥3.5mm。采用改性PP塑料空吹塑成型。具有透气孔。靠背反面均设有加强筋。所有材料必须达到环保要求，不含重金属及其他有毒有害物质。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 xml:space="preserve">2、座板：≥400*380mm，厚度≥3.5mm。采用改性PP塑料空吹塑成型，有网状细孔。座板底部均设有加强筋。所有材料必须达到环保要求，不含重金属及其他有毒有害物质。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3、椅架：采用≥1.2mm钢管。座板U型托架焊接4片方形带孔铁片，固定座板。</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4、脚垫：采用改性PP塑料制作。前脚垫带有自锁装置，后脚垫用螺丝与桌架连接。</w:t>
            </w:r>
          </w:p>
          <w:p w14:paraId="76480E88">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三、表面处理工艺</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桌架、椅架表面采用脱脂、磷化、钝化处理，粉末喷塑处理。</w:t>
            </w:r>
          </w:p>
        </w:tc>
      </w:tr>
      <w:tr w14:paraId="46344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D5C34">
            <w:pPr>
              <w:spacing w:line="360" w:lineRule="auto"/>
              <w:jc w:val="center"/>
              <w:rPr>
                <w:rFonts w:hint="eastAsia" w:ascii="仿宋" w:hAnsi="仿宋" w:eastAsia="仿宋" w:cs="仿宋"/>
                <w:i w:val="0"/>
                <w:iCs w:val="0"/>
                <w:color w:val="000000"/>
                <w:sz w:val="20"/>
                <w:szCs w:val="20"/>
                <w:u w:val="none"/>
              </w:rPr>
            </w:pPr>
          </w:p>
        </w:tc>
        <w:tc>
          <w:tcPr>
            <w:tcW w:w="566" w:type="pct"/>
            <w:vMerge w:val="continue"/>
            <w:tcBorders>
              <w:top w:val="single" w:color="000000" w:sz="4" w:space="0"/>
              <w:left w:val="nil"/>
              <w:bottom w:val="single" w:color="000000" w:sz="4" w:space="0"/>
              <w:right w:val="single" w:color="000000" w:sz="4" w:space="0"/>
            </w:tcBorders>
            <w:shd w:val="clear" w:color="auto" w:fill="auto"/>
            <w:noWrap/>
            <w:vAlign w:val="center"/>
          </w:tcPr>
          <w:p w14:paraId="5C4EF3D9">
            <w:pPr>
              <w:spacing w:line="360" w:lineRule="auto"/>
              <w:jc w:val="center"/>
              <w:rPr>
                <w:rFonts w:hint="eastAsia" w:ascii="仿宋" w:hAnsi="仿宋" w:eastAsia="仿宋" w:cs="仿宋"/>
                <w:i w:val="0"/>
                <w:iCs w:val="0"/>
                <w:color w:val="000000"/>
                <w:sz w:val="20"/>
                <w:szCs w:val="20"/>
                <w:u w:val="none"/>
              </w:rPr>
            </w:pP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BCE5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学生架子床</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B88F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3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99F2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一、规格：整体规格：2000mm（长）×900mm（宽）×1800mm（高）</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二、床头主管采用≥1.2mm厚方管，床头撑采用≥0.7mm厚方管 ，上下配工艺配件。</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三、床框主管采用≥1.2mm厚的钢管，床铺撑采用≥0.7mm厚的钢管；</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四、床板厚度均匀，≥20mm厚。</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五、床头，床铺采用螺丝连接。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六、脚套采用工程塑胶注塑成型脚套。</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七、表面处理工艺</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桌架、椅架表面采用脱脂、磷化、钝化处理，粉末喷塑处理。</w:t>
            </w:r>
          </w:p>
        </w:tc>
      </w:tr>
      <w:tr w14:paraId="02D41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5"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156D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566" w:type="pct"/>
            <w:tcBorders>
              <w:top w:val="single" w:color="000000" w:sz="4" w:space="0"/>
              <w:left w:val="nil"/>
              <w:bottom w:val="single" w:color="000000" w:sz="4" w:space="0"/>
              <w:right w:val="single" w:color="000000" w:sz="4" w:space="0"/>
            </w:tcBorders>
            <w:shd w:val="clear" w:color="auto" w:fill="auto"/>
            <w:noWrap/>
            <w:vAlign w:val="center"/>
          </w:tcPr>
          <w:p w14:paraId="7B99C4C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田家炳中学</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8727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学生架子床</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EAE9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375</w:t>
            </w:r>
          </w:p>
        </w:tc>
        <w:tc>
          <w:tcPr>
            <w:tcW w:w="3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7310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一、规格：整体规格：2000mm（长）×900mm（宽）×1800mm（高）</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二、床头主管采用≥1.2mm厚方管，床头撑采用≥0.7mm厚方管 ，上下配工艺配件。</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三、床框主管采用≥1.2mm厚的钢管，床铺撑采用≥0.7mm厚的钢管</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四、床板厚度均匀，≥20mm厚。</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五、床头，床铺采用螺丝连接。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六、脚套采用工程塑胶注塑成型脚套。</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七，表面处理工艺</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桌架、椅架表面采用脱脂、磷化、钝化处理，粉末喷塑处理。</w:t>
            </w:r>
          </w:p>
        </w:tc>
      </w:tr>
      <w:tr w14:paraId="0A995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9"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B62E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566" w:type="pct"/>
            <w:tcBorders>
              <w:top w:val="single" w:color="000000" w:sz="4" w:space="0"/>
              <w:left w:val="nil"/>
              <w:bottom w:val="single" w:color="000000" w:sz="4" w:space="0"/>
              <w:right w:val="single" w:color="000000" w:sz="4" w:space="0"/>
            </w:tcBorders>
            <w:shd w:val="clear" w:color="auto" w:fill="auto"/>
            <w:noWrap/>
            <w:vAlign w:val="center"/>
          </w:tcPr>
          <w:p w14:paraId="79A38C6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玉山中学</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9865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课桌椅</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41EA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300</w:t>
            </w:r>
          </w:p>
        </w:tc>
        <w:tc>
          <w:tcPr>
            <w:tcW w:w="3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520F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一、课桌规格：整体尺寸650*450*780（±5mm）；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1、桌面：≥650mm*450mm*18mm，桌面采用高密度板，桌面板四周边沿采用环保PP塑料一体成型封边工艺，桌面靠胸部PP注塑鸭嘴边设计；桌面前半部沿带笔槽。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2、桌斗：采用厚度≥0.8mm冷轧钢冲压成型，桌斗底部设有凹槽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3、桌架：采用≥1.2mm钢管制作，桌面下方焊接书包挂钩。</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4、脚垫：采用改性PP塑料制作。前脚垫带有自锁装置，后脚垫用螺丝与桌架连接。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二、课椅部分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1、靠背板：405*245mm，厚度≥3.5mm。采用改性PP塑料空吹塑成型。具有透气孔。靠背反面均设有加强筋。所有材料必须达到环保要求，不含重金属及其他有毒有害物质。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 xml:space="preserve">2、座板：≥400*380mm，厚度≥3.5mm。采用改性PP塑料空吹塑成型，有网状细孔。座板底部均设有加强筋。所有材料必须达到环保要求，不含重金属及其他有毒有害物质。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3、椅架：采用≥1.2mm钢管。座板U型托架焊接4片方形带孔铁片，固定座板。</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4、脚垫：采用改性PP塑料制作。前脚垫带有自锁装置，后脚垫用螺丝与桌架连接。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三、表面处理工艺</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桌架、椅架表面采用脱脂、磷化、钝化处理，粉末喷塑处理。</w:t>
            </w:r>
          </w:p>
        </w:tc>
      </w:tr>
      <w:tr w14:paraId="418FA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trPr>
        <w:tc>
          <w:tcPr>
            <w:tcW w:w="40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8020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56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DC35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洩湖中学</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75CF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课桌椅</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A834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300</w:t>
            </w:r>
          </w:p>
        </w:tc>
        <w:tc>
          <w:tcPr>
            <w:tcW w:w="3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E275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一、课桌规格：整体尺寸650*450*780（±5mm）；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1、桌面：≥650mm*450mm*18mm，桌面采用高密度板，桌面板四周边沿采用环保PP塑料一体成型封边工艺，桌面靠胸部PP注塑鸭嘴边设计；桌面前半部沿带笔槽。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2、桌斗：采用厚度≥0.8mm冷轧钢冲压成型，桌斗底部设有凹槽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3、桌架：采用≥1.2mm钢管，桌面下方焊接书包挂钩。</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4、脚垫：采用改性PP塑料制作。前脚垫带有自锁装置，后脚垫用螺丝与桌架连接。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二、课椅部分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1、靠背板：≥405*245mm，厚度≥3.5mm。采用改性PP塑料空吹塑成型。具有透气孔。靠背反面均设有加强筋。所有材料必须达到环保要求，不含重金属及其他有毒有害物质。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 xml:space="preserve">2、座板：≥400*380mm，厚度≥3.5mm。采用改性PP塑料空吹塑成型，有网状细孔。座板底部均设有加强筋。所有材料必须达到环保要求，不含重金属及其他有毒有害物质。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3、椅架：采用≥1.2mm钢管制作。座板U型托架焊接4片方形带孔铁片，固定座板。</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4、脚垫：采用改性PP塑料制作。前脚垫带有自锁装置，后脚垫用螺丝与桌架连接。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三、表面处理工艺</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桌架、椅架表面采用脱脂、磷化、钝化处理，粉末喷塑处理。</w:t>
            </w:r>
          </w:p>
        </w:tc>
      </w:tr>
      <w:tr w14:paraId="5C816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8" w:hRule="atLeast"/>
        </w:trPr>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30607">
            <w:pPr>
              <w:spacing w:line="360" w:lineRule="auto"/>
              <w:jc w:val="center"/>
              <w:rPr>
                <w:rFonts w:hint="eastAsia" w:ascii="仿宋" w:hAnsi="仿宋" w:eastAsia="仿宋" w:cs="仿宋"/>
                <w:i w:val="0"/>
                <w:iCs w:val="0"/>
                <w:color w:val="000000"/>
                <w:sz w:val="20"/>
                <w:szCs w:val="20"/>
                <w:u w:val="none"/>
              </w:rPr>
            </w:pPr>
          </w:p>
        </w:tc>
        <w:tc>
          <w:tcPr>
            <w:tcW w:w="56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F5AD0">
            <w:pPr>
              <w:spacing w:line="360" w:lineRule="auto"/>
              <w:jc w:val="center"/>
              <w:rPr>
                <w:rFonts w:hint="eastAsia" w:ascii="仿宋" w:hAnsi="仿宋" w:eastAsia="仿宋" w:cs="仿宋"/>
                <w:i w:val="0"/>
                <w:iCs w:val="0"/>
                <w:color w:val="000000"/>
                <w:sz w:val="20"/>
                <w:szCs w:val="20"/>
                <w:u w:val="none"/>
              </w:rPr>
            </w:pP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9F9F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学生架子床</w:t>
            </w: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F5FF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3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E06D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一、规格：整体规格：2000mm（长）×900mm（宽）×1800mm（高）</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二、床头主管采用≥1.2mm厚方管，床头撑采用≥0.7mm厚方管 ，上下配工艺配件。</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三、床框主管采用≥1.2mm厚的钢管，床铺撑采用≥0.7mm厚的钢管.</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四、床板厚度均匀，≥20mm厚。</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五、床头，床铺采用螺丝连接。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六、脚套采用工程塑胶注塑成型脚套。</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七、表面处理工艺</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桌架、椅架表面采用脱脂、磷化、钝化处理，粉末喷塑处理。</w:t>
            </w:r>
          </w:p>
        </w:tc>
      </w:tr>
      <w:tr w14:paraId="6946C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8" w:hRule="atLeast"/>
        </w:trPr>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13B4E">
            <w:pPr>
              <w:spacing w:line="360" w:lineRule="auto"/>
              <w:jc w:val="center"/>
              <w:rPr>
                <w:rFonts w:hint="eastAsia" w:ascii="仿宋" w:hAnsi="仿宋" w:eastAsia="仿宋" w:cs="仿宋"/>
                <w:i w:val="0"/>
                <w:iCs w:val="0"/>
                <w:color w:val="000000"/>
                <w:sz w:val="20"/>
                <w:szCs w:val="20"/>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5896F">
            <w:pPr>
              <w:spacing w:line="360" w:lineRule="auto"/>
              <w:jc w:val="center"/>
              <w:rPr>
                <w:rFonts w:hint="eastAsia" w:ascii="仿宋" w:hAnsi="仿宋" w:eastAsia="仿宋" w:cs="仿宋"/>
                <w:i w:val="0"/>
                <w:iCs w:val="0"/>
                <w:color w:val="000000"/>
                <w:sz w:val="20"/>
                <w:szCs w:val="20"/>
                <w:u w:val="none"/>
              </w:rPr>
            </w:pP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4FC13">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0"/>
                <w:szCs w:val="20"/>
                <w:u w:val="none"/>
                <w:lang w:val="en-US" w:eastAsia="zh-CN" w:bidi="ar"/>
              </w:rPr>
            </w:pPr>
          </w:p>
        </w:tc>
        <w:tc>
          <w:tcPr>
            <w:tcW w:w="4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AD88E">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0"/>
                <w:szCs w:val="20"/>
                <w:u w:val="none"/>
                <w:lang w:val="en-US" w:eastAsia="zh-CN" w:bidi="ar"/>
              </w:rPr>
            </w:pPr>
          </w:p>
        </w:tc>
        <w:tc>
          <w:tcPr>
            <w:tcW w:w="30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09E36">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其他要求：</w:t>
            </w:r>
          </w:p>
          <w:p w14:paraId="642CD8C5">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lang w:val="en-US" w:eastAsia="zh-CN" w:bidi="ar"/>
              </w:rPr>
              <w:t>1、</w:t>
            </w:r>
            <w:r>
              <w:rPr>
                <w:rFonts w:hint="eastAsia" w:ascii="仿宋" w:hAnsi="仿宋" w:eastAsia="仿宋" w:cs="仿宋"/>
                <w:i w:val="0"/>
                <w:iCs w:val="0"/>
                <w:color w:val="000000"/>
                <w:kern w:val="0"/>
                <w:sz w:val="20"/>
                <w:szCs w:val="20"/>
                <w:highlight w:val="none"/>
                <w:u w:val="none"/>
                <w:lang w:val="en-US" w:eastAsia="zh-CN" w:bidi="ar"/>
              </w:rPr>
              <w:t>本次项目内容包含原有旧课桌椅及学生架子床的拆除。</w:t>
            </w:r>
          </w:p>
          <w:p w14:paraId="755D71FC">
            <w:pPr>
              <w:keepNext w:val="0"/>
              <w:keepLines w:val="0"/>
              <w:widowControl/>
              <w:numPr>
                <w:ilvl w:val="0"/>
                <w:numId w:val="0"/>
              </w:numPr>
              <w:suppressLineNumbers w:val="0"/>
              <w:spacing w:line="360" w:lineRule="auto"/>
              <w:jc w:val="left"/>
              <w:textAlignment w:val="center"/>
              <w:rPr>
                <w:rFonts w:hint="default" w:ascii="仿宋" w:hAnsi="仿宋" w:eastAsia="仿宋" w:cs="仿宋"/>
                <w:i w:val="0"/>
                <w:iCs w:val="0"/>
                <w:color w:val="000000"/>
                <w:kern w:val="0"/>
                <w:sz w:val="20"/>
                <w:szCs w:val="20"/>
                <w:u w:val="none"/>
                <w:lang w:val="en-US" w:eastAsia="zh-CN" w:bidi="ar"/>
              </w:rPr>
            </w:pPr>
            <w:r>
              <w:rPr>
                <w:rFonts w:hint="default" w:ascii="仿宋" w:hAnsi="仿宋" w:eastAsia="仿宋" w:cs="仿宋"/>
                <w:i w:val="0"/>
                <w:iCs w:val="0"/>
                <w:color w:val="000000"/>
                <w:kern w:val="0"/>
                <w:sz w:val="20"/>
                <w:szCs w:val="20"/>
                <w:highlight w:val="none"/>
                <w:lang w:val="en-US" w:eastAsia="zh-CN" w:bidi="ar"/>
              </w:rPr>
              <w:t>2、</w:t>
            </w:r>
            <w:r>
              <w:rPr>
                <w:rFonts w:hint="eastAsia" w:ascii="仿宋" w:hAnsi="仿宋" w:eastAsia="仿宋" w:cs="仿宋"/>
                <w:i w:val="0"/>
                <w:iCs w:val="0"/>
                <w:color w:val="000000"/>
                <w:kern w:val="0"/>
                <w:sz w:val="20"/>
                <w:szCs w:val="20"/>
                <w:highlight w:val="none"/>
                <w:u w:val="none"/>
                <w:lang w:val="en-US" w:eastAsia="zh-CN" w:bidi="ar"/>
              </w:rPr>
              <w:t>项目实施完成后供应商须出具符合《民用建筑工程室内环境污染控制标准》（GB 50325-2020）、《室内空气质量标准》（GB/T 18883-2022）的相关检测报告。</w:t>
            </w:r>
          </w:p>
        </w:tc>
      </w:tr>
    </w:tbl>
    <w:p w14:paraId="710C3A3B">
      <w:pPr>
        <w:pStyle w:val="6"/>
        <w:rPr>
          <w:rFonts w:hint="eastAsia" w:ascii="仿宋_GB2312" w:hAnsi="仿宋_GB2312" w:eastAsia="仿宋_GB2312" w:cs="仿宋_GB2312"/>
          <w:lang w:val="en-US" w:eastAsia="zh-CN"/>
        </w:rPr>
      </w:pPr>
    </w:p>
    <w:p w14:paraId="474E3313">
      <w:pPr>
        <w:pStyle w:val="6"/>
      </w:pPr>
      <w:r>
        <w:rPr>
          <w:rFonts w:ascii="仿宋_GB2312" w:hAnsi="仿宋_GB2312" w:eastAsia="仿宋_GB2312" w:cs="仿宋_GB2312"/>
        </w:rPr>
        <w:t>采购包</w:t>
      </w:r>
      <w:r>
        <w:rPr>
          <w:rFonts w:hint="eastAsia" w:ascii="仿宋_GB2312" w:hAnsi="仿宋_GB2312" w:eastAsia="仿宋_GB2312" w:cs="仿宋_GB2312"/>
          <w:lang w:val="en-US" w:eastAsia="zh-CN"/>
        </w:rPr>
        <w:t>2</w:t>
      </w:r>
      <w:r>
        <w:rPr>
          <w:rFonts w:ascii="仿宋_GB2312" w:hAnsi="仿宋_GB2312" w:eastAsia="仿宋_GB2312" w:cs="仿宋_GB2312"/>
        </w:rPr>
        <w:t>：</w:t>
      </w:r>
    </w:p>
    <w:p w14:paraId="1E75C1D7">
      <w:pPr>
        <w:pStyle w:val="6"/>
        <w:rPr>
          <w:rFonts w:hint="eastAsia" w:ascii="仿宋_GB2312" w:hAnsi="仿宋_GB2312" w:eastAsia="仿宋_GB2312" w:cs="仿宋_GB2312"/>
          <w:lang w:val="en-US" w:eastAsia="zh-CN"/>
        </w:rPr>
      </w:pPr>
      <w:r>
        <w:rPr>
          <w:rFonts w:ascii="仿宋_GB2312" w:hAnsi="仿宋_GB2312" w:eastAsia="仿宋_GB2312" w:cs="仿宋_GB2312"/>
        </w:rPr>
        <w:t>标的名称：</w:t>
      </w:r>
      <w:r>
        <w:rPr>
          <w:rFonts w:hint="eastAsia" w:ascii="仿宋_GB2312" w:hAnsi="仿宋_GB2312" w:eastAsia="仿宋_GB2312" w:cs="仿宋_GB2312"/>
          <w:lang w:val="en-US" w:eastAsia="zh-CN"/>
        </w:rPr>
        <w:t>实验室设备及</w:t>
      </w:r>
      <w:r>
        <w:rPr>
          <w:rFonts w:hint="eastAsia" w:ascii="仿宋_GB2312" w:hAnsi="仿宋_GB2312" w:eastAsia="仿宋_GB2312" w:cs="仿宋_GB2312"/>
        </w:rPr>
        <w:t>智慧黑板</w:t>
      </w:r>
      <w:r>
        <w:rPr>
          <w:rFonts w:hint="eastAsia" w:ascii="仿宋_GB2312" w:hAnsi="仿宋_GB2312" w:eastAsia="仿宋_GB2312" w:cs="仿宋_GB2312"/>
          <w:lang w:val="en-US" w:eastAsia="zh-CN"/>
        </w:rPr>
        <w:t>等采购</w:t>
      </w:r>
    </w:p>
    <w:p w14:paraId="4E6DC4F9">
      <w:pPr>
        <w:pStyle w:val="6"/>
        <w:rPr>
          <w:rFonts w:hint="default"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1.职教中心</w:t>
      </w:r>
    </w:p>
    <w:tbl>
      <w:tblPr>
        <w:tblStyle w:val="4"/>
        <w:tblpPr w:leftFromText="180" w:rightFromText="180" w:vertAnchor="text" w:horzAnchor="page" w:tblpX="1800" w:tblpY="292"/>
        <w:tblOverlap w:val="neve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7"/>
        <w:gridCol w:w="973"/>
        <w:gridCol w:w="1256"/>
        <w:gridCol w:w="874"/>
        <w:gridCol w:w="4962"/>
      </w:tblGrid>
      <w:tr w14:paraId="016A1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F8B1E">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序号</w:t>
            </w: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F0BF6">
            <w:pPr>
              <w:keepNext w:val="0"/>
              <w:keepLines w:val="0"/>
              <w:widowControl/>
              <w:suppressLineNumbers w:val="0"/>
              <w:spacing w:line="360" w:lineRule="auto"/>
              <w:jc w:val="center"/>
              <w:textAlignment w:val="center"/>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单位</w:t>
            </w:r>
          </w:p>
          <w:p w14:paraId="370CB3B2">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名称</w:t>
            </w: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D4001">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名称</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F14A1">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数量</w:t>
            </w:r>
          </w:p>
        </w:tc>
        <w:tc>
          <w:tcPr>
            <w:tcW w:w="29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E462C">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参数</w:t>
            </w:r>
          </w:p>
        </w:tc>
      </w:tr>
      <w:tr w14:paraId="5EC66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8DD7E7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职教中心</w:t>
            </w:r>
          </w:p>
        </w:tc>
      </w:tr>
      <w:tr w14:paraId="11647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0" w:hRule="atLeast"/>
        </w:trPr>
        <w:tc>
          <w:tcPr>
            <w:tcW w:w="2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00F40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物理电学实验室</w:t>
            </w:r>
          </w:p>
        </w:tc>
        <w:tc>
          <w:tcPr>
            <w:tcW w:w="57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63DE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教师控制演示区</w:t>
            </w: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919B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实验桌（教师演示台）</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85E4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B2C7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整体规格：≥2500mm×700mm×900mm，由台面、储物柜，抽屉架组成；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1、台面：规格≥2400mm×650mm×12.7mm；采用实芯理化板，整体为高温高压成型的均质实芯结构；台面表层有压纹，一体热压成型；台面四周边缘经圆弧倒角处理；采用三侧嵌入式结构；</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 xml:space="preserve">2、储物柜：配有3个储物柜，柜体均为全钢结构，采用≥1.0mm厚冷轧钢板，表层经酸洗、磷化、环氧树脂粉末喷涂处理；边缘做倒角设计；柜门：主体采用双层冷轧钢板装配成型，内附蜂窝状瓦楞纸防噪填充，柜门内侧装有防撞贴，门板面板内嵌ABS塑料拉手；活动层板：柜体内设有活动层板，采用≥1.0mm厚冷轧钢板制作，配合至少4个塑料支撑扣，调节孔距≥65mm，承重≥20KG；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抽屉架：主体采用≥1.0mm厚冷轧钢板，表层经酸洗、磷化、环氧树脂粉末喷涂处理；边缘做倒角设计；内置2个内部规格：≥310mm×350mm×125mm抽屉，抽头均为双层结构，内附蜂窝状瓦楞纸防噪填充，采用三节静音导轨，配备阻尼滑道，抽头内嵌塑料拉手；</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4、可调脚：桌体底部配备≥50mm高钢制PP注塑调节地脚。</w:t>
            </w:r>
          </w:p>
        </w:tc>
      </w:tr>
      <w:tr w14:paraId="63685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B57183">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F7B9E">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8454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教师椅</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3DB7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6EF7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1、规格：≥550×500×1070mm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2、采用PU皮面，海绵坐垫；</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3、黑色PP加玻纤内外塑框；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4、一体成型PP固定扶手；</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5、中靠背46-49cm；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6、≥1.0mm厚气杆；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7、PP加纤五星塑脚；</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8、配尼龙万向轮。</w:t>
            </w:r>
          </w:p>
        </w:tc>
      </w:tr>
      <w:tr w14:paraId="53C97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88963">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A9F2B">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2153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教师电源</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F85E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90B6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教师电源包含电源模块和电源箱模块；</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一、电源模块：</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规格：≥310mm×350mm；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采用内嵌式≥10.1英寸全触摸液晶显示，智能一体化界面，教师电源配备漏电保护，电源参数如下：</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1、教师交流：支持通过触摸显示屏操作0-30V交流电压输出，电压分辨率≤1V，额定电流≥4A，具备过载自动保护;</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2、教师直流：支持通过触摸显示屏操作0-30V交流电压输出，电压分辨率≤0.1V，额定电流≥4A，具备过载自动保护;</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3、学生交流：教师电源支持分组控制学生交流电源，控制范围为0-30V，分辨率≤1V;</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4、学生直流：教师电源支持分组控制学生直流电源，控制范围为0-30V，分辨率≤0.1V;</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5、锁定功能：教师端支持远程锁定学生电源低压交、直流电压;</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6、直流高压：输出240V或300V的高压，输出电流为100mA,具备过载保护功能;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7、直流大电流：由微处理器控制≤20秒自动关断，可达到延时零误差;</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8、教师自用两路220V多功能插座输出，额定电流≥5A。</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二、电源箱模块：</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1、规格：≥285mm×240mm×120mm；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2、材质：外壳采用≥1.2mm厚镀锌钢板，表层经酸洗、磷化、环氧树脂粉末喷涂处理，具有耐酸碱，防腐蚀的特点；</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3、内置额定容量≥310VA变压器，≥12V散热风扇，采用电路控制板对电源输出高压、低压、大电流等子单元进行智能控制，能够通过接插件与教师电源抽屉连接。</w:t>
            </w:r>
          </w:p>
        </w:tc>
      </w:tr>
      <w:tr w14:paraId="36B21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6A1BE">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9400B">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DF9F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物理互动仿真系统</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3927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E1CC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一、物理互动仿真</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1、虚拟实验平台具备人教版初中、高中教学大纲中的实验，初中≥90个，高中≥100个。</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2、安装平台支持 Windows 、android 系统。</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3、软件须包含经典实验和DIY实验。</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4、DIY实验界面上应有实验器材库，实验器材库至少包括教材中声学、光学、电学、电磁学、力学、热学所涉及到的实验器材，实验器材须显示出相应名称，选中实验器材拖拽即可使用且无操作次数限制。</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5、须包含电学、光学、电磁学、力学等引擎。</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6、实验器材库中的器材与真实的器材相近，操作逻辑须一致。</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7、在自主探究实验界面上可以做多个不同的实验且具备删除实验器材、清空功能。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8、电学实验可以组装任意复杂电路，可以测出电路中任意位置的电流、电压，改变电路中某个参数值时电流、电压也随之动态变化且有数据显示，数据具备物理逻辑。</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9、DIY实验中超出某实验器材额定电压、额定电流会呈现烧坏现象，烧坏实验器材具备修复功能。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10、具有虚拟实验平台及仿真实验平台。</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11、每个实验以章节目录呈现，点击目录既可做相应实验；做每个目录中的实验时；给出对应实验的实验目的、实验器材、实验步骤、实验结论文字描述。</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 xml:space="preserve">12、具备搜索目录中所有实验功能。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二、电子课本</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1、预置学科电子课本</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2、可自定义导入电子课本</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三、备课云盘</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教师具备自己独立的网络云盘，且支持新建文件夹、修改文件夹、上传文件、删除文件等常规操作，教师可将文件进行共享。</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四、授课软件</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1、书写：支持≥10点同时书写，可自由选择笔颜色及粗细 ，支持手势擦除。</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2、可自定义批注白板界面下的功能菜单，用拖拽的方式增加或减少功能键。</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3、多用户模式：支持≥2分屏，各分屏独立操作。</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4、具备时钟功能，开启后可在屏幕上显示当前时间、所在地区的温度、湿度、及天气状况，并且具备正/倒计时及秒表等功能。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5、具备屏幕锁定功能。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6、资源库功能：可一键调用各学科的本地资源。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7、文本框：支持文本输入并可快速设置字体、大小、颜色 、粗体、斜体、下划线、项目符号。可对文本的对齐、缩进 、行供备课使用高等进行设置，提供≥20 种预设字体选择。</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8、基础笔画：支持铅笔、荧光笔、毛笔、纹理笔、智能笔、图案笔。其中纹理笔预设≥18种纹理，智能笔可将绘制的图案变成规则的多边形以及曲边形图形，图案笔预设≥10种图案供使用。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9、辅助工具：可以使用辅助工具里面的放大镜、探照灯、遮幕等常用工具，提供直尺、三角尺、量角器、圆规、等数学工具。</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10、插入对象：图片支持PNG/BMP/WMV/JPG/JPEG等格式的插入，文本支持doc/docx/ppt/pptx等格式的插入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11、板中板：支持调用板中板辅助教学，可直接批注及加页。</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12、可直接切换到电脑桌面。</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13、橡笔擦：支持对象擦、点擦除、清除页面等模式。</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14、可提供不同颜色的白板页、也可根据教学需求，设置页面背景模板，提供田字格、五线谱等学科页面模板。</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15、直接调用高拍仪实现静态截取，对截取的内容进行放大、旋转等操作。可查看添加的白板页面。</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16、支持页面回放功能。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17、透明页：实现书写与鼠标的一键切换，透明页悬浮按钮有调用U盘功能，可快捷一键打开U盘。</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18、PPT批注跟随功能:从平台打开PPT，授课时的批注可跟随当页的PPT同时进行翻页，关闭PPT后批注自动清除。</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19、与教学一体机互联互动，书写笔记可同步至一体机教学白板中显示。</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20、具备分屏功能，书写笔迹可同步分屏显示在教学一体机上。</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21、左右两块黑板均可具备快捷键功能：启动、锁板、记忆、桌面、书写、分屏、展台、新建、黑板、绿板、上一页、下一页、橡皮擦、擦除、红笔、黑笔、荧光笔、键盘、资源、分享、保存等功能。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22、书写板面采用彩涂板。</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23、边框材料采用铝合金外框。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24、直接通过快捷键一键启动授课软件；</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25、平时为锁板功能，解锁两边智联板，主副屏互不影响；</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五、同屏多屏互动系统</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大小屏同屏互动功能：一体机在windows系统情况下，能支持手机或平板设备（支持IOS\Android\Windows设备）在安装APP软件的情况下，进行多屏互动教学</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1、无线传屏和镜像功能：无线移动推送播放：支持从iPhone、iPad或iPodtouch、Android、MacBook和Windows等移动设备推送音乐、图像和视频到大屏幕上。</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2、无线摄像头：实时推送iPhone、iPad或Android、MacBook和Windows笔记本电脑的摄像头拍摄的画面到大屏幕上；</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3、无线传屏功能：支持实现iPhone、iPad或Android、MacBook和Windows等移动设备的屏幕画面无线传送到大屏幕或投上，MacBook和Windows移动设备传屏的同时支持大屏幕上反向触控移动设备；</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4、反镜象功能，老师可以通过反镜象功能控制投屏的各台windows电脑；</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5、授课软件都可以正常使用，在批注情况，可以批注讲解；</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六、互动课堂</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互动课堂</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（一）教师端：老师通过应用端、WEB端、AI作业批改系统、等进行布置作业或批改作业；</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1、前往发布作业：组卷下发发布对应作业</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2、前往成绩统计：</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3、每日作业：统计作业情况，选择对应科目，创建时间，每个作业具有查看显示时间与题目统计分析、删除功能，每日作业可以清楚展示完成与未完成的学生名单；</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4、每项作业学情分析：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① 每科单日作业，单道题目错误率分析；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② 题型统计及正确占比等</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③ 学生作答详情；</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④ 作业情况：采集与交作业总数，学生作业优秀、良好、合格、不合格等数据分析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⑤ 学生采集数据分析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（二）学生端：适配兼容任何IOS、Android、Linux、Windows、鸿蒙等任何操作系统；</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1、课堂评测 ：学情分析，统计课堂德育详情，显示日历，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2、在线作业：显示每日作业情况，提交在线作业</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3、课堂表现：个人错题本、课堂笔记、答题历史</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4、个人情况：个人成绩、课程表、请假</w:t>
            </w:r>
          </w:p>
        </w:tc>
      </w:tr>
      <w:tr w14:paraId="16129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79622">
            <w:pPr>
              <w:spacing w:line="360" w:lineRule="auto"/>
              <w:jc w:val="center"/>
              <w:rPr>
                <w:rFonts w:hint="eastAsia" w:ascii="仿宋" w:hAnsi="仿宋" w:eastAsia="仿宋" w:cs="仿宋"/>
                <w:i w:val="0"/>
                <w:iCs w:val="0"/>
                <w:color w:val="000000"/>
                <w:sz w:val="20"/>
                <w:szCs w:val="20"/>
                <w:u w:val="none"/>
              </w:rPr>
            </w:pPr>
          </w:p>
        </w:tc>
        <w:tc>
          <w:tcPr>
            <w:tcW w:w="57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0829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学生实验学习区</w:t>
            </w: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5925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实验桌</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（学生）</w:t>
            </w:r>
            <w:r>
              <w:rPr>
                <w:rFonts w:hint="eastAsia" w:ascii="仿宋" w:hAnsi="仿宋" w:eastAsia="仿宋" w:cs="仿宋"/>
                <w:b/>
                <w:bCs/>
                <w:i w:val="0"/>
                <w:iCs w:val="0"/>
                <w:color w:val="000000"/>
                <w:kern w:val="0"/>
                <w:sz w:val="20"/>
                <w:szCs w:val="20"/>
                <w:u w:val="none"/>
                <w:lang w:val="en-US" w:eastAsia="zh-CN" w:bidi="ar"/>
              </w:rPr>
              <w:t>（核心产品）</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B1FC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DB659">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整桌规格：≥1200mm（L）×600mm（W）×780mm（H）</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1、台面：采用厚度≥20mm环保陶瓷台面。</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2、桌体结构：塑铝结构。</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3、桌体内部通过铝合金矩形管材立柱连接桌体顶部和底部承重框架，立柱规格≥725mm×65mm×30mm，桌体左右横梁及支撑脚采用铝材压铸成型， 采用镶嵌式安装方式。</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4、主横梁采用铝型材拉伸成型，规格≥1095mm×80mm，表面经过防腐氧化处理。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5、前挡条采用铝型材拉伸成型，规格≥1080mm×60mm,表面经过防腐氧化处理。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6、桌体型材框架表面包覆有ABS环保材料外壳。</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7、桌体底部脚垫高度可调。</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 xml:space="preserve">8、书包斗：内部规格≥385mm×250mm×130mm，采用ABS工程塑料注塑成型，书包斗固定挂架采用矩形钢构件，钢构件表面经镀锌处理，框架横梁与桌脚之间采用合金连插件连接。                                                     </w:t>
            </w:r>
            <w:r>
              <w:rPr>
                <w:rFonts w:hint="eastAsia" w:ascii="仿宋" w:hAnsi="仿宋" w:eastAsia="仿宋" w:cs="仿宋"/>
                <w:i w:val="0"/>
                <w:iCs w:val="0"/>
                <w:color w:val="auto"/>
                <w:kern w:val="0"/>
                <w:sz w:val="20"/>
                <w:szCs w:val="20"/>
                <w:u w:val="none"/>
                <w:lang w:val="en-US" w:eastAsia="zh-CN" w:bidi="ar"/>
              </w:rPr>
              <w:t>▲9.实验桌参照GB /T 24820—2024 《实验室家具通用技术条件》或其他相关标准，满足以下性能要求：</w:t>
            </w:r>
          </w:p>
          <w:p w14:paraId="59FD9CBC">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auto"/>
                <w:kern w:val="0"/>
                <w:sz w:val="20"/>
                <w:szCs w:val="20"/>
                <w:u w:val="none"/>
                <w:lang w:val="en-US" w:eastAsia="zh-CN" w:bidi="ar"/>
              </w:rPr>
              <w:t>1）外观要求：①金属件外观管材应无裂缝、叠缝；外露管口端面应封闭；</w:t>
            </w:r>
          </w:p>
          <w:p w14:paraId="7D0FA8C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auto"/>
                <w:kern w:val="0"/>
                <w:sz w:val="20"/>
                <w:szCs w:val="20"/>
                <w:u w:val="none"/>
                <w:lang w:val="en-US" w:eastAsia="zh-CN" w:bidi="ar"/>
              </w:rPr>
              <w:t>2）有害物质限量：重金属含量（限色漆）mg/kg（可溶性铅≤8、可溶性镉≤0.5、可溶性铬≤8、可溶性汞≤0.2）；</w:t>
            </w:r>
          </w:p>
        </w:tc>
      </w:tr>
      <w:tr w14:paraId="726A9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E2EF96">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A4D5C">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CB63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电源功能柱</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0CCC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top"/>
          </w:tcPr>
          <w:p w14:paraId="7EE91B7F">
            <w:pPr>
              <w:keepNext w:val="0"/>
              <w:keepLines w:val="0"/>
              <w:widowControl/>
              <w:suppressLineNumbers w:val="0"/>
              <w:spacing w:line="360" w:lineRule="auto"/>
              <w:jc w:val="left"/>
              <w:textAlignment w:val="top"/>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1、规格：≥270mm（L）×165mm（W）×750mm（H）；</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2、材质：整体采用PP和ABS材质；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3、主体设置多组加强筋；</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4、设有检修口。</w:t>
            </w:r>
          </w:p>
          <w:p w14:paraId="799AB027">
            <w:pPr>
              <w:keepNext w:val="0"/>
              <w:keepLines w:val="0"/>
              <w:widowControl/>
              <w:suppressLineNumbers w:val="0"/>
              <w:spacing w:line="360" w:lineRule="auto"/>
              <w:jc w:val="left"/>
              <w:textAlignment w:val="top"/>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▲5.功能柱参照GB /T 24820—2024 《实验室家具通用技术条件》或其他相关标准，满足以下性能要求：</w:t>
            </w:r>
          </w:p>
          <w:p w14:paraId="2880AA47">
            <w:pPr>
              <w:keepNext w:val="0"/>
              <w:keepLines w:val="0"/>
              <w:widowControl/>
              <w:suppressLineNumbers w:val="0"/>
              <w:spacing w:line="360" w:lineRule="auto"/>
              <w:jc w:val="left"/>
              <w:textAlignment w:val="top"/>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1）外观性能要求：塑料件外观应无裂纹、明显变形、缩水、针孔，无凹陷、飞边、折皱、疙瘩，无气泡、杂质、伤痕、白印，无划痕、毛刺、拉毛、污渍，无明显色差；</w:t>
            </w:r>
          </w:p>
          <w:p w14:paraId="04C1675C">
            <w:pPr>
              <w:keepNext w:val="0"/>
              <w:keepLines w:val="0"/>
              <w:widowControl/>
              <w:suppressLineNumbers w:val="0"/>
              <w:spacing w:line="360" w:lineRule="auto"/>
              <w:jc w:val="left"/>
              <w:textAlignment w:val="top"/>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2）安全性能要求：①正常使用时,可接触到的边都应进行倒圆的方式进行保护。倒圆半径应不小于 0.5 mm；②固定零部件的结合应无少件、透钉、漏钉；③正常使用时,其他部件表面应无锐边、锐角；</w:t>
            </w:r>
          </w:p>
        </w:tc>
      </w:tr>
      <w:tr w14:paraId="1205A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25133E">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4E87D">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6DE7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学生凳</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A265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468CE">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1、规格：≥φ300mm×440mm；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2、凳面：采用ABS环保材质注塑成型。中间有内弧成型，深度≥8mm；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3、升降式螺杆：直径≥20mm螺纹碳钢，配合高强度钢制托盘于凳面底部固定；调节高度≥50mm；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4、钢脚架：由壁厚≥1.2mm椭圆形钢管及壁厚≥1.5mm圆钢管焊接组成，表面经高温烤漆处理；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5、脚垫：塑胶材质，采用PP加纤维注塑成型。</w:t>
            </w:r>
          </w:p>
          <w:p w14:paraId="55901BC8">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▲6、学生凳参照GB /T 24820—2024 《实验室家具通用技术条件》或其他相关标准，满足以下性能要求：</w:t>
            </w:r>
          </w:p>
          <w:p w14:paraId="1034B007">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外观性能要求：①金属件管材应无裂缝、叠缝；②金属件焊接件焊接处无脱焊、虚焊、焊穿、错位，金属件焊接件焊接处无夹渣、气孔、焊瘤、焊丝头、咬边、飞溅，金属件焊接件焊接处表面波纹应均匀；③金属件喷涂层无漏喷、锈蚀，涂层应光滑均匀，色泽一致，应无流挂、疙瘩、皱皮、飞漆等缺陷；④塑料件应无裂纹、明显变形、缩水、针孔，无凹陷、飞边、折皱、疙瘩，无气泡、杂质、伤痕、白印，无划痕、毛刺、拉毛、污渍，无明显色差；</w:t>
            </w:r>
          </w:p>
          <w:p w14:paraId="638E55B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2）安全性能要求：①正常使用时,可接触到的边都应进行倒圆、砂光的方式进行保护。倒圆半径应不小于 0.5 mm；②固定零部件的结合应无少件、透钉、漏钉；③正常使用时,其他部件表面应无锐边、锐角；</w:t>
            </w:r>
          </w:p>
        </w:tc>
      </w:tr>
      <w:tr w14:paraId="32F21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4A0CAE">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B0FE8">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C87A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学生电源</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D9B3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82D4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电源采用铝合金外框，表面经静电粉末喷涂；配置数字表，支持分别显示输出电压与输出电流；电压设定方式采用数控式，能够输出所需电压。</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1、交流输出：支持由学生或教师操作输出0-30V交流电压，分辨率≤0.1V；0-15V，额定电流≥3A，15.1-30V，额定电流≥2A，具备过载保护功能；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2、直流输出：支持由学生或教师操作输出0-30V直流电压，分辨率≤0.1V；0-15V，额定电流≥3A，15.1-30V，额定电流≥2A，具备过载保护功能；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3、锁定功能：支持教师端远程锁定学生电源低压交、直流电压，学生端无操作权限；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4、学生高压：≥2路220V多功能插座输出，额定电流≥5A，带防触电保护门。此高压与学生低压区分隔离，当高压关闭时学生低压仍可使用；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5、配备双组外部测试功能，含有电压表，电流表，灵敏电流计等。</w:t>
            </w:r>
          </w:p>
        </w:tc>
      </w:tr>
      <w:tr w14:paraId="3675F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9987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591B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安装附件部分</w:t>
            </w: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A5E9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电源布线耗材</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D897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41761">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 xml:space="preserve">1、地面耗材：每桌采用软铜质电线与主线对接取电；选用线管包裹取电连接线。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2、地下耗材：电源主线采用≥4.0mm²BVR铜软线铺设；选用≥Ф20PVC阻燃线管</w:t>
            </w:r>
          </w:p>
        </w:tc>
      </w:tr>
      <w:tr w14:paraId="411A7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C7668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物理准备室</w:t>
            </w: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3FC5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03C1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准备桌</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3B1C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32A8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整桌规格：≥2400mm（L）×1200mm（W）×780mm（H）；由4张≥1200mm（L）×600mm（W）×780mm（H）的桌体拼接而成。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1、台面：采用厚度≥12.7mm实芯理化板，整体为高温高压成型的均质实芯结构；台面表层有压纹；台面四周边缘经圆弧倒角处理。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2、桌体结构：塑铝结构。</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3、桌体内部通过铝合金矩形管材立柱连接桌体顶部和底部承重框架，立柱规格≥725mm×65mm×30mm，桌体左右横梁及支撑脚采用铝材压铸成型，采用镶嵌式安装方式。</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4、主横梁采用铝型材拉伸成型，规格≥1095mm×80mm，表面经过防腐氧化处理。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5、前挡条采用铝型材拉伸成型，规格≥1080mm×60mm，表面经过防腐氧化处理高≥35mm。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6、桌体型材框架表面包覆有ABS环保材料外壳。</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7、桌体底部脚垫高度可调。</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8、书包斗：内部规格≥385mm×250mm×130mm，采用ABS工程塑料注塑成型，书包斗固定挂架采用矩形钢构件，钢构件表面经镀锌处理，框架横梁与桌脚之间均采用合金连插件连接。</w:t>
            </w:r>
          </w:p>
        </w:tc>
      </w:tr>
      <w:tr w14:paraId="450F2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BFCE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88C8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3705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仪器柜（带层板）</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C619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CAD8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构成：由基座、侧板、背板、柜门、层板构成：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1、整体规格：≥1000mm（L）×580mm（W）×2000mm（H）；各柜体组件均采用增强PP塑料注塑成型；柜体采用上下两层设计，插接形式连接，四周边缘经圆弧倒角处理；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2、基座：整柜配备≥3块，单块规格≥995mm×565mm×60mm，壁厚≥3.0mm；基座表面设置≥6个插接孔位；底面采用镂空结构设计，设置加强筋，下基座安装调节脚垫可调高度≥5mm；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3、侧板：整柜配备≥4块，单块规格≥895mm×505mm×45mm，壁厚≥2.5mm，外侧条形加强结构设计；内侧设计调节棱；调节棱上下对称预留限位固定件；</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4、背板：整柜配备≥2块，单块规格≥995mm×915mm×30mm，壁厚≥3.0mm，凹凸结构设计，整板无拼接；单侧设置卡口；</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柜门：整柜配备≥4块，单块规格≥930mm×495mm，壁厚≥3.0mm，柜门与侧板连接结构采用上下轴嵌入式设计；门框内侧安装PP防撞条，外框表面镶嵌厚度≥3mm钢化烤漆玻璃，配ABS注塑成型拉手。柜门锁具采用PP注塑成型；</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6、层板：整柜配备≥3个层板，单块规格规格≥910mm×400mm，壁厚≥3.0mm；层板下方内置≥2条规格≥15mm×15mm镀锌方钢。</w:t>
            </w:r>
          </w:p>
        </w:tc>
      </w:tr>
      <w:tr w14:paraId="6F11F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AF5ED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化学万向通风实验室</w:t>
            </w:r>
          </w:p>
        </w:tc>
        <w:tc>
          <w:tcPr>
            <w:tcW w:w="57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12DA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教师控制演示区</w:t>
            </w: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0B74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实验桌（教师演示台）</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671C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05B1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整体规格：≥2900mm×700mm×900mm，由台面、储物柜、抽屉架、水槽柜组成；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1、台面：规格≥2800mm×650mm×12.7mm，采用实芯理化板，整体为高温高压成型的均质实芯结构；台面表层有压纹设计；台面四周边缘经圆弧倒角处理；采用三侧嵌入式结构；</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 xml:space="preserve">2、储物柜：配有3个储物柜，柜体均为全钢结构，采用≥1.0mm厚冷轧钢板，表层经酸洗、磷化、环氧树脂粉末喷塑处理；边缘做倒角设计；柜门：主体采用双层冷轧钢板装配成型，内附蜂窝状瓦楞纸防噪填充，柜门内侧装有防撞贴，门板面板内嵌ABS塑料拉手；活动层板：柜体内设有活动层板，采用≥1.0mm厚冷轧钢板制作，配合塑料支撑扣，调节孔距≥65mm，承重≥20KG；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抽屉架：主体采用≥1.0mm厚冷轧钢板，表层经酸洗、磷化、环氧树脂粉末喷涂处理。边缘做倒角设计；内置2个内部规格：≥310mm×350mm×125mm抽屉，抽头均为双层结构，内附蜂窝状瓦楞纸防噪填充，采用三节静音导轨，配备阻尼滑道，抽头内嵌塑料拉手；</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水槽柜：规格：≥550mm×700mm×900mm，采用≥1.0mm厚冷轧钢板，表层经酸洗、磷化、环氧树脂粉末喷塑处理。边缘做倒角设计；柜门：主体采用双层冷轧钢板装配成型，内附蜂窝状瓦楞纸防噪填充，柜门内侧装有防撞贴，面板内嵌ABS塑料拉手；预留水槽孔位。</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5、可调脚：桌体底部配备≥50mm高钢制PP注塑调节地脚。</w:t>
            </w:r>
          </w:p>
        </w:tc>
      </w:tr>
      <w:tr w14:paraId="4E46A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1BADD3">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E6FD5">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FEC4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教师椅</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6787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A615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1、规格：≥550×500×1070mm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2、采用PU皮面，海绵坐垫；</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3、黑色PP加玻纤内外塑框；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4、一体成型PP固定扶手；</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5、中靠背46-49cm；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6、≥1.0mm厚气杆；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7、PP加纤五星塑脚；</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8、尼龙万向轮。</w:t>
            </w:r>
          </w:p>
        </w:tc>
      </w:tr>
      <w:tr w14:paraId="05C04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6D124">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2AD78">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DB22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教师电源</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615A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4279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规格：≥310mm×350mm；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1、功能设置：包含电源总开关、220V插座电源、分组电源开关；</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2、电源总开关：一键开启与关闭整个电源，具有漏电保护功能；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3、插座电源：内含≥4路220V电源插座输出，额定电流≥5A，具有过流短路保护功能；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4、分组开关：支持对学生端220V插座电源进行分组控制，同时应设有电源输出指示灯。</w:t>
            </w:r>
          </w:p>
        </w:tc>
      </w:tr>
      <w:tr w14:paraId="1D53E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A436B">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C64D8">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199E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化学互动仿真系统</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E946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5D32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一、化学互动仿真</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1、初高中实验数量：初中≥60个实验，高中≥90个实验。</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2、支持脱机访问，永久性使用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3、实现传统实验室无法完成的高危险性、易燃易爆性、有毒性、辐射性等实验</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4、可实现对实验器材进行配置、拖拽、移动、连接、调节、组合、拆卸等操作。</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5、通过实验器材的组合，可自主设计和搭建合理的实验探究项目。</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6、模拟真实的实验过程、实验现象和实验结果等。</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 xml:space="preserve">7、做每个实验时，给出对应实验的实验目的、实验器材、实验步骤、实验结论文字描述。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8、搜索功能：支持实验器材搜索功能。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9、安装平台支持 Windows 、android 系统</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 xml:space="preserve">10、可自由搭配实验器材进⾏自主探究实验。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11、初中部分需包含：浓硫酸有腐蚀性、镁条燃烧、倾倒二氧化碳、加热聚乙烯塑料实验、粉尘爆炸实验等实验。</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12、高中部分需包含：粗盐的提纯、金属钠的物理性质及在空气中的氧化实验、浓硫酸与铜的反应、铝与盐酸的反应、铝热反应等实验。</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 xml:space="preserve">13、支持直线工具、矩形工具、虚线工具、圆形工具、自由画笔工具、文字工具以及颜色选择器工具。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14、实验工具包括坩埚钳，镊子，钥匙，火柴。</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二、电子课本</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1、预置学科电子课本</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2、可自定义导入电子课本</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三、备课云盘</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▲教师具备自己独立的网络云盘，且支持新建文件夹、修改文件夹、上传文件、删除文件等常规操作，教师可将文件进行共享。</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四、授课软件</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1、书写：支持≥10点同时书写，可自由选择笔颜色及粗细 ，支持手势擦除。</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2、可自定义批注白板界面下的功能菜单，用拖拽的方式增加或减少功能键。</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3、多用户模式：支持≥2分屏，各屏独立操作。</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4、具备时钟功能，开启后可在屏幕上显示当前时间、所在地区的温度、湿度、及天气状况，并且具备正/倒计时及秒表等功能。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5、具备屏幕锁定功能。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6、资源库功能：可一键调用各学科的本地资源。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7、文本框：支持文本输入并可快速设置字体、大小、颜色 、粗体、斜体、下划线、项目符号。可对文本的对齐、缩进 、行供备课使用高等进行设置，提供≥20 种预设字体选择。</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8、▲基础笔画：支持铅笔、荧光笔、毛笔、</w:t>
            </w:r>
            <w:r>
              <w:rPr>
                <w:rFonts w:hint="eastAsia" w:ascii="仿宋" w:hAnsi="仿宋" w:eastAsia="仿宋" w:cs="仿宋"/>
                <w:i w:val="0"/>
                <w:iCs w:val="0"/>
                <w:color w:val="auto"/>
                <w:kern w:val="0"/>
                <w:sz w:val="20"/>
                <w:szCs w:val="20"/>
                <w:u w:val="none"/>
                <w:lang w:val="en-US" w:eastAsia="zh-CN" w:bidi="ar"/>
              </w:rPr>
              <w:t>纹理笔、智能笔、图案笔。其中纹理笔预设≥18种纹理，</w:t>
            </w:r>
            <w:r>
              <w:rPr>
                <w:rFonts w:hint="eastAsia" w:ascii="仿宋" w:hAnsi="仿宋" w:eastAsia="仿宋" w:cs="仿宋"/>
                <w:i w:val="0"/>
                <w:iCs w:val="0"/>
                <w:color w:val="000000"/>
                <w:kern w:val="0"/>
                <w:sz w:val="20"/>
                <w:szCs w:val="20"/>
                <w:u w:val="none"/>
                <w:lang w:val="en-US" w:eastAsia="zh-CN" w:bidi="ar"/>
              </w:rPr>
              <w:t>智能笔可将绘制的图案变成规则的多边形以及曲边形图形，图案笔预设≥10种图案供使用。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9、辅助工具：可以使用辅助工具里面的放大镜、探照灯、遮幕等常用工具，提供直尺、三角尺、量角器、圆规、等数学工具。</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10、插入对象：图片支持PNG/BMP/WMV/JPG/JPEG等格式的插入，文本支持doc/docx/ppt/pptx等格式的插入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11、板中板：支持调用板中板辅助教学，可直接批注及加页。</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12、可直接切换到电脑桌面。</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13、橡笔擦：支持对象擦、点擦除、清除页面三种模式。</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14、可提供不同颜色的白板页、也可根据教学需求，设置页面背景模板，提供田字格、五线谱等学科页面模板。</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15、▲直接调用高拍仪实现静态截取，对截取的内容进行放大、旋转等操作。可查看添加的白板页面。</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16、支持页面回放功能。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17、透明页：实现书写与鼠标的一键切换，透明页悬浮按钮有调用U盘功能，可快捷一键打开U盘。</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18、PPT批注跟随功能:从平台打开PPT，授课时的批注可跟随当页的PPT同时进行翻页，关闭PPT后批注自动清除。</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19、与教学一体机互联互动，书写笔记可同步至一体机教学白板中显示。</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20、具备分屏功能，书写笔迹可同步分屏显示在教学一体机上。</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21、左右两块黑板均可具备快捷键功能：启动、锁板、记忆、桌面、书写、分屏、展台、新建、黑板、绿板、上一页、下一页、橡皮擦、擦除、红笔、黑笔、荧光笔、键盘、资源、分享、保存等功能。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22、书写板面采用彩涂板。</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23、边框材料采用铝合金外框。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24、直接通过快捷键一键启动授课软件；</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25、平时为锁板功能，需要互动互通时，可直接通过解锁方式，解锁两边智联板，主副屏互不影响；</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五、同屏多屏互动系统</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大小屏同屏互动功能：一体机在windows系统情况下，能支持手机或平板设备（支持IOS\Android\Windows设备）在安装APP软件的情况下，进行多屏互动教学</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1、无线传屏和镜像功能：无线移动推送播放：支持从iPhone、iPad或iPodtouch、Android、MacBook和Windows等移动设备推送音乐、图像和视频到大屏幕上。</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2、无线摄像头：实时推送iPhone、iPad或Android、MacBook和Windows笔记本电脑的摄像头拍摄的画面到大屏幕上；</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无线传屏功能：支持实现iPhone、iPad或Android、MacBook和Windows等移动设备的屏幕画面无线传送到大屏幕或投上，MacBook和Windows移动设备传屏的同时支持大屏幕上反向触控移动设备，无需连接触控、VGA或HDMI线，多屏管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4、反镜象功能，老师可以通过反镜象功能控制投屏的各台windows电脑；</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5、授课软件都可以正常使用，在批注情况，可以批注讲解；</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六、互动课堂</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互动课堂</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（一）▲教师端：老师通过应用端、WEB端、AI作业批改系统、等进行布置作业或批改作业；</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1、前往发布作业：组卷下发发布对应作业</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2、前往成绩统计：</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3、每日作业：统计作业情况，选择对应科目，创建时间，每个作业具有查看显示时间与题目统计分析、删除功能，每日作业可以清楚展示完成与未完成的学生名单；</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4、每项作业学情分析：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① 每科单日作业，单道题目错误率分析；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② 题型统计及正确占比等</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③ 学生作答详情；</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④ 作业情况：采集与交作业总数，学生作业优秀、良好、合格、不合格等数据分析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⑤ 学生采集数据分析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（二）▲学生端：适配兼容任何IOS、Android、Linux、Windows、鸿蒙等任何操作系统；</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1、课堂评测 ：学情分析，统计课堂德育详情，显示日历，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2、在线作业：显示每日作业情况，提交在线作业</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3、课堂表现：个人错题本、课堂笔记、答题历史</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4、个人情况：个人成绩、课程表、请假</w:t>
            </w:r>
          </w:p>
        </w:tc>
      </w:tr>
      <w:tr w14:paraId="62C37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027BE">
            <w:pPr>
              <w:spacing w:line="360" w:lineRule="auto"/>
              <w:jc w:val="center"/>
              <w:rPr>
                <w:rFonts w:hint="eastAsia" w:ascii="仿宋" w:hAnsi="仿宋" w:eastAsia="仿宋" w:cs="仿宋"/>
                <w:i w:val="0"/>
                <w:iCs w:val="0"/>
                <w:color w:val="000000"/>
                <w:sz w:val="20"/>
                <w:szCs w:val="20"/>
                <w:u w:val="none"/>
              </w:rPr>
            </w:pPr>
          </w:p>
        </w:tc>
        <w:tc>
          <w:tcPr>
            <w:tcW w:w="57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2C58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学生实验学习区</w:t>
            </w: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08F1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实验桌</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（学生）</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C295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C7AD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整桌规格：≥1200mm（L）×600mm（W）×780mm（H）</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1、台面：采用厚度≥20mm环保陶瓷台面。</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2、桌体结构：塑铝结构。</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3、桌体内部通过铝合金矩形管材立柱连接桌体顶部和底部承重框架，立柱规格≥725mm×65mm×30mm，桌体左右横梁及支撑脚采用铝材压铸成型， 采用镶嵌式安装方式。</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4、主横梁采用铝型材拉伸成型，规格≥1095mm×80mm，表面经过防腐氧化处理。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5、前挡条采用铝型材拉伸成型，规格≥1080mm×60mm，表面经过防腐氧化处理高≥35mm。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6、桌体型材框架表面包覆有ABS环保材料外壳。</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7、桌体底部脚垫高度可调。</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8、书包斗：内部规格≥385mm×250mm×130mm，采用ABS工程塑料注塑成型，书包斗固定挂架采用矩形钢构件，钢构件表面经镀锌处理，框架横梁与桌脚之间均采用合金连插件连接。</w:t>
            </w:r>
          </w:p>
        </w:tc>
      </w:tr>
      <w:tr w14:paraId="28B54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07C97E">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F13AC">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DB3D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电源功能柱</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7DB0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top"/>
          </w:tcPr>
          <w:p w14:paraId="1B1230E4">
            <w:pPr>
              <w:keepNext w:val="0"/>
              <w:keepLines w:val="0"/>
              <w:widowControl/>
              <w:suppressLineNumbers w:val="0"/>
              <w:spacing w:line="360" w:lineRule="auto"/>
              <w:jc w:val="left"/>
              <w:textAlignment w:val="top"/>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1、规格：≥270mm（L）×165mm（W）×750mm（H）；</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2、材质：整体采用PP和ABS材质；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3、主体设置加强筋；</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4、设有检修口；</w:t>
            </w:r>
          </w:p>
        </w:tc>
      </w:tr>
      <w:tr w14:paraId="6CB72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07B04">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DB227">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A5CD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学生凳</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D5A7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E41D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1、规格：≥φ300mm×440mm；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2、凳面：采用ABS环保材质注塑成型。中间有内弧成型，深度≥8mm；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3、升降式螺杆：直径≥20mm螺纹碳钢，配合高强度钢制托盘于凳面底部固定；调节高度≥50mm；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4、钢脚架：由壁厚≥1.2mm钢管及壁厚≥1.5mm圆钢管焊接组成，表面经高温烤漆处理；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5、脚垫：塑胶材质，采用PP加纤维注塑成型。</w:t>
            </w:r>
          </w:p>
        </w:tc>
      </w:tr>
      <w:tr w14:paraId="71485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EFCFC">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89356">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CE48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学生电源</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4F7B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6C07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源外壳整体采用ABS环保材料注塑成型，具有耐化学腐蚀、耐热、电绝缘性、耐候性等性能。内部包含≥4路220V电源插座输出，装有电源总开关，能够一键开启与关闭整个电源，具有过载短路保护及电源输出指示功能。</w:t>
            </w:r>
          </w:p>
        </w:tc>
      </w:tr>
      <w:tr w14:paraId="256CC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0E3907">
            <w:pPr>
              <w:spacing w:line="360" w:lineRule="auto"/>
              <w:jc w:val="center"/>
              <w:rPr>
                <w:rFonts w:hint="eastAsia" w:ascii="仿宋" w:hAnsi="仿宋" w:eastAsia="仿宋" w:cs="仿宋"/>
                <w:i w:val="0"/>
                <w:iCs w:val="0"/>
                <w:color w:val="000000"/>
                <w:sz w:val="20"/>
                <w:szCs w:val="20"/>
                <w:u w:val="none"/>
              </w:rPr>
            </w:pPr>
          </w:p>
        </w:tc>
        <w:tc>
          <w:tcPr>
            <w:tcW w:w="57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A4E1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给排水设备</w:t>
            </w: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CAA6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双口洗眼器</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80B9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D974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1、主体：加厚铜质；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2、表面处理：电镀；</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3、防尘盖：PP材质，双喷头均配置防尘盖，通水时自动冲开；</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4、开关手柄：杠杆式结构，铜质按压阀芯配塑料操作手柄；</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5、供水软管：配置长度≥1.4米柔性软管，采用不锈钢编织增强层；</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6、耐压性能：承压≥ 0.6MPa；</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7、洗眼喷头：注塑成型，软性橡胶材质，内置缓冲滤网，有效过滤杂质；双口总流量≥3.0L/min，持续供水≥15 分钟；</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8、控水阀：配置止回阀，具备自动复位、自动关闭功能。</w:t>
            </w:r>
          </w:p>
        </w:tc>
      </w:tr>
      <w:tr w14:paraId="585DB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E7F1E">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A9D76">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9488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化验水槽（配出水装置）</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FA80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A431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1、材质：PP材质。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2、水槽外部规格：≥440mm（L）×330mm（W）×200mm（H），厚≥5mm。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3、密封方式：水封式。</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4、槽体上部配备出水装置：单联出水口，管体部份为黄铜合金制，陶瓷阀芯，表面经环氧树脂静电喷涂处理。出水口为铜质瓷芯尖嘴型，可拆卸清洗阻塞。</w:t>
            </w:r>
          </w:p>
        </w:tc>
      </w:tr>
      <w:tr w14:paraId="5F9AD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AAFD4D">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40193">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B7B4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独立水槽台（配出水装置）</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0EBA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81138">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1、整体规格：≥450mm（L）×600mm（W）×815mm（H）</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2、材质：整体采用ABS和改性PP材质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3、化验水槽规格：≥390mm（L）×340mm（W）×255mm（H），由PP塑料注塑成型。槽面设有溢水口，三联水嘴及台式洗眼器放置孔位。下水口滤网设计、水槽内侧倾斜面设计、四周边缘化设计。</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4、水槽箱体由ABS塑料注塑成型，前后门设计。</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5、配备出水装置：一高二低出水口，不锈钢材质管体，全铜材质阀门接头。环氧树脂涂层。陶瓷阀芯，高密度PP开关旋钮。                                                            ▲6.独立水槽台参照GB /T 24820—2024 《实验室家具通用技术条件》或其他相关标准，满足以下性能要求：</w:t>
            </w:r>
          </w:p>
          <w:p w14:paraId="5EC64E4B">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1）外观性能要求：塑料件外观应无裂纹、明显变形、缩水、针孔，无凹陷、飞边、折皱、疙瘩，无气泡、杂质、伤痕、白印，无划痕、毛刺、拉毛、污渍，无明显色差；</w:t>
            </w:r>
          </w:p>
          <w:p w14:paraId="1D09928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2）安全性能要求：①正常使用时,可接触到的边都应进行倒圆的方式进行保护。倒圆半径应不小于 0.5 mm；②固定零部件的结合应无少件、透钉、漏钉；③正常使用时,其他部件表面应无锐边、锐角；</w:t>
            </w:r>
          </w:p>
        </w:tc>
      </w:tr>
      <w:tr w14:paraId="06D4B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C17D3">
            <w:pPr>
              <w:spacing w:line="360" w:lineRule="auto"/>
              <w:jc w:val="center"/>
              <w:rPr>
                <w:rFonts w:hint="eastAsia" w:ascii="仿宋" w:hAnsi="仿宋" w:eastAsia="仿宋" w:cs="仿宋"/>
                <w:i w:val="0"/>
                <w:iCs w:val="0"/>
                <w:color w:val="000000"/>
                <w:sz w:val="20"/>
                <w:szCs w:val="20"/>
                <w:u w:val="none"/>
              </w:rPr>
            </w:pPr>
          </w:p>
        </w:tc>
        <w:tc>
          <w:tcPr>
            <w:tcW w:w="57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8190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通风设备</w:t>
            </w: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B419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万向吸风罩</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9B9A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2D1AF">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1、关节：高密度PP材质，可360度旋转调节方向，易拆卸；</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2、关节密封圈：采用高密度橡胶；</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3、气流调节阀：能够手动调节控制进入气流量；</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4、工艺：主体采用防腐抗锈铝合金喷涂；</w:t>
            </w:r>
          </w:p>
          <w:p w14:paraId="3B1DAC7F">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▲5.万向吸风罩参照GB /T 24820—2024 《实验室家具通用技术条件》或其他相关标准，满足以下性能要求：</w:t>
            </w:r>
          </w:p>
          <w:p w14:paraId="61867234">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1）外观性能要求：塑料件外观应无裂纹、明显变形、缩水、针孔，无凹陷、飞边、折皱、疙瘩，无气泡、杂质、伤痕、白印，无划痕、毛刺、拉毛、污渍，无明显色差；</w:t>
            </w:r>
          </w:p>
          <w:p w14:paraId="659CA3C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2）安全性能要求：①正常使用时,可接触到的边都应进行倒圆的方式进行保护。倒圆半径应不小于 0.5 mm；②固定零部件的结合应无少件、透钉、漏钉；③正常使用时,其他部件表面应无锐边、锐角；</w:t>
            </w:r>
          </w:p>
        </w:tc>
      </w:tr>
      <w:tr w14:paraId="78F97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13543">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C074C">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5A38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离心风机</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AF53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EA40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1、风机：选用防腐蚀的PP工程塑料风机，电机功率≥5.5kW，风量范围：7000～12000m³/h，可调；</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2、风机减振器：橡胶胶垫≥Φ120mm；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3、防雨帽：化工工程塑料PP或PVC，≥φ480mm。</w:t>
            </w:r>
          </w:p>
        </w:tc>
      </w:tr>
      <w:tr w14:paraId="143F5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422AE">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E3BB6">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A7EB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风机变频控制器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726F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D3EE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1、适配多种电机功率;</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2、面板频率:编码器;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3、输出:AC 0-380V， ≥13A;</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4、模拟输出:≥2路(A01.A02)0-10V/0-20MA</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5、模拟输入:≥1路(AI2)0-10V/0-20MA，≥1路(AI3)0-10V;</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6、控制方式:V/F控制;</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7、过载能力:150%额定电流≥60s;180%额定电流≥3s;</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8、控制电源+24V:最大输出电流≥200mA;</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9、运行方式:键盘、端子、RS485通讯;</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10、可实现紧急停机，转速跟踪;</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11、输入端子:≥8路数字量输入端子;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12、继电器输出:≥2路可编程继电器输出;</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13、可显示运行信息、故障信息。具备过流、过压、模块故障保护、欠压、过热、过载、外部故障保护、EEPROM故障保护、接地保护、缺相等变频器保护及报警功能;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14、能适应-10℃~40℃的使用环境温度和-20℃~65℃储存温度,最大≥90%RH；不结露的环境湿度。要求能适应高度≥1000m，振动≤5.5m/s²使用环境;</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15、冷却方式采用强制风冷。</w:t>
            </w:r>
          </w:p>
        </w:tc>
      </w:tr>
      <w:tr w14:paraId="21B98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85149">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EAF95">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04F4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风机调速控制器</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76D8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B95D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1、规格：≥310mm×350mm；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2、集成风机供电船型开关与风机变频控制按键面板，能够实现风机控制的启停以及风量调节。</w:t>
            </w:r>
          </w:p>
        </w:tc>
      </w:tr>
      <w:tr w14:paraId="49EB1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0EB9F">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E9CA7">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95AE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室内风管及配件</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3AF2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F412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室内风管及配件:</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1、主通风管规格：约φ160mm/200mm，PVC成品管道；</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2、支管道规格：约φ110mm/160mm，PVC成品管道；</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3.管道配件：管道三通、弯头、变径、直接；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 xml:space="preserve">（实际管径视现场情况需可适当调整）   </w:t>
            </w:r>
          </w:p>
        </w:tc>
      </w:tr>
      <w:tr w14:paraId="79E58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FB9ED">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E377A">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1A10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室外风管及配件</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8913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D25F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室外风管及配件</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1、主通风管规格：约φ315mm/φ400mm，PVC成品管道；</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2、管道配件：管道三通、弯头、变径、直接；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 xml:space="preserve">3、安装附件：固定铁卡。 </w:t>
            </w:r>
          </w:p>
        </w:tc>
      </w:tr>
      <w:tr w14:paraId="099EE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C7886">
            <w:pPr>
              <w:spacing w:line="360" w:lineRule="auto"/>
              <w:jc w:val="center"/>
              <w:rPr>
                <w:rFonts w:hint="eastAsia" w:ascii="仿宋" w:hAnsi="仿宋" w:eastAsia="仿宋" w:cs="仿宋"/>
                <w:i w:val="0"/>
                <w:iCs w:val="0"/>
                <w:color w:val="000000"/>
                <w:sz w:val="20"/>
                <w:szCs w:val="20"/>
                <w:u w:val="none"/>
              </w:rPr>
            </w:pPr>
          </w:p>
        </w:tc>
        <w:tc>
          <w:tcPr>
            <w:tcW w:w="57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9E6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安装附件部分</w:t>
            </w: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A4FC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电源布线耗材</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67F8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442B6">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 xml:space="preserve">1、地面耗材：每桌采用软铜质电线与主线对接取电；选用合适规格的线管包裹取电连接线。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2、地下耗材：电源主线采用≥4.0mm²BVR铜软线铺设；选用≥Ф20PVC阻燃线管</w:t>
            </w:r>
          </w:p>
        </w:tc>
      </w:tr>
      <w:tr w14:paraId="68AF9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88591">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AD37F">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C750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风机布线耗材</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02EA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6C04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风机专用线电源主线需采用≥4mm²RVV塑铜线铺设经教师电源控制台至风机。</w:t>
            </w:r>
          </w:p>
        </w:tc>
      </w:tr>
      <w:tr w14:paraId="016A9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286EC">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CEBA5">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C786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给/排水全套装置</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CCCF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2267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1、PPR材质水管，上水管和进水管≥Ф25；UPVC材质排水管≥Ф50。</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 xml:space="preserve">2、开关阀门，外丝连接件、PVC胶水等。  </w:t>
            </w:r>
          </w:p>
        </w:tc>
      </w:tr>
      <w:tr w14:paraId="76B11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152A1">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59E7C">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09A7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抗静电地板</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97EB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5B8A1">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高强度钢结构，永久性导电PVC，地板尺寸≥600*600*40mm，9个≥600*600平板灯</w:t>
            </w:r>
          </w:p>
        </w:tc>
      </w:tr>
      <w:tr w14:paraId="09305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AFCE6">
            <w:pPr>
              <w:spacing w:line="360" w:lineRule="auto"/>
              <w:jc w:val="center"/>
              <w:rPr>
                <w:rFonts w:hint="eastAsia" w:ascii="仿宋" w:hAnsi="仿宋" w:eastAsia="仿宋" w:cs="仿宋"/>
                <w:i w:val="0"/>
                <w:iCs w:val="0"/>
                <w:color w:val="000000"/>
                <w:sz w:val="20"/>
                <w:szCs w:val="20"/>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27068">
            <w:pPr>
              <w:spacing w:line="360" w:lineRule="auto"/>
              <w:jc w:val="center"/>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C9BC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铝扣板吊顶</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B2B2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E3DD1">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吊顶材质采用铝材，厚度为≥0.8mm铝扣板，轻钢龙骨结构。</w:t>
            </w:r>
          </w:p>
        </w:tc>
      </w:tr>
      <w:tr w14:paraId="56568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FFA7F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化学准备室</w:t>
            </w: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ED9A8">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FE26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准备桌</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0505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7B97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整桌规格：≥2400mm（L）×1200mm（W）×780mm（H）；由4张≥1200mm（L）×600mm（W）×780mm（H）的桌体拼接而成。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1、台面：采用厚度≥12.7mm实芯理化板，整体为高温高压成型的均质实芯结构；台面表层有压纹设计；台面四周边缘经圆弧倒角处理。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2、桌体结构：塑铝结构。</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3、桌体内部通过铝合金矩形管材立柱连接桌体顶部和底部承重框架，立柱规格≥725mm×65mm×30mm，桌体左右横梁及支撑脚采用铝材压铸成型，采用镶嵌式安装方式。</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4、主横梁采用铝型材拉伸成型，规格≥1095mm×80mm，表面经过防腐氧化处理。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5、前挡条采用铝型材拉伸成型，规格≥1080mm×60mm，表面经过防腐氧化处理。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6、桌体型材框架表面包覆有ABS环保材料外壳。</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7、桌体底部脚垫高度可调。</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8、书包斗：内部规格≥385mm×250mm×130mm，采用ABS工程塑料注塑成型，书包斗固定挂架采用矩形钢构件，钢构件表面经镀锌处理，框架横梁与桌脚之间均采用合金连插件连接。</w:t>
            </w:r>
          </w:p>
        </w:tc>
      </w:tr>
      <w:tr w14:paraId="23EA6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0B2E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7815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318D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仪器柜（带层板）</w:t>
            </w:r>
            <w:r>
              <w:rPr>
                <w:rFonts w:hint="eastAsia" w:ascii="仿宋" w:hAnsi="仿宋" w:eastAsia="仿宋" w:cs="仿宋"/>
                <w:b/>
                <w:bCs/>
                <w:i w:val="0"/>
                <w:iCs w:val="0"/>
                <w:color w:val="000000"/>
                <w:kern w:val="0"/>
                <w:sz w:val="20"/>
                <w:szCs w:val="20"/>
                <w:u w:val="none"/>
                <w:lang w:val="en-US" w:eastAsia="zh-CN" w:bidi="ar"/>
              </w:rPr>
              <w:t>（核心产品）</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10C4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22C9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构成：由基座、侧板、背板、柜门、层板构成：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1、整体规格：≥1000mm（L）×580mm（W）×2000mm（H）；各柜体组件均采用增强PP塑料注塑成型；柜体采用上下两层设计，插接形式连接，四周边缘经圆弧倒角处理；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2、基座：整柜配备≥3块，单块规格≥995mm×565mm×60mm，壁厚≥3.0mm；基座表面设置≥6个插接孔位；底面采用镂空结构设计，设置多条加强筋，下基座可安装调节脚垫，可调高度≥5mm；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3、侧板：整柜配备≥4块，单块规格≥890mm×500mm×45mm，壁厚≥2.5mm，外侧条形加强结构设计；内侧设计调节棱；调节棱上下对称预留限位固定件安装位；</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4、背板：整柜配备≥2块，单块规格≥995mm×915mm×30mm，壁厚≥3.0mm，凹凸结构设计，整板无拼接；单侧设置卡口；</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柜门：整柜配备≥4块，单块规格≥930mm×490mm，壁厚≥3.0mm，柜门与侧板连接结构采用上下轴嵌入式设计；门框内侧安装PP防撞条，外框表面镶嵌厚度≥3mm钢化烤漆玻璃，配ABS注塑成型拉手。柜门锁具采用PP注塑成型；</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6、层板：整柜配备≥3个层板，单块规格规格≥910mm×400mm，壁厚≥3.0mm；层板下方内置≥2条规格≥15mm×15mm镀锌方钢。</w:t>
            </w:r>
          </w:p>
        </w:tc>
      </w:tr>
      <w:tr w14:paraId="75EA5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8C92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DE33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E5EA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全钢通风橱</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9D2E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7259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1、规格：≥1500mm（L）×850mm（W）×2350mm（H）</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2、质量标准：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通风柜选用≥1.0mm厚冷轧镀锌钢板，表面经环氧树脂静电喷涂；</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移动视窗≥5mm钢化玻璃产品；</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上下推拉可停止在任意高度；</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所有的内部连接装置都需隐藏布置和抗腐蚀；</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通风柜内衬材料采用≥5mm</w:t>
            </w:r>
            <w:r>
              <w:rPr>
                <w:rFonts w:hint="eastAsia" w:ascii="仿宋" w:hAnsi="仿宋" w:eastAsia="仿宋" w:cs="仿宋"/>
                <w:i w:val="0"/>
                <w:iCs w:val="0"/>
                <w:caps w:val="0"/>
                <w:color w:val="0F1115"/>
                <w:spacing w:val="0"/>
                <w:sz w:val="20"/>
                <w:szCs w:val="20"/>
                <w:shd w:val="clear" w:fill="FFFFFF"/>
              </w:rPr>
              <w:t>康</w:t>
            </w:r>
            <w:r>
              <w:rPr>
                <w:rFonts w:hint="eastAsia" w:ascii="仿宋" w:hAnsi="仿宋" w:eastAsia="仿宋" w:cs="仿宋"/>
                <w:i w:val="0"/>
                <w:iCs w:val="0"/>
                <w:color w:val="000000"/>
                <w:kern w:val="0"/>
                <w:sz w:val="20"/>
                <w:szCs w:val="20"/>
                <w:u w:val="none"/>
                <w:lang w:val="en-US" w:eastAsia="zh-CN" w:bidi="ar"/>
              </w:rPr>
              <w:t>贝特板；</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通风柜结构坚固，由双层框架支持；</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3、排气出口：排气出口为圆形，套管连接；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扰流板和内衬材料一致，扰流板支架由非金属材料构成；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4、通风柜其他内衬材料：</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通风柜内部其他材料双面都有环氧树脂喷涂；</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5、配件：</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通风柜配有一次性成型PP小杯槽；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通风柜里面的配件（龙头喷嘴）由黄铜构成，外面环氧树脂喷涂；</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6、通风柜照明：</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照明罩内部白色，塑料材质；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照明装置上面有安全玻璃面板，并且和柜体密封；</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照明亮度：≥80 Lux；</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7、电：三线接地插座，220V，≥10A；</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8、风机：</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通风柜配有PP防腐离心风机；</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功率≥0.3kW；</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转速：≥1450r/min；</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排风量：≥2000m³/h；</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噪音：≤65dB；</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9、触控式控制面板：</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控制内容：风机、照明等。</w:t>
            </w:r>
          </w:p>
        </w:tc>
      </w:tr>
      <w:tr w14:paraId="0117D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DCBF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CD44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166A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独立水槽台（配出水装置）</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F122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2819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1、整体规格：≥450mm（L）×600mm（W）×815mm（H）</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2、材质：整体采用ABS和改性PP材质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3、化验水槽规格：≥390mm（L）×340mm（W）×255mm（H），由PP塑料注塑成型。槽面设有溢水口，三联水嘴及台式洗眼器放置孔位。下水口滤网、水槽内侧倾斜。</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4、水槽箱体由ABS塑料注塑成型，前后门设计。</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5、配备出水装置：一高二低出水口，不锈钢材质管体，全铜材质阀门接头。环氧树脂涂层。陶瓷阀芯，高密度PP开关旋钮。</w:t>
            </w:r>
          </w:p>
        </w:tc>
      </w:tr>
      <w:tr w14:paraId="123A7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E2418">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134A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41C7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给/排水全套装置</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011C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AC6B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PPR材质水管，上水管和进水管为Ф25；UPVC材质排水管为Ф50</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含开关阀门，外丝连接件、PVC胶水等</w:t>
            </w:r>
          </w:p>
        </w:tc>
      </w:tr>
      <w:tr w14:paraId="49A64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95FA8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化学危险品室</w:t>
            </w: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55C0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CC9A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易燃品毒害品储存柜</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FD1B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7716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1、尺寸：≥900mm（L）×510mm（W）×1840mm（H）；门类型：双开门。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2、易燃品毒害品储存柜外壳体全部采用≥1.2mm的冷轧钢板，柜体底座采用≥2.0mm的冷轧钢板,内外表面经酸洗磷化环氧树脂粉末喷涂固化处理。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易燃品毒害品储存柜体内胆均采用≥4mmPP聚丙烯板；柜体右侧下部设置≥120×110mm进风口，内部PP聚丙烯可调风阀；柜体的底板中部有≥Φ10mm漏液孔，上覆不锈钢漏液网；柜体底部设H≥160mm黄沙防倒挡板，可用作黄沙填埋腔。</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4、柜底装有≥4个静音防静电滚轮；设有调节螺母。</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5、柜内配3个一次成型聚丙烯阶梯层板，层板四周边缘厚度平均值≥4.2mm;每层阶梯板外延边有积液槽，积液槽高度平均值≥3mm，背面网格加强筋设计；每个层板靠背板处设有PP螺丝限位，留出气体流动空间。</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6、柜顶部中间开有≥φ160mm蜂窝口，柜内出风口处采用PP聚丙烯一体式网状结构。柜顶风口内置轴流风机，无火花静电，当风机开机前要把进风口转至打开状态。</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7、密封件：柜体门与柜体之间应安装防火膨胀密封件；当温度为150℃~180℃时密封条局部膨胀，温度达到200℃时密封条全部膨胀，膨胀比例≥1:5。</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 xml:space="preserve">8、陶瓷纤维棉：柜体应填充具有保温隔热作用的陶瓷纤维棉，密度≥130㎏/m³。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9、铰链：铰链应为钢琴式铰链，开度≥180度。                                                                                                                                                                    10、锁具：双人双锁管理，配备电子密码锁和二代防盗机械锁，密码锁具有开锁记录查询及隐码功能。                                                                                                                                       11、环保性能：国标规定，室内甲醛含量≤0.08mg/m</w:t>
            </w:r>
            <w:r>
              <w:rPr>
                <w:rFonts w:hint="eastAsia" w:ascii="仿宋" w:hAnsi="仿宋" w:eastAsia="仿宋" w:cs="仿宋"/>
                <w:i w:val="0"/>
                <w:iCs w:val="0"/>
                <w:color w:val="000000"/>
                <w:kern w:val="0"/>
                <w:sz w:val="20"/>
                <w:szCs w:val="20"/>
                <w:u w:val="none"/>
                <w:vertAlign w:val="superscript"/>
                <w:lang w:val="en-US" w:eastAsia="zh-CN" w:bidi="ar"/>
              </w:rPr>
              <w:t>3</w:t>
            </w:r>
            <w:r>
              <w:rPr>
                <w:rFonts w:hint="eastAsia" w:ascii="仿宋" w:hAnsi="仿宋" w:eastAsia="仿宋" w:cs="仿宋"/>
                <w:i w:val="0"/>
                <w:iCs w:val="0"/>
                <w:color w:val="000000"/>
                <w:kern w:val="0"/>
                <w:sz w:val="20"/>
                <w:szCs w:val="20"/>
                <w:u w:val="none"/>
                <w:lang w:val="en-US" w:eastAsia="zh-CN" w:bidi="ar"/>
              </w:rPr>
              <w:t>;苯含量≤0.09mg/m</w:t>
            </w:r>
            <w:r>
              <w:rPr>
                <w:rFonts w:hint="eastAsia" w:ascii="仿宋" w:hAnsi="仿宋" w:eastAsia="仿宋" w:cs="仿宋"/>
                <w:i w:val="0"/>
                <w:iCs w:val="0"/>
                <w:color w:val="000000"/>
                <w:kern w:val="0"/>
                <w:sz w:val="20"/>
                <w:szCs w:val="20"/>
                <w:u w:val="none"/>
                <w:vertAlign w:val="superscript"/>
                <w:lang w:val="en-US" w:eastAsia="zh-CN" w:bidi="ar"/>
              </w:rPr>
              <w:t>3</w:t>
            </w:r>
            <w:r>
              <w:rPr>
                <w:rFonts w:hint="eastAsia" w:ascii="仿宋" w:hAnsi="仿宋" w:eastAsia="仿宋" w:cs="仿宋"/>
                <w:i w:val="0"/>
                <w:iCs w:val="0"/>
                <w:color w:val="000000"/>
                <w:kern w:val="0"/>
                <w:sz w:val="20"/>
                <w:szCs w:val="20"/>
                <w:u w:val="none"/>
                <w:lang w:val="en-US" w:eastAsia="zh-CN" w:bidi="ar"/>
              </w:rPr>
              <w:t>。</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12、配备接地装置实现完全接地。</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13、装箱时柜内外的说明标识：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《易燃品毒害品储存柜使用说明书》，《合格证》，《安全储存说明书》，柜门上贴有反光警示标签。</w:t>
            </w:r>
          </w:p>
        </w:tc>
      </w:tr>
      <w:tr w14:paraId="6115E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3EF2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B4D8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C3C3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强酸碱柜</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FE8F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9540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1、尺寸：≥900mm（L）×450mm（W）×1800mm（H）门类型：四开门。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2、采用手动四开门设计，门缝≤3mm。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3、材质：≥8mm厚PP聚丙烯树脂板。</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4、层板：采用瓷白色PP（聚丙烯）板材，注塑成型，四边有≥20mm立边，可有效盛接漏液，底部波纹状设计，层板底部包钢处理（预留查验小口），可随意抽取放在合适的位置。</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5、门板：采用同质PP材料制作，门厚≥20mm，视窗采用5mm钢化玻璃。</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6、绞链：塑胶注射成型。</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7、把手：塑胶注射成型，备有安全双门锁。                                                                                                                                                                                              8、螺丝：不锈钢材质。                                                                                      9、锁具：双锁设计，双人双锁管理，配有PP材质一体成型（易更换）的锁扣。</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10、多语言反光警告标签。</w:t>
            </w:r>
          </w:p>
        </w:tc>
      </w:tr>
      <w:tr w14:paraId="11B25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06159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D640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AD12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通风药品柜（带阶梯）</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CA56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CFF4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构成：由基座、侧板、背板、柜门、层板、阶梯层板构成：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1、整体规格：≥1000mm（L）×580mm（W）×2000mm（H）；各柜体组件均采用增强PP塑料注塑成型；柜体采用上下两层设计，插接形式连接，四周边缘经圆弧倒角处理。</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基座：整柜配备≥3块，单块规格≥995mm×565mm×60mm，壁厚≥3.0mm；基座表面设置≥6个插接孔位；底面采用镂空结构设计，设置多条加强筋；上基座设有通风孔，开孔孔径≥110mm；下基座可安装≥6个调节脚垫可调高度≥5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3、侧板：整柜配备≥4块，单块规格≥895mm×505mm×45mm，壁厚≥2.5mm，外侧条形加强结构设计；内侧设计≥6档调节棱；调节棱上下对称预留≥4个限位固定件安装位；</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4、背板：整柜配备≥2块，单块规格≥995mm×915mm×30mm，壁厚≥3.0mm，凹凸结构设计，整板无拼接；单侧设置卡口；</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柜门：整柜配备≥4块，单块规格≥930mm×495mm，壁厚≥3.0mm，柜门与侧板连接结构采用上下轴嵌入式设计；门框内侧安装PP防撞条，外框表面镶嵌厚度≥3mm钢化烤漆玻璃，配ABS注塑成型拉手。柜门锁具组件：门锁、锁芯、锁舌、钥匙、插销均采用PP注塑成型；</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6、层板：整柜配备≥3个层板，单块规格≥910mm×400mm，壁厚≥3.0mm；层板下方内置≥2条规格≥15mm×15mm镀锌方钢；</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7、阶梯层板：整柜配备≥5层台阶，单块规格≥870mm×125mm×85mm，壁厚≥2.5mm；梯面设置透气孔，前端设计有止水波。内部设有加强筋。</w:t>
            </w:r>
          </w:p>
        </w:tc>
      </w:tr>
      <w:tr w14:paraId="2F016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4C9B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B6C1F">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304D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电源布线耗材</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6C61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C9FD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1、地面以上连接线外部配有防火耐高温套管。</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2、电源布管布线施工，埋地管为PVC穿线管，采用铜芯线。</w:t>
            </w:r>
          </w:p>
        </w:tc>
      </w:tr>
      <w:tr w14:paraId="68717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C1E70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0792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3A73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斜流式管道风机</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8D4C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180D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功率≥120w，风量：≥1200m³/h，噪音≤50db，接管约φ200mm。</w:t>
            </w:r>
          </w:p>
        </w:tc>
      </w:tr>
      <w:tr w14:paraId="0B720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4984B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D9068">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ACAC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通风管道</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23C2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48E2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1、主通风管规格：约φ160mm/200mm，PVC成品管道；</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2、支管道规格：约φ110mm，PVC成品管道；</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 xml:space="preserve">3、管道配件：管道三通、弯头、变径、直接。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（实际管径视现场情况可适当调整）</w:t>
            </w:r>
          </w:p>
        </w:tc>
      </w:tr>
      <w:tr w14:paraId="42F20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9E121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生物实验室</w:t>
            </w: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D902F">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7047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电源布线耗材</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C414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CFBA6">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 xml:space="preserve">1、地面耗材：每桌采用软铜质电线与主线对接取电；选用线管包裹取电连接线。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2、地下耗材：电源主线采用≥4.0mm²BVR铜软线铺设；选用≥Ф20PVC阻燃线管</w:t>
            </w:r>
          </w:p>
        </w:tc>
      </w:tr>
      <w:tr w14:paraId="1BFA8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37A5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CB82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34EB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抗静电地板</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9C90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127E5">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高强度钢结构，永久性导电PVC，地板尺寸≥600*600*40mm，9个≥600*600平板灯</w:t>
            </w:r>
          </w:p>
        </w:tc>
      </w:tr>
      <w:tr w14:paraId="04773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7C9E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E814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5773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给/排水全套装置</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24F7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88E3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1、PPR材质水管，上水管和进水管≥Ф25；UPVC材质排水管≥Ф50。</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2、开关阀门，外丝连接件、PVC胶水等。</w:t>
            </w:r>
          </w:p>
        </w:tc>
      </w:tr>
      <w:tr w14:paraId="579A6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DAF99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高中物理仪器</w:t>
            </w: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6F448">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B418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工作服</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208D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C038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1、涤良材质；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2、款式：长款、松紧袖。</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主面料：耐摩擦色牢度(级)≥3，耐磨性测试（转）﹥10000。</w:t>
            </w:r>
          </w:p>
        </w:tc>
      </w:tr>
      <w:tr w14:paraId="5566A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5A2D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05D8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E0D9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护目镜</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8633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D75A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防机械冲击</w:t>
            </w:r>
          </w:p>
        </w:tc>
      </w:tr>
      <w:tr w14:paraId="19E38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B7DA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99CC2">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697D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灭火毯</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26BE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D85C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lang w:val="en-US"/>
              </w:rPr>
            </w:pPr>
            <w:r>
              <w:rPr>
                <w:rFonts w:hint="eastAsia" w:ascii="仿宋" w:hAnsi="仿宋" w:eastAsia="仿宋" w:cs="仿宋"/>
                <w:i w:val="0"/>
                <w:iCs w:val="0"/>
                <w:color w:val="000000"/>
                <w:kern w:val="0"/>
                <w:sz w:val="20"/>
                <w:szCs w:val="20"/>
                <w:u w:val="none"/>
                <w:lang w:val="en-US" w:eastAsia="zh-CN" w:bidi="ar"/>
              </w:rPr>
              <w:t>玻璃纤维材质，应有涂覆层，≥1800mm×1200mm，厚度≥3mm；</w:t>
            </w:r>
          </w:p>
        </w:tc>
      </w:tr>
      <w:tr w14:paraId="300CC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CD20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A35ED">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B6F4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仪器车</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E8C1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4196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≥600 mm×400 mm×800 mm，不锈钢材质，至少2层，各层带可拆卸护栏，总载重≥60 kg</w:t>
            </w:r>
          </w:p>
        </w:tc>
      </w:tr>
      <w:tr w14:paraId="716E1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65DE7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5942B">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ED3D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打孔器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AE4F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3F45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齿口式，材质为不锈钢管，每组≥4支，外径分别约为5.0mm、6.5mm、8.0mm、9.5mm，并配一支带柄金属通扦</w:t>
            </w:r>
          </w:p>
        </w:tc>
      </w:tr>
      <w:tr w14:paraId="2CEE3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49B6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AC8F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20C6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打孔器夹板</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0927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E80A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锥形孔，锥度1：10；硬木或硬塑料制</w:t>
            </w:r>
          </w:p>
        </w:tc>
      </w:tr>
      <w:tr w14:paraId="19049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BE2F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7A1C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4E65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三脚架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7D37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C933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铁制，环内径约75mm，高约150mm</w:t>
            </w:r>
          </w:p>
        </w:tc>
      </w:tr>
      <w:tr w14:paraId="579C4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D2BF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AC00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6D74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电磁实验用旋转架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7E8F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5418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由底座、转轴和转台等组成。转台应采用静电绝缘材料制成，转台内应有凹槽；凹槽宽度应≥15mm，凹槽深度应≥8mm，凹槽长度应≥35mm；转台应能作360°旋转。</w:t>
            </w:r>
          </w:p>
        </w:tc>
      </w:tr>
      <w:tr w14:paraId="36CA9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E5E2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F529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7295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试管架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8ADD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A561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木制或塑料制，≥8孔，孔径≥20mm，立柱黏结牢固</w:t>
            </w:r>
          </w:p>
        </w:tc>
      </w:tr>
      <w:tr w14:paraId="57D77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D00F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1335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4E95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漏斗架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2F82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3D0B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kern w:val="0"/>
                <w:sz w:val="20"/>
                <w:szCs w:val="20"/>
                <w:u w:val="none"/>
                <w:lang w:val="en-US" w:eastAsia="zh-CN" w:bidi="ar"/>
              </w:rPr>
              <w:t>木制或塑料制</w:t>
            </w:r>
            <w:r>
              <w:rPr>
                <w:rFonts w:hint="eastAsia" w:ascii="仿宋" w:hAnsi="仿宋" w:eastAsia="仿宋" w:cs="仿宋"/>
                <w:sz w:val="20"/>
                <w:szCs w:val="20"/>
                <w:lang w:eastAsia="zh-CN"/>
              </w:rPr>
              <w:t>，</w:t>
            </w:r>
            <w:r>
              <w:rPr>
                <w:rFonts w:hint="eastAsia" w:ascii="仿宋" w:hAnsi="仿宋" w:eastAsia="仿宋" w:cs="仿宋"/>
                <w:i w:val="0"/>
                <w:iCs w:val="0"/>
                <w:color w:val="000000"/>
                <w:kern w:val="0"/>
                <w:sz w:val="20"/>
                <w:szCs w:val="20"/>
                <w:u w:val="none"/>
                <w:lang w:val="en-US" w:eastAsia="zh-CN" w:bidi="ar"/>
              </w:rPr>
              <w:t>≥8孔</w:t>
            </w:r>
          </w:p>
        </w:tc>
      </w:tr>
      <w:tr w14:paraId="49768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5016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EBCD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782A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多向转接头</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1832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F650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双向交叉，孔内径适应于方座支架</w:t>
            </w:r>
          </w:p>
        </w:tc>
      </w:tr>
      <w:tr w14:paraId="6F02A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E797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708AF">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A11D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物理支架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5090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29B4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Style w:val="7"/>
                <w:rFonts w:hint="eastAsia" w:ascii="仿宋" w:hAnsi="仿宋" w:eastAsia="仿宋" w:cs="仿宋"/>
                <w:sz w:val="20"/>
                <w:szCs w:val="20"/>
                <w:lang w:val="en-US" w:eastAsia="zh-CN" w:bidi="ar"/>
              </w:rPr>
              <w:t>立杆</w:t>
            </w:r>
            <w:r>
              <w:rPr>
                <w:rFonts w:hint="eastAsia" w:ascii="仿宋" w:hAnsi="仿宋" w:eastAsia="仿宋" w:cs="仿宋"/>
                <w:i w:val="0"/>
                <w:iCs w:val="0"/>
                <w:color w:val="000000"/>
                <w:kern w:val="0"/>
                <w:sz w:val="20"/>
                <w:szCs w:val="20"/>
                <w:u w:val="none"/>
                <w:lang w:val="en-US" w:eastAsia="zh-CN" w:bidi="ar"/>
              </w:rPr>
              <w:t>≥</w:t>
            </w: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12mm×500mm、</w:t>
            </w:r>
            <w:r>
              <w:rPr>
                <w:rFonts w:hint="eastAsia" w:ascii="仿宋" w:hAnsi="仿宋" w:eastAsia="仿宋" w:cs="仿宋"/>
                <w:i w:val="0"/>
                <w:iCs w:val="0"/>
                <w:color w:val="000000"/>
                <w:kern w:val="0"/>
                <w:sz w:val="20"/>
                <w:szCs w:val="20"/>
                <w:u w:val="none"/>
                <w:lang w:val="en-US" w:eastAsia="zh-CN" w:bidi="ar"/>
              </w:rPr>
              <w:t>≥</w:t>
            </w: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12mm×700mm各1根；A形座2个，质量分别约为1.5kg和3.0kg；平行夹2个、垂直夹2个、烧瓶夹1个、万向夹1个、台边夹1个、大铁环1个、圆托盘1个、绝缘杆1根、吊杆1个、吊钩4个</w:t>
            </w:r>
          </w:p>
        </w:tc>
      </w:tr>
      <w:tr w14:paraId="120EE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FAE1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095D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5AF5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方座支架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13FF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87DC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由方形座、立杆、烧瓶夹、大小铁环、垂直夹（2只）、平行夹、吊杆组成；立杆长600mm；方形座长210mm，宽135mm，质量≥1.5kg；烧瓶夹夹口内壁有耐热≥120℃的缓压层</w:t>
            </w:r>
          </w:p>
        </w:tc>
      </w:tr>
      <w:tr w14:paraId="06045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9777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D664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E6C5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多功能实验支架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5065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317D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组合座架1个，最小组合支承面积应≥560mm×100mm；滑块式垂直夹5个、烧瓶夹1个、万向夹1个、大铁环1个、方托盘1个、绝缘环2个、吊钩4个</w:t>
            </w:r>
          </w:p>
        </w:tc>
      </w:tr>
      <w:tr w14:paraId="2A43E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1179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A4125">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EBEA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升降台</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FF3A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EABF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不锈钢台面，台面防滑；上台面有效面积≥140mm×140mm，下台面有效面积≥160mm×160mm，厚度≥1mm；升降范围85mm～235mm，连续可调；额定载重量≥10kg</w:t>
            </w:r>
          </w:p>
        </w:tc>
      </w:tr>
      <w:tr w14:paraId="4FECF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692C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3636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81CA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电火花计时器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85FA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BF90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括单频率电火花计时器、重锤、弓形夹、纸带、备用墨粉纸（≥30张）等。交流电压220V±22V，单频率50Hz，电火花能击穿10mm的空气间隙。实验效果：重力加速度实验值与当地重力加速度的相对误差≤3%。高压脉冲端子应有当心触电警告文字</w:t>
            </w:r>
          </w:p>
        </w:tc>
      </w:tr>
      <w:tr w14:paraId="1F90C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49FA8">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7546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68DD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演示斜面小车</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75B3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4307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斜面板长≥1200mm，一端应有滑轮、缓冲或捕获小车的装置；斜面板工作面平面度误差≤2mm；附摩擦材料丁腈橡胶、砂纸等，有摩擦材料的固定夹</w:t>
            </w:r>
          </w:p>
        </w:tc>
      </w:tr>
      <w:tr w14:paraId="05C49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BB05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7AE6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8900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演示轨道小车</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557F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A99B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铝合金轨道、2辆小车及配件组成，应有调节轨道倾斜度的装置，轨道始端应有固定及释放小车的装置，终端有捕捉小车的装置。轨道的有效运动长度≥900mm，轨道轨面的直线度误差≤有效长度的0.03%。可用打点计时法开展加速度的测量、滑动摩擦与滚动摩擦、惯性、弹性碰撞、非弹性碰撞等实验；在倾斜度1:50的轨道上小车应能从静止开始运动；测量加速度相对误差≤8%</w:t>
            </w:r>
          </w:p>
        </w:tc>
      </w:tr>
      <w:tr w14:paraId="4709F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7700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85FE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DD7E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斜面小车</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F93E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780A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括斜面、小车、摩擦块、支撑杆、砝码桶和摩擦材料等，与教学支架配套使用；斜面板≥915mm×100mm×20mm，一端应有滑轮、缓冲或捕获小车的装置；斜面板工作面平面度误差≤2mm；摩擦材料宜采用丁腈橡胶、硅胶、聚苯乙烯胶体等，砂纸、棉布等仍可用</w:t>
            </w:r>
          </w:p>
        </w:tc>
      </w:tr>
      <w:tr w14:paraId="5CC31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BE06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2543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3431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轨道小车</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D95A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F601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车拖纸带打点式；由轨道、1辆小车及配件组成，应配有打点纸带，应有调节轨道倾斜度的装置，轨道始端应有固定及释放小车的装置、固定计时器的平台，终端有捕捉小车的装置；轨道的有效运动长度≥600mm，轨道轨面的直线度误差≤有效长度的0.03%；安装计时器后，记录纸带应能平行轨道运动；在倾斜度1:50的轨道上小车应能从静止开始运动</w:t>
            </w:r>
          </w:p>
        </w:tc>
      </w:tr>
      <w:tr w14:paraId="6E5E6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1B51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0D2A5">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FB99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坐标纸</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E89A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85D0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Style w:val="9"/>
                <w:rFonts w:hint="eastAsia" w:ascii="仿宋" w:hAnsi="仿宋" w:eastAsia="仿宋" w:cs="仿宋"/>
                <w:sz w:val="20"/>
                <w:szCs w:val="20"/>
                <w:lang w:val="en-US" w:eastAsia="zh-CN" w:bidi="ar"/>
              </w:rPr>
              <w:t>1cm大格，1mm小格，</w:t>
            </w:r>
            <w:r>
              <w:rPr>
                <w:rFonts w:hint="eastAsia" w:ascii="仿宋" w:hAnsi="仿宋" w:eastAsia="仿宋" w:cs="仿宋"/>
                <w:i w:val="0"/>
                <w:iCs w:val="0"/>
                <w:color w:val="000000"/>
                <w:kern w:val="0"/>
                <w:sz w:val="20"/>
                <w:szCs w:val="20"/>
                <w:u w:val="none"/>
                <w:lang w:val="en-US" w:eastAsia="zh-CN" w:bidi="ar"/>
              </w:rPr>
              <w:t>≤</w:t>
            </w:r>
            <w:r>
              <w:rPr>
                <w:rStyle w:val="9"/>
                <w:rFonts w:hint="eastAsia" w:ascii="仿宋" w:hAnsi="仿宋" w:eastAsia="仿宋" w:cs="仿宋"/>
                <w:sz w:val="20"/>
                <w:szCs w:val="20"/>
                <w:lang w:val="en-US" w:eastAsia="zh-CN" w:bidi="ar"/>
              </w:rPr>
              <w:t>50张/包</w:t>
            </w:r>
          </w:p>
        </w:tc>
      </w:tr>
      <w:tr w14:paraId="3C6B9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9BFD8">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834E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AEF3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直尺</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5312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A23C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有机塑料；标称长度1000mm，分度值≤1mm</w:t>
            </w:r>
          </w:p>
        </w:tc>
      </w:tr>
      <w:tr w14:paraId="149EB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EF70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790D2">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BA8E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钢直尺</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4BE3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A38F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300mm，分度值≤1mm</w:t>
            </w:r>
          </w:p>
        </w:tc>
      </w:tr>
      <w:tr w14:paraId="20678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8FB2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8CDC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1FBA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钢卷尺</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43FC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3BD4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0mm～5000mm，分度值≤1mm。B型（自卷制动式），尺带宽≥12mm，厚≥0.15mm。</w:t>
            </w:r>
          </w:p>
        </w:tc>
      </w:tr>
      <w:tr w14:paraId="756E0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8818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B30FF">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02C1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游标卡尺</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5F12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0A9B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测量范围0mm～150mm，分度值≤0.02mm</w:t>
            </w:r>
          </w:p>
        </w:tc>
      </w:tr>
      <w:tr w14:paraId="5EF8B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A25C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5141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E525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演示外径千分尺（演示螺旋测微器）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9B23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F0C5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木质或铝合金材质，刻度清晰，刻度放大比例1:20，锁紧装置能有效锁紧测微装置</w:t>
            </w:r>
          </w:p>
        </w:tc>
      </w:tr>
      <w:tr w14:paraId="67B22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85768">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CA0CD">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1F97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外径千分尺（螺旋测微器）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F37C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198D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测量范围0mm～25mm，分度值≤0.01mm。</w:t>
            </w:r>
          </w:p>
        </w:tc>
      </w:tr>
      <w:tr w14:paraId="38606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FBBB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B2E6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8D95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金属钩码</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910A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BC5D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50g±0.5g，每盒10个，可叠放；硬度≥HB70；上下钩的连线应通过钩码主体的轴线</w:t>
            </w:r>
          </w:p>
        </w:tc>
      </w:tr>
      <w:tr w14:paraId="2F76D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407B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60135">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4568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金属槽码</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02A1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31F2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2g×4，5g×4，10g×4，20g×4，50g×4，100g×2，200g×1；5g×1金属槽码盘和10g×1金属槽码盘</w:t>
            </w:r>
          </w:p>
        </w:tc>
      </w:tr>
      <w:tr w14:paraId="70869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1867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EA2A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5EE7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运动频闪观测仪</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7EA2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369C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频闪光源25Hz、50Hz，可实时观测运动物体图像</w:t>
            </w:r>
          </w:p>
        </w:tc>
      </w:tr>
      <w:tr w14:paraId="71DFD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C83D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FBBE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AE05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直联泵</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C5F3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F979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2XZ型，单相，抽气速率为1L/s，有防回油功能；配套抽气管，长度≥1.5m；附真空泵进气口与外径8mm的转换接口</w:t>
            </w:r>
          </w:p>
        </w:tc>
      </w:tr>
      <w:tr w14:paraId="4D6DF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06C54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7913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0807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两用气筒</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E603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A9D9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活塞胶垫；气嘴应为金属材料，外径8mm±0.1mm，长度15mm，台阶口；抽气压强达到6.7kPa时，放置30s，漏气引起的压强变化应≤2.6hPa；充气压强达到290kPa时，放置≥30s，漏气引起的压强变化应≤9.8hPa</w:t>
            </w:r>
          </w:p>
        </w:tc>
      </w:tr>
      <w:tr w14:paraId="0F057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EF7A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74FC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16E1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毛钱管(牛顿管)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9E46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8491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金属片和羽毛片有明显的颜色区分；抽气使管内压强降至-0.095MPa，停止抽气静置≥1min，管内压强应保持不变；附外置磁钢</w:t>
            </w:r>
          </w:p>
        </w:tc>
      </w:tr>
      <w:tr w14:paraId="62CC4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C1BD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B4E1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AECA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自由落体实验仪</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EEC4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F212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包括主杆、支架座、电磁铁、光电门、钢球、钢球俘获装置、标尺及方向调节座等</w:t>
            </w:r>
          </w:p>
        </w:tc>
      </w:tr>
      <w:tr w14:paraId="1B952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386D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D737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2B85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螺旋弹簧组</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ED2B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512F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由拉力极限分别为4.9N、2.94N、1.96N、0.98N和0.49N的5种弹簧构成；各弹簧带长50mm挂钩（有指针），两端应为圆拉环，附标度板</w:t>
            </w:r>
          </w:p>
        </w:tc>
      </w:tr>
      <w:tr w14:paraId="2A7A7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558BB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3D96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20AC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摩擦力演示器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13CB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88BB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底板、摩擦板、摩擦块、电机、固定支撑杆等组成；提供3种不同摩擦系数的摩擦面；摩擦板≥300mm×90mm×10mm，平面度误差≤0.6mm，质地坚硬，表面均匀；摩擦块尺寸≥110mm×50mm×35mm，两摩擦面平面度误差应≤0.1mm，侧面有挂钩；电机拉动速度0cm/s～5cm/s，可调节；匀速运动速度误差±5%</w:t>
            </w:r>
          </w:p>
        </w:tc>
      </w:tr>
      <w:tr w14:paraId="64E53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2B9D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C3F05">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7964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力的合成与分解演示器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4934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6E56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由测力计、测力计定位夹、单滑轮夹与滑轮、双滑轮定位夹与滑轮、带刻度的演示板、立杆、底座和拉绳等组成</w:t>
            </w:r>
          </w:p>
        </w:tc>
      </w:tr>
      <w:tr w14:paraId="149E6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874E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EE5AD">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CF8F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演示定滑轮</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32AD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CB8B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滑轮转盘尺寸≥50mm</w:t>
            </w:r>
          </w:p>
        </w:tc>
      </w:tr>
      <w:tr w14:paraId="40F74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DA25A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BBF42">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62C9A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条形盒测力计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5DAD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B9E8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测量范围0N～1N，分度值0.01N；示值误差≤1/2分度，升降示差≤1/2分度，重复性偏差≤1/4分度</w:t>
            </w:r>
          </w:p>
        </w:tc>
      </w:tr>
      <w:tr w14:paraId="4A99D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E934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179B1">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68217">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1A8A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BCFE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测量范围0N～2.5N，分度值0.05N；示值误差≤1/4分度，升降示差≤1/2分度，重复性偏差≤1/4分度</w:t>
            </w:r>
          </w:p>
        </w:tc>
      </w:tr>
      <w:tr w14:paraId="41708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4B8B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87DE6">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DBDF6">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BDA8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8B04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测量范围0N～5N，分度值0.1N；示值误差≤1/4分度，升降示差≤1/2分度，重复性偏差≤1/4分度</w:t>
            </w:r>
          </w:p>
        </w:tc>
      </w:tr>
      <w:tr w14:paraId="74A90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AAE1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E0746">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B024B">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2298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4B9B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1、规格：10N；</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2、结构：壳体1个、弹簧1个、面板1块、带钩指针1个、提手1个；</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3、材质：壳体由塑料制作、弹簧由金属制成，表面防锈处理，面板由金属制成，防锈处理。</w:t>
            </w:r>
          </w:p>
        </w:tc>
      </w:tr>
      <w:tr w14:paraId="6D369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7CE9F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4C31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D13F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圆规</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8F2D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F421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工程塑料或木制，圆规两脚张开松紧应可调，一脚端部可夹普通粉笔，另一脚端部能在黑板定位（宜采用橡胶摩擦定位）</w:t>
            </w:r>
          </w:p>
        </w:tc>
      </w:tr>
      <w:tr w14:paraId="6C4F4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3A44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89AA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ED5D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三角尺</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ACA1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8F90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60°,45°尺各一把，60°尺的长直角边与45°尺的斜边长度相等且≥450mm</w:t>
            </w:r>
          </w:p>
        </w:tc>
      </w:tr>
      <w:tr w14:paraId="6389A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3002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295BF">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D1DA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量角器(圆等分器)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8A87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CB6B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角度分度线应为0°~180°和180°~0°双向标度，最小分度值应为1°,双向角度标度中间有划线槽；在半圆的直径边应有直尺，直尺的最小分度值宜≤1cm；半圆直径应为500mm～510mm；厚≥8mm，半圆圆心定位孔的直径应在0°~180°线（x轴）上，在定位孔半圆圆周上应有一短线，标出y轴的位置；半圆孔直径应为10mm～12mm；手柄应安装在直尺与半圆定位孔之间</w:t>
            </w:r>
          </w:p>
        </w:tc>
      </w:tr>
      <w:tr w14:paraId="08D19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1CAD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B8BC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1014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伽利略理想斜面演示器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BB17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A9B1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轨道总长度≥1200mm。轨道采用可弯曲的软性材料，轨道下行段固定，上行段的倾角可调节；两段轨道以圆弧过渡，过渡圆弧应光滑；运动物体为钢球</w:t>
            </w:r>
          </w:p>
        </w:tc>
      </w:tr>
      <w:tr w14:paraId="70F17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997E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7B39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EF26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牛顿第二定律演示仪</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FE72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D1D9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Style w:val="7"/>
                <w:rFonts w:hint="eastAsia" w:ascii="仿宋" w:hAnsi="仿宋" w:eastAsia="仿宋" w:cs="仿宋"/>
                <w:sz w:val="20"/>
                <w:szCs w:val="20"/>
                <w:lang w:val="en-US" w:eastAsia="zh-CN" w:bidi="ar"/>
              </w:rPr>
              <w:t>由双轨道、刹车装置、滑轮、2辆小车、拉力挂钩等组成。轨道有效运动长度≥600mm，轨面直线度误差≤有效运动长度的0.03%，两轨面平行度误差≤有效运动长度的0.1%；小车质量应为200g+</w:t>
            </w:r>
            <w:r>
              <w:rPr>
                <w:rStyle w:val="8"/>
                <w:rFonts w:hint="eastAsia" w:ascii="仿宋" w:hAnsi="仿宋" w:eastAsia="仿宋" w:cs="仿宋"/>
                <w:sz w:val="20"/>
                <w:szCs w:val="20"/>
                <w:lang w:val="en-US" w:eastAsia="zh-CN" w:bidi="ar"/>
              </w:rPr>
              <w:t>n</w:t>
            </w:r>
            <w:r>
              <w:rPr>
                <w:rStyle w:val="7"/>
                <w:rFonts w:hint="eastAsia" w:ascii="仿宋" w:hAnsi="仿宋" w:eastAsia="仿宋" w:cs="仿宋"/>
                <w:sz w:val="20"/>
                <w:szCs w:val="20"/>
                <w:lang w:val="en-US" w:eastAsia="zh-CN" w:bidi="ar"/>
              </w:rPr>
              <w:t>×50g(</w:t>
            </w:r>
            <w:r>
              <w:rPr>
                <w:rStyle w:val="8"/>
                <w:rFonts w:hint="eastAsia" w:ascii="仿宋" w:hAnsi="仿宋" w:eastAsia="仿宋" w:cs="仿宋"/>
                <w:sz w:val="20"/>
                <w:szCs w:val="20"/>
                <w:lang w:val="en-US" w:eastAsia="zh-CN" w:bidi="ar"/>
              </w:rPr>
              <w:t>n</w:t>
            </w:r>
            <w:r>
              <w:rPr>
                <w:rStyle w:val="7"/>
                <w:rFonts w:hint="eastAsia" w:ascii="仿宋" w:hAnsi="仿宋" w:eastAsia="仿宋" w:cs="仿宋"/>
                <w:sz w:val="20"/>
                <w:szCs w:val="20"/>
                <w:lang w:val="en-US" w:eastAsia="zh-CN" w:bidi="ar"/>
              </w:rPr>
              <w:t>=0、1、2……)，误差≤小车标称质量的2%；小车放在斜度1：50的轨道上应能从静止开始运动；刹车装置应能调节，使两辆小车同时静止或者同时开始运动；滑轮倾斜角度应可调节且固定可靠。当两小车质量相同，拉力相同，同时释放，行程误差≤5％；当两小车质量相同，拉力为1:2，同时释放，行程误差≤10%</w:t>
            </w:r>
          </w:p>
        </w:tc>
      </w:tr>
      <w:tr w14:paraId="074C5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B53AC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3251B">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083E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架盘天平（托盘天平）</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C0A9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BF0C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测量范围0g～100g，分度值</w:t>
            </w:r>
            <w:r>
              <w:rPr>
                <w:rStyle w:val="7"/>
                <w:rFonts w:hint="eastAsia" w:ascii="仿宋" w:hAnsi="仿宋" w:eastAsia="仿宋" w:cs="仿宋"/>
                <w:sz w:val="20"/>
                <w:szCs w:val="20"/>
                <w:lang w:val="en-US" w:eastAsia="zh-CN" w:bidi="ar"/>
              </w:rPr>
              <w:t>≤</w:t>
            </w:r>
            <w:r>
              <w:rPr>
                <w:rFonts w:hint="eastAsia" w:ascii="仿宋" w:hAnsi="仿宋" w:eastAsia="仿宋" w:cs="仿宋"/>
                <w:i w:val="0"/>
                <w:iCs w:val="0"/>
                <w:color w:val="000000"/>
                <w:kern w:val="0"/>
                <w:sz w:val="20"/>
                <w:szCs w:val="20"/>
                <w:u w:val="none"/>
                <w:lang w:val="en-US" w:eastAsia="zh-CN" w:bidi="ar"/>
              </w:rPr>
              <w:t>0.1g</w:t>
            </w:r>
          </w:p>
        </w:tc>
      </w:tr>
      <w:tr w14:paraId="44526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F0CF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09638">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3CF2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架盘天平（托盘天平）</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D8BE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B6CB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测量范围0g～1000g，分度值</w:t>
            </w:r>
            <w:r>
              <w:rPr>
                <w:rStyle w:val="7"/>
                <w:rFonts w:hint="eastAsia" w:ascii="仿宋" w:hAnsi="仿宋" w:eastAsia="仿宋" w:cs="仿宋"/>
                <w:sz w:val="20"/>
                <w:szCs w:val="20"/>
                <w:lang w:val="en-US" w:eastAsia="zh-CN" w:bidi="ar"/>
              </w:rPr>
              <w:t>≤</w:t>
            </w:r>
            <w:r>
              <w:rPr>
                <w:rFonts w:hint="eastAsia" w:ascii="仿宋" w:hAnsi="仿宋" w:eastAsia="仿宋" w:cs="仿宋"/>
                <w:i w:val="0"/>
                <w:iCs w:val="0"/>
                <w:color w:val="000000"/>
                <w:kern w:val="0"/>
                <w:sz w:val="20"/>
                <w:szCs w:val="20"/>
                <w:u w:val="none"/>
                <w:lang w:val="en-US" w:eastAsia="zh-CN" w:bidi="ar"/>
              </w:rPr>
              <w:t>0.1g</w:t>
            </w:r>
          </w:p>
        </w:tc>
      </w:tr>
      <w:tr w14:paraId="655BB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61FB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4434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4C90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电子台秤</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D3D6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DA87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测量范围20g～5kg，分度值</w:t>
            </w:r>
            <w:r>
              <w:rPr>
                <w:rStyle w:val="7"/>
                <w:rFonts w:hint="eastAsia" w:ascii="仿宋" w:hAnsi="仿宋" w:eastAsia="仿宋" w:cs="仿宋"/>
                <w:sz w:val="20"/>
                <w:szCs w:val="20"/>
                <w:lang w:val="en-US" w:eastAsia="zh-CN" w:bidi="ar"/>
              </w:rPr>
              <w:t>≤</w:t>
            </w:r>
            <w:r>
              <w:rPr>
                <w:rFonts w:hint="eastAsia" w:ascii="仿宋" w:hAnsi="仿宋" w:eastAsia="仿宋" w:cs="仿宋"/>
                <w:i w:val="0"/>
                <w:iCs w:val="0"/>
                <w:color w:val="000000"/>
                <w:kern w:val="0"/>
                <w:sz w:val="20"/>
                <w:szCs w:val="20"/>
                <w:u w:val="none"/>
                <w:lang w:val="en-US" w:eastAsia="zh-CN" w:bidi="ar"/>
              </w:rPr>
              <w:t>1g</w:t>
            </w:r>
          </w:p>
        </w:tc>
      </w:tr>
      <w:tr w14:paraId="31EA7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D257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9B25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ABA5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体重秤</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55ED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54A1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指针式，测量范围0kg～150kg，普通准确度，分度值</w:t>
            </w:r>
            <w:r>
              <w:rPr>
                <w:rStyle w:val="7"/>
                <w:rFonts w:hint="eastAsia" w:ascii="仿宋" w:hAnsi="仿宋" w:eastAsia="仿宋" w:cs="仿宋"/>
                <w:sz w:val="20"/>
                <w:szCs w:val="20"/>
                <w:lang w:val="en-US" w:eastAsia="zh-CN" w:bidi="ar"/>
              </w:rPr>
              <w:t>≤</w:t>
            </w:r>
            <w:r>
              <w:rPr>
                <w:rFonts w:hint="eastAsia" w:ascii="仿宋" w:hAnsi="仿宋" w:eastAsia="仿宋" w:cs="仿宋"/>
                <w:i w:val="0"/>
                <w:iCs w:val="0"/>
                <w:color w:val="000000"/>
                <w:kern w:val="0"/>
                <w:sz w:val="20"/>
                <w:szCs w:val="20"/>
                <w:u w:val="none"/>
                <w:lang w:val="en-US" w:eastAsia="zh-CN" w:bidi="ar"/>
              </w:rPr>
              <w:t>0.5kg</w:t>
            </w:r>
          </w:p>
        </w:tc>
      </w:tr>
      <w:tr w14:paraId="3F77B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B65C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4832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9DF9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重锤</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FAFA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C2F4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300g、600g各1个，附细线、准尖</w:t>
            </w:r>
          </w:p>
        </w:tc>
      </w:tr>
      <w:tr w14:paraId="410CE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AE653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31AB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AAAF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超重失重演示器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8573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904BB">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包含支架、拉绳、缓冲装置、重物、制动装置等，有记忆功能的弹簧测力计或数字测力计，</w:t>
            </w:r>
          </w:p>
          <w:p w14:paraId="11E8C1EB">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auto"/>
                <w:kern w:val="0"/>
                <w:sz w:val="20"/>
                <w:szCs w:val="20"/>
                <w:u w:val="none"/>
                <w:lang w:val="en-US" w:eastAsia="zh-CN" w:bidi="ar"/>
              </w:rPr>
              <w:t>1.测力计极限为2N，最小分度值为0.02N。圆盘直径约160mm。</w:t>
            </w:r>
          </w:p>
          <w:p w14:paraId="152E53D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auto"/>
                <w:kern w:val="0"/>
                <w:sz w:val="20"/>
                <w:szCs w:val="20"/>
                <w:u w:val="none"/>
                <w:lang w:val="en-US" w:eastAsia="zh-CN" w:bidi="ar"/>
              </w:rPr>
              <w:t>2.支杆为金属制，表面防锈处理，直径约11mm，长约1000mm（两根连接）。</w:t>
            </w:r>
          </w:p>
        </w:tc>
      </w:tr>
      <w:tr w14:paraId="04BD9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E470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6ACF5">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25EA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滚摆</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1A88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4133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包括摆体（摆轮和摆轴）、悬线和支架等。摆轮采用金属材质，直径</w:t>
            </w:r>
            <m:oMath>
              <m:r>
                <m:rPr>
                  <m:sty m:val="p"/>
                </m:rPr>
                <w:rPr>
                  <w:rFonts w:hint="eastAsia" w:ascii="Cambria Math" w:hAnsi="Cambria Math" w:eastAsia="仿宋" w:cs="仿宋"/>
                  <w:sz w:val="20"/>
                  <w:szCs w:val="20"/>
                  <w:lang w:val="en-US" w:eastAsia="zh-CN" w:bidi="ar"/>
                </w:rPr>
                <m:t>≥</m:t>
              </m:r>
            </m:oMath>
            <w:r>
              <w:rPr>
                <w:rFonts w:hint="eastAsia" w:ascii="仿宋" w:hAnsi="仿宋" w:eastAsia="仿宋" w:cs="仿宋"/>
                <w:i w:val="0"/>
                <w:iCs w:val="0"/>
                <w:color w:val="000000"/>
                <w:kern w:val="0"/>
                <w:sz w:val="20"/>
                <w:szCs w:val="20"/>
                <w:u w:val="none"/>
                <w:lang w:val="en-US" w:eastAsia="zh-CN" w:bidi="ar"/>
              </w:rPr>
              <w:t>125mm；摆轴采用钢材制作，直径</w:t>
            </w:r>
            <m:oMath>
              <m:r>
                <m:rPr>
                  <m:sty m:val="p"/>
                </m:rPr>
                <w:rPr>
                  <w:rFonts w:hint="eastAsia" w:ascii="Cambria Math" w:hAnsi="Cambria Math" w:eastAsia="仿宋" w:cs="仿宋"/>
                  <w:sz w:val="20"/>
                  <w:szCs w:val="20"/>
                  <w:lang w:val="en-US" w:eastAsia="zh-CN" w:bidi="ar"/>
                </w:rPr>
                <m:t>≥</m:t>
              </m:r>
            </m:oMath>
            <w:r>
              <w:rPr>
                <w:rFonts w:hint="eastAsia" w:ascii="仿宋" w:hAnsi="仿宋" w:eastAsia="仿宋" w:cs="仿宋"/>
                <w:i w:val="0"/>
                <w:iCs w:val="0"/>
                <w:color w:val="000000"/>
                <w:kern w:val="0"/>
                <w:sz w:val="20"/>
                <w:szCs w:val="20"/>
                <w:u w:val="none"/>
                <w:lang w:val="en-US" w:eastAsia="zh-CN" w:bidi="ar"/>
              </w:rPr>
              <w:t>8mm，长</w:t>
            </w:r>
            <m:oMath>
              <m:r>
                <m:rPr>
                  <m:sty m:val="p"/>
                </m:rPr>
                <w:rPr>
                  <w:rFonts w:hint="eastAsia" w:ascii="Cambria Math" w:hAnsi="Cambria Math" w:eastAsia="仿宋" w:cs="仿宋"/>
                  <w:sz w:val="20"/>
                  <w:szCs w:val="20"/>
                  <w:lang w:val="en-US" w:eastAsia="zh-CN" w:bidi="ar"/>
                </w:rPr>
                <m:t>≥</m:t>
              </m:r>
            </m:oMath>
            <w:r>
              <w:rPr>
                <w:rFonts w:hint="eastAsia" w:ascii="仿宋" w:hAnsi="仿宋" w:eastAsia="仿宋" w:cs="仿宋"/>
                <w:i w:val="0"/>
                <w:iCs w:val="0"/>
                <w:color w:val="000000"/>
                <w:kern w:val="0"/>
                <w:sz w:val="20"/>
                <w:szCs w:val="20"/>
                <w:u w:val="none"/>
                <w:lang w:val="en-US" w:eastAsia="zh-CN" w:bidi="ar"/>
              </w:rPr>
              <w:t>160mm；支架高</w:t>
            </w:r>
            <m:oMath>
              <m:r>
                <m:rPr>
                  <m:sty m:val="p"/>
                </m:rPr>
                <w:rPr>
                  <w:rFonts w:hint="eastAsia" w:ascii="Cambria Math" w:hAnsi="Cambria Math" w:eastAsia="仿宋" w:cs="仿宋"/>
                  <w:sz w:val="20"/>
                  <w:szCs w:val="20"/>
                  <w:lang w:val="en-US" w:eastAsia="zh-CN" w:bidi="ar"/>
                </w:rPr>
                <m:t>≥</m:t>
              </m:r>
            </m:oMath>
            <w:r>
              <w:rPr>
                <w:rFonts w:hint="eastAsia" w:ascii="仿宋" w:hAnsi="仿宋" w:eastAsia="仿宋" w:cs="仿宋"/>
                <w:i w:val="0"/>
                <w:iCs w:val="0"/>
                <w:color w:val="000000"/>
                <w:kern w:val="0"/>
                <w:sz w:val="20"/>
                <w:szCs w:val="20"/>
                <w:u w:val="none"/>
                <w:lang w:val="en-US" w:eastAsia="zh-CN" w:bidi="ar"/>
              </w:rPr>
              <w:t>460mm，横梁长</w:t>
            </w:r>
            <m:oMath>
              <m:r>
                <m:rPr>
                  <m:sty m:val="p"/>
                </m:rPr>
                <w:rPr>
                  <w:rFonts w:hint="eastAsia" w:ascii="Cambria Math" w:hAnsi="Cambria Math" w:eastAsia="仿宋" w:cs="仿宋"/>
                  <w:sz w:val="20"/>
                  <w:szCs w:val="20"/>
                  <w:lang w:val="en-US" w:eastAsia="zh-CN" w:bidi="ar"/>
                </w:rPr>
                <m:t>≥</m:t>
              </m:r>
            </m:oMath>
            <w:r>
              <w:rPr>
                <w:rFonts w:hint="eastAsia" w:ascii="仿宋" w:hAnsi="仿宋" w:eastAsia="仿宋" w:cs="仿宋"/>
                <w:i w:val="0"/>
                <w:iCs w:val="0"/>
                <w:color w:val="000000"/>
                <w:kern w:val="0"/>
                <w:sz w:val="20"/>
                <w:szCs w:val="20"/>
                <w:u w:val="none"/>
                <w:lang w:val="en-US" w:eastAsia="zh-CN" w:bidi="ar"/>
              </w:rPr>
              <w:t>300mm；摆体质量为0.6kg～0.8kg；每根摆线能承受静拉力≥摆体重力的5倍。摆体前10次的回升累计递减量应≤65mm</w:t>
            </w:r>
          </w:p>
        </w:tc>
      </w:tr>
      <w:tr w14:paraId="2BD15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F6896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621A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6C26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气垫导轨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8076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7022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导轨长1200mm～2000mm，含滑行器、配备块、挡光片、挡光条、弹性碰撞器、非弹性碰撞器、滑轮、垫脚、定高垫块、砝码盘、弹簧振子、光电门架</w:t>
            </w:r>
            <w:r>
              <w:rPr>
                <w:rFonts w:hint="eastAsia" w:ascii="仿宋" w:hAnsi="仿宋" w:eastAsia="仿宋" w:cs="仿宋"/>
                <w:i w:val="0"/>
                <w:iCs w:val="0"/>
                <w:color w:val="auto"/>
                <w:kern w:val="0"/>
                <w:sz w:val="20"/>
                <w:szCs w:val="20"/>
                <w:u w:val="none"/>
                <w:lang w:val="en-US" w:eastAsia="zh-CN" w:bidi="ar"/>
              </w:rPr>
              <w:t>等附件，滑行器采用铝合金制作，长度约120mm。实验附件包括：挡光片1片、挡光条（5mm）2个、滑轮2个、滑轮架1个、U形弹射器2个、圆形弹射器2个、挂钩架2个、牵引线3米、座架4个、振子弹簧2个、光电门架2个。</w:t>
            </w:r>
          </w:p>
        </w:tc>
      </w:tr>
      <w:tr w14:paraId="1CEC2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5A6F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C5A88">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25D6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小型气源</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4F4D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79A3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在额定出口面积条件下输出气压应≥5.8kPa，噪声≤65dB，应有配合弹簧振子和气垫导轨使用的接口或过渡接口；泄漏电流：II类电器应≤0.25mA；电气强度：II类电器应≥3000V</w:t>
            </w:r>
          </w:p>
        </w:tc>
      </w:tr>
      <w:tr w14:paraId="209E7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5979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5228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EA7E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数字计时器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5EC5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5D81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Style w:val="7"/>
                <w:rFonts w:hint="eastAsia" w:ascii="仿宋" w:hAnsi="仿宋" w:eastAsia="仿宋" w:cs="仿宋"/>
                <w:sz w:val="20"/>
                <w:szCs w:val="20"/>
                <w:lang w:val="en-US" w:eastAsia="zh-CN" w:bidi="ar"/>
              </w:rPr>
              <w:t>四位及以上，数据存储。可通过液晶屏选择控制菜单，可设定多种计时模式，包括通过时间、挡光时间、速度、周期、平均周期、平均频率、计数、单摆周期、平均单摆周期、平均单摆频率、周期数等，能显示≥10个挡光间隔时间、10周振动、</w:t>
            </w:r>
            <w:r>
              <w:rPr>
                <w:rStyle w:val="8"/>
                <w:rFonts w:hint="eastAsia" w:ascii="仿宋" w:hAnsi="仿宋" w:eastAsia="仿宋" w:cs="仿宋"/>
                <w:sz w:val="20"/>
                <w:szCs w:val="20"/>
                <w:lang w:val="en-US" w:eastAsia="zh-CN" w:bidi="ar"/>
              </w:rPr>
              <w:t>n</w:t>
            </w:r>
            <w:r>
              <w:rPr>
                <w:rStyle w:val="7"/>
                <w:rFonts w:hint="eastAsia" w:ascii="仿宋" w:hAnsi="仿宋" w:eastAsia="仿宋" w:cs="仿宋"/>
                <w:sz w:val="20"/>
                <w:szCs w:val="20"/>
                <w:lang w:val="en-US" w:eastAsia="zh-CN" w:bidi="ar"/>
              </w:rPr>
              <w:t>次振动时间总和、加速度计时3个时间、自由落体时间≥2个、2路光电门分别计2个挡光时间(对碰、追碰)，对应间隔时间的平均速度、加速度、碰撞计时四个平均速度；电磁铁可调释放延时补偿。具有</w:t>
            </w:r>
            <w:r>
              <w:rPr>
                <w:rFonts w:hint="eastAsia" w:ascii="仿宋" w:hAnsi="仿宋" w:eastAsia="仿宋" w:cs="仿宋"/>
                <w:i w:val="0"/>
                <w:iCs w:val="0"/>
                <w:color w:val="000000"/>
                <w:kern w:val="0"/>
                <w:sz w:val="20"/>
                <w:szCs w:val="20"/>
                <w:u w:val="none"/>
                <w:lang w:val="en-US" w:eastAsia="zh-CN" w:bidi="ar"/>
              </w:rPr>
              <w:t>≥</w:t>
            </w:r>
            <w:r>
              <w:rPr>
                <w:rStyle w:val="7"/>
                <w:rFonts w:hint="eastAsia" w:ascii="仿宋" w:hAnsi="仿宋" w:eastAsia="仿宋" w:cs="仿宋"/>
                <w:sz w:val="20"/>
                <w:szCs w:val="20"/>
                <w:lang w:val="en-US" w:eastAsia="zh-CN" w:bidi="ar"/>
              </w:rPr>
              <w:t>2路光电门接口、</w:t>
            </w:r>
            <w:r>
              <w:rPr>
                <w:rFonts w:hint="eastAsia" w:ascii="仿宋" w:hAnsi="仿宋" w:eastAsia="仿宋" w:cs="仿宋"/>
                <w:i w:val="0"/>
                <w:iCs w:val="0"/>
                <w:color w:val="000000"/>
                <w:kern w:val="0"/>
                <w:sz w:val="20"/>
                <w:szCs w:val="20"/>
                <w:u w:val="none"/>
                <w:lang w:val="en-US" w:eastAsia="zh-CN" w:bidi="ar"/>
              </w:rPr>
              <w:t>≥</w:t>
            </w:r>
            <w:r>
              <w:rPr>
                <w:rStyle w:val="7"/>
                <w:rFonts w:hint="eastAsia" w:ascii="仿宋" w:hAnsi="仿宋" w:eastAsia="仿宋" w:cs="仿宋"/>
                <w:sz w:val="20"/>
                <w:szCs w:val="20"/>
                <w:lang w:val="en-US" w:eastAsia="zh-CN" w:bidi="ar"/>
              </w:rPr>
              <w:t>2路独立计时触发按钮，有电磁铁接口，统一通用接口，</w:t>
            </w:r>
            <w:r>
              <w:rPr>
                <w:rFonts w:hint="eastAsia" w:ascii="仿宋" w:hAnsi="仿宋" w:eastAsia="仿宋" w:cs="仿宋"/>
                <w:i w:val="0"/>
                <w:iCs w:val="0"/>
                <w:color w:val="000000"/>
                <w:kern w:val="0"/>
                <w:sz w:val="20"/>
                <w:szCs w:val="20"/>
                <w:u w:val="none"/>
                <w:lang w:val="en-US" w:eastAsia="zh-CN" w:bidi="ar"/>
              </w:rPr>
              <w:t>≥</w:t>
            </w:r>
            <w:r>
              <w:rPr>
                <w:rStyle w:val="7"/>
                <w:rFonts w:hint="eastAsia" w:ascii="仿宋" w:hAnsi="仿宋" w:eastAsia="仿宋" w:cs="仿宋"/>
                <w:sz w:val="20"/>
                <w:szCs w:val="20"/>
                <w:lang w:val="en-US" w:eastAsia="zh-CN" w:bidi="ar"/>
              </w:rPr>
              <w:t>1个电磁释放按钮，能够存储≥20组数据。用于匀加速运动、自由落体、圆周运动、牛顿第二定律、单摆、碰撞、声速测量等实验</w:t>
            </w:r>
          </w:p>
        </w:tc>
      </w:tr>
      <w:tr w14:paraId="27C7B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926B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A547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B785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曲线运动速度方向实验器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0A7C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3FD7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可拼接的S形铝合金轨道、钢球、钢球释放装置等组成。小钢球能够在轨道内自由滚动。小钢球表面粘上印泥后，能够以一定的初速度从同一入口滚入轨道，滚出轨道时的速度方向（沿轨道该点切线）即为此时瞬时速度的方向，在加、减轨道时，小球滚出的速度方向不同。钢球在滚出轨道时会在白纸上留下一条运动的痕迹，记录钢球在离开轨道时的速度方向</w:t>
            </w:r>
          </w:p>
        </w:tc>
      </w:tr>
      <w:tr w14:paraId="12204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CB27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BE9D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08CD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曲线运动条件实验器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9967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E91E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由倾角可调的轨道（斜面倾角30°左右，轨道长200mm）、小钢球、磁体、小球释放装置等组成。</w:t>
            </w:r>
          </w:p>
        </w:tc>
      </w:tr>
      <w:tr w14:paraId="49237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F886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DFB2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FAA1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运动合成分解演示器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2B52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6935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运动分解与合成；可做匀速-匀速、匀速-匀加速运动合成，</w:t>
            </w:r>
            <w:r>
              <w:rPr>
                <w:rFonts w:hint="eastAsia" w:ascii="仿宋" w:hAnsi="仿宋" w:eastAsia="仿宋" w:cs="仿宋"/>
                <w:i w:val="0"/>
                <w:iCs w:val="0"/>
                <w:color w:val="auto"/>
                <w:kern w:val="0"/>
                <w:sz w:val="20"/>
                <w:szCs w:val="20"/>
                <w:u w:val="none"/>
                <w:lang w:val="en-US" w:eastAsia="zh-CN" w:bidi="ar"/>
              </w:rPr>
              <w:t>底座及面板采用厚度不小于1mm的钢板制作，面板尺寸约为395×315mm，底座尺寸约为395×120×10mm；小车尺寸约80×50×15mm，车轮采用金属材料制作；画板尺寸约为240×180mm；笔尖与画板的间距可通过调节螺母调节；X向传动装置及Y向传动装置均采用小电机带动皮带轮传动。大皮带轮采用工程塑料制作，尺寸约为Φ39×5mm，小皮带轮采用铜棒制作，直径约为Φ8mm，皮带采用约Φ42mm的橡胶皮带；控制系统部分包括：X向换向开关、Y向换向开关、Y向调速旋钮、X向运动按键、Y向运动按键、合运动操作键等。仪器使用电源电压：DC3～6V。可用于演示匀速-匀速、匀速-匀加速运动合成等实验。</w:t>
            </w:r>
          </w:p>
        </w:tc>
      </w:tr>
      <w:tr w14:paraId="06DDA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AA90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40E3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F3F9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二维空间-时间描迹仪</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E057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C836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可用于平抛、斜抛、验证向心力、单摆运动图像等实验。高压脉冲频率：20Hz、50Hz、100Hz。电源输入与外壳：I类1500V，II类3000V；高压部分与外壳：15kV</w:t>
            </w:r>
          </w:p>
        </w:tc>
      </w:tr>
      <w:tr w14:paraId="02B16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6A78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7FE5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AB64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平抛竖落仪</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0A34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96BE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重锤击打式，两球应同时落地。</w:t>
            </w:r>
          </w:p>
        </w:tc>
      </w:tr>
      <w:tr w14:paraId="1C094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9552F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4BD22">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256C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平抛和碰撞实验器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689A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907A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产品由铝制导轨、钢球、玻璃球、重锤、接球槽、支球总成和演示板组成。1.底座和面板均采用冷轧板制成，面板烤白漆、底座烤黑漆，面板尺寸≥325mm×240mm×1mm，底座尺寸≥250mm×100mm×10mm，并有调平螺丝；2.钢球和玻璃球直径为16mm；3.接球槽可上下移动，能停留在任一位置。</w:t>
            </w:r>
          </w:p>
        </w:tc>
      </w:tr>
      <w:tr w14:paraId="1D871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A5CC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5FCD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BE7D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离心轨道</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DDB2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CCD3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Style w:val="7"/>
                <w:rFonts w:hint="eastAsia" w:ascii="仿宋" w:hAnsi="仿宋" w:eastAsia="仿宋" w:cs="仿宋"/>
                <w:sz w:val="20"/>
                <w:szCs w:val="20"/>
                <w:lang w:val="en-US" w:eastAsia="zh-CN" w:bidi="ar"/>
              </w:rPr>
              <w:t>由底板、环形轨道、钢球、塑料球和接球装置等组成。环形轨道有供球出、入的2个斜坡，长坡顶部有球座，短坡顶部有接球装置。环形轨道环内径≥140mm，短坡高≥120mm，长坡高/圆环半径倍数≤4。钢球和塑料球直径</w:t>
            </w: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25mm。球自长坡顶部滚下，应能连续（在轨道顶部不脱离与轨道的接触）沿轨道滚动一周，并在短坡顶部进入接球装置</w:t>
            </w:r>
          </w:p>
        </w:tc>
      </w:tr>
      <w:tr w14:paraId="177ED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2772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F169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8F16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向心力实验器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DE45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F6A49">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手动，质</w:t>
            </w:r>
            <w:r>
              <w:rPr>
                <w:rFonts w:hint="eastAsia" w:ascii="仿宋" w:hAnsi="仿宋" w:eastAsia="仿宋" w:cs="仿宋"/>
                <w:i w:val="0"/>
                <w:iCs w:val="0"/>
                <w:color w:val="auto"/>
                <w:kern w:val="0"/>
                <w:sz w:val="20"/>
                <w:szCs w:val="20"/>
                <w:u w:val="none"/>
                <w:lang w:val="en-US" w:eastAsia="zh-CN" w:bidi="ar"/>
              </w:rPr>
              <w:t>量、半径和角速度均可调，结构：由底座、导杆、平衡体、周期测定盘、捻柄、配重体、圆柱体、弹簧、半径指示器、弹簧拉杆及转轴组成。</w:t>
            </w:r>
          </w:p>
          <w:p w14:paraId="38218FF8">
            <w:pPr>
              <w:keepNext w:val="0"/>
              <w:keepLines w:val="0"/>
              <w:widowControl/>
              <w:numPr>
                <w:ilvl w:val="0"/>
                <w:numId w:val="1"/>
              </w:numPr>
              <w:suppressLineNumbers w:val="0"/>
              <w:spacing w:line="360" w:lineRule="auto"/>
              <w:jc w:val="left"/>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auto"/>
                <w:kern w:val="0"/>
                <w:sz w:val="20"/>
                <w:szCs w:val="20"/>
                <w:u w:val="none"/>
                <w:lang w:val="en-US" w:eastAsia="zh-CN" w:bidi="ar"/>
              </w:rPr>
              <w:t>底座为金属制，尺寸：约235×105×15mm。</w:t>
            </w:r>
          </w:p>
          <w:p w14:paraId="3861EA19">
            <w:pPr>
              <w:keepNext w:val="0"/>
              <w:keepLines w:val="0"/>
              <w:widowControl/>
              <w:numPr>
                <w:ilvl w:val="0"/>
                <w:numId w:val="1"/>
              </w:numPr>
              <w:suppressLineNumbers w:val="0"/>
              <w:spacing w:line="360" w:lineRule="auto"/>
              <w:ind w:left="0" w:leftChars="0" w:firstLine="0" w:firstLineChars="0"/>
              <w:jc w:val="left"/>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auto"/>
                <w:kern w:val="0"/>
                <w:sz w:val="20"/>
                <w:szCs w:val="20"/>
                <w:u w:val="none"/>
                <w:lang w:val="en-US" w:eastAsia="zh-CN" w:bidi="ar"/>
              </w:rPr>
              <w:t>导杆、平衡杆及弹簧拉杆均为直径约6mm，表面电镀处理。</w:t>
            </w:r>
          </w:p>
          <w:p w14:paraId="4FFF10B7">
            <w:pPr>
              <w:keepNext w:val="0"/>
              <w:keepLines w:val="0"/>
              <w:widowControl/>
              <w:numPr>
                <w:ilvl w:val="0"/>
                <w:numId w:val="0"/>
              </w:numPr>
              <w:suppressLineNumbers w:val="0"/>
              <w:spacing w:line="360" w:lineRule="auto"/>
              <w:ind w:leftChars="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auto"/>
                <w:kern w:val="0"/>
                <w:sz w:val="20"/>
                <w:szCs w:val="20"/>
                <w:u w:val="none"/>
                <w:lang w:val="en-US" w:eastAsia="zh-CN" w:bidi="ar"/>
              </w:rPr>
              <w:t>3.周期测定盘为铝制，直径约80mm。</w:t>
            </w:r>
          </w:p>
        </w:tc>
      </w:tr>
      <w:tr w14:paraId="0CBB8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5187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8556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81AB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玻棒(附丝绸)</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8335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6725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或有机玻棒(附丝绸)，丝绸面积≥350mm×350mm。在规定工作条件下，用丝绸裹住玻棒（或有机玻棒），做一次快速拉出，棒上所带的电荷用D－YDQ－Z-100型指针验电器检验张角≥30°(≥50°)</w:t>
            </w:r>
          </w:p>
        </w:tc>
      </w:tr>
      <w:tr w14:paraId="062A0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59AA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9D6B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9123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胶棒(附毛皮)</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5C8F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8693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或聚碳酸酯棒(附毛皮)，毛皮面积≥150mm×150mm。在规定工作条件下，用毛皮裹胶棒（或聚碳酸酯棒），做一次快速拉出，棒上所带的电荷用D－YDQ－Z-100型指针验电器检验张角≥30°(≥45°)</w:t>
            </w:r>
          </w:p>
        </w:tc>
      </w:tr>
      <w:tr w14:paraId="1CA00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AE8F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A79DB">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5ACA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箔片验电器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833A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1AEF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外壳、圆盘、导电杆、绝缘子、箔片、中位卡、接线柱和底座等组成。外壳应由不能带静电的材料制成，观察面应采用透明材料，透明材料透光率≥90%，箔片长度≥25mm。性能要求：相对湿度≤65%的环境，圆盘上加8kV直流高压，箔片张开与中位片角度≥45°。移去高压后，箔片张开角度保持30°以上的时间≥10min</w:t>
            </w:r>
          </w:p>
        </w:tc>
      </w:tr>
      <w:tr w14:paraId="566BF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4FB6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EC22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5364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指针验电器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F630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A3D1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指针验电器，由外壳、圆球、法拉第圆筒、导电杆、绝缘子、指针、指针架、接地线柱构成。外壳应由不能带静电的材料制成，外壳上观察面应采用透明材料（透光率≥90%），指针用非磁性材料，长度≥100mm，带法拉第圆筒，指针刻度应为收敛式。性能要求：相对湿度≤65%的环境，圆球加9kV直流高压，指针张开角度在45º~50º,移去高压后，指针保持30°以上的时间≥20min</w:t>
            </w:r>
          </w:p>
        </w:tc>
      </w:tr>
      <w:tr w14:paraId="649DD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3AC52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5C43D">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B77B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移电球（验电球）</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A8D3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F1EA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带有绝缘棒的金属小球</w:t>
            </w:r>
          </w:p>
        </w:tc>
      </w:tr>
      <w:tr w14:paraId="5001C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C5B2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CCD3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4C3E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验电器连接杆</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A710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D1FA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含导电杆、绝缘手柄等，导电杆直径≥2mm，长度≥250mm，绝缘柄直径≥10mm，长度≥150mm</w:t>
            </w:r>
          </w:p>
        </w:tc>
      </w:tr>
      <w:tr w14:paraId="08781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B81F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0AC7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8C01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电子起电机</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641F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57C4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放电距离应为5mm～35mm，输出高压电流应≤500μA，有短路保护和开路保护，连续工作时间≥30min，输出电压对地正负对称</w:t>
            </w:r>
          </w:p>
        </w:tc>
      </w:tr>
      <w:tr w14:paraId="65081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6876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92CA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AF04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枕形导体</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7571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EDAF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一对相同的半枕形导体、绝缘支杆和底座等组成。半枕形导体下方应有一个导电挂钩，导电挂钩不应有尖端。圆筒导体的直径应≥55mm，长度应≥100mm。半枕形导体应宜用304号及以上不锈钢制成，封闭端应为半球面。性能要求：使各静电导体与D－YDQ－Z-100型指针验电器连接，用9kV高压使导体带电，10min内指针验电器的指针张角应≥30º</w:t>
            </w:r>
          </w:p>
        </w:tc>
      </w:tr>
      <w:tr w14:paraId="34FB8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E667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EE94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A555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球形导体</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8C0B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9AA2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圆球形导体或开口的圆球形导体、绝缘支杆和底座构成。导体宜用304号以上不锈钢制成，球体直径应≥90mm。性能要求：使静电导体与D－YDQ－Z-100型指针验电器连接，用9kV高压使导体带电，10min内指针验电器的指针张角应≥30º</w:t>
            </w:r>
          </w:p>
        </w:tc>
      </w:tr>
      <w:tr w14:paraId="332E0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D9FB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C5F5D">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23FD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验电羽</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B021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4230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由绝缘支架、金属片、细尼龙绳、螺钉等组成。绝缘支架上装有两片金属片，两金属片间夹有若干长条形细尼龙绳</w:t>
            </w:r>
          </w:p>
        </w:tc>
      </w:tr>
      <w:tr w14:paraId="5AB49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3725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9800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E2BF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验电幡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6777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346C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由长方形铜丝网、绝缘支柱、底座等部分组成。绝缘部分宜用有机玻璃制成</w:t>
            </w:r>
          </w:p>
        </w:tc>
      </w:tr>
      <w:tr w14:paraId="3CC26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1A32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04E4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86CD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库仑定律演示器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E0D6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53F6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精确到千分位的电子天平，三个带有绝缘底座的相同的金属小球，带刻度（最小刻度1mm）的支架，一个金属小球通过绝缘杆连接在支架上，并可自由升降和固定。将以上仪器封装于矩形有机玻璃罩内，有开口可进行相应调节，另附红外干燥器</w:t>
            </w:r>
          </w:p>
        </w:tc>
      </w:tr>
      <w:tr w14:paraId="4492F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647D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9EF7B">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E729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电场线演示器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989D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A669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由单点电极演示板、双点电极演示板（同种电极和异种电极）、平行板电极演示板、环形电极演示板、尖形导体演示板组成</w:t>
            </w:r>
          </w:p>
        </w:tc>
      </w:tr>
      <w:tr w14:paraId="360BB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1DA6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9256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0247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平行板电容器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AA4F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AF21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底座、极板、介质板等构成，两平行板间距离可调，最大应≥100mm，最小距离应≤3mm。介质板插入两极板中间后，极板与介质板间应能接触。极板装配后，两块板面之间的相对面积应能任意调节，相对面积变化应能从100％变化到零。</w:t>
            </w:r>
          </w:p>
        </w:tc>
      </w:tr>
      <w:tr w14:paraId="4F4DF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A454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0A52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191E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常用电容器示教板</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68F6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4683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电解电容器、陶瓷电容器、独石电容器、贴片电容器、微调电容器、可变电容器等。性能要求：电容器要标明相应参数</w:t>
            </w:r>
          </w:p>
        </w:tc>
      </w:tr>
      <w:tr w14:paraId="32CF1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DD5C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07B4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6DBE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电容器实验板</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BF58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2705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包含≥5种规格不同的电解电容器（均需＞10μF），排列均匀，焊接在实验板上，能有效实现电容器充放电等实验</w:t>
            </w:r>
          </w:p>
        </w:tc>
      </w:tr>
      <w:tr w14:paraId="39C19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A571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FF94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3820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常用电阻器示教板</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1CB9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9334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定值电阻(碳膜电阻、金属膜电阻、绕线电阻、水泥电阻、贴片式电阻等)、可变电阻(电位器、小型滑动变阻器)、特殊电阻(热敏电阻、光敏电阻、压敏电阻）等</w:t>
            </w:r>
          </w:p>
        </w:tc>
      </w:tr>
      <w:tr w14:paraId="5D99F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4B627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EAC68">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5087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单刀双掷开关</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DE54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175F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底座、接线柱，闸刀，刀座，双刀承和绝缘手柄组成。开关的最高工作电压36V，额定工作电流6A。底座为塑料注塑成型,尺寸:77mm×35mm×9mm。</w:t>
            </w:r>
          </w:p>
        </w:tc>
      </w:tr>
      <w:tr w14:paraId="7EB2B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40B8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6122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3C7B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电池盒</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0121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E904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R20（1＃）电池用，有接线柱，负极可用弹簧或弹性磷铜片，有串联接插口，电池装反时不能接通</w:t>
            </w:r>
          </w:p>
        </w:tc>
      </w:tr>
      <w:tr w14:paraId="5AC50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A2C8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9597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62D7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干电池</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FDD0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A509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R20，无汞</w:t>
            </w:r>
          </w:p>
        </w:tc>
      </w:tr>
      <w:tr w14:paraId="4463E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122C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E511F">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2D82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高中学生电源</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0DC6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0197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交流输出：2V～16V/3A，每2V一挡。直流稳压输出：2V～16V/2A，每2V一挡。有过载保护。安全要求：电源端与外壳抗电强度1500V（有保护接地线）或3000V（无保护接地线），电源端与低压输出抗电强度3000V</w:t>
            </w:r>
          </w:p>
        </w:tc>
      </w:tr>
      <w:tr w14:paraId="0EBA8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E606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D6C7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D32B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高中教学电源</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CAF0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0186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交流：2V～24V，每2V一挡，2V～6V/12A，8V～12V/6A，14V～24V/3A；直流稳压：1V～25V分挡连续可调，2V～6V/6A，8V～12V/4A，14V~24V/2A；40A、8s自动关断。安全要求：电源端与外壳抗电强度1500V（有保护接地线）或3000V（无保护接地线），电源端与低压输出抗电强度3000V</w:t>
            </w:r>
          </w:p>
        </w:tc>
      </w:tr>
      <w:tr w14:paraId="0DD7C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B2C8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915D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07BD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演示电表</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2B3A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453B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磁电系低阻交直流，2.5级</w:t>
            </w:r>
          </w:p>
        </w:tc>
      </w:tr>
      <w:tr w14:paraId="4E306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1AFE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70E1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B7A0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直流电压表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5F5C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3471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3V、15V双量程，2.5级</w:t>
            </w:r>
          </w:p>
        </w:tc>
      </w:tr>
      <w:tr w14:paraId="0B1FE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14620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DC20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E42F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直流电流表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11D5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344E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0.6A、3A双量程，2.5级</w:t>
            </w:r>
          </w:p>
        </w:tc>
      </w:tr>
      <w:tr w14:paraId="633D7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39BF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D50B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49EF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多用电表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BFFD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244C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指针式，≥2.5级，学生用电表功能≥MF47型电表，教师用电表功能≥MF10型电表</w:t>
            </w:r>
          </w:p>
        </w:tc>
      </w:tr>
      <w:tr w14:paraId="1E419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D5EC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5A9B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655A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电阻定律实验器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2CA8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5CBD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由底板、2种金属导线（康铜、镍铬）、接线柱、连接片、支撑架等组成；康铜导线2根（长均为500mm，直径分别为0.5mm、0.3mm）；镍铬线2根（长分别为500mm、300mm，直径均为0.3mm）</w:t>
            </w:r>
          </w:p>
        </w:tc>
      </w:tr>
      <w:tr w14:paraId="1F2ED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2D25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B718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F226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电路实验板</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3F4A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E079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演示用，接插式或磁贴式</w:t>
            </w:r>
          </w:p>
        </w:tc>
      </w:tr>
      <w:tr w14:paraId="395E1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5590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5C87F">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0878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电阻箱</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45AF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F157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六位，99999.9Ω,1级</w:t>
            </w:r>
          </w:p>
        </w:tc>
      </w:tr>
      <w:tr w14:paraId="6645D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EE78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C90ED">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2EBBE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滑动变阻器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9068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7968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10Ω,2A</w:t>
            </w:r>
          </w:p>
        </w:tc>
      </w:tr>
      <w:tr w14:paraId="05D76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8DC7D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A753B">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81C56">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99D1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B360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20Ω,2A</w:t>
            </w:r>
          </w:p>
        </w:tc>
      </w:tr>
      <w:tr w14:paraId="73752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AC918">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CD02C">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CADEF">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09A2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B7C5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50Ω,1.5A</w:t>
            </w:r>
          </w:p>
        </w:tc>
      </w:tr>
      <w:tr w14:paraId="45952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FEB5E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63A7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4DDC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接线夹导线</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AFE1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E745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纯铜接线夹；纯铜导线，长度分别为200mm、300mm、400mm，芯线截面积≥0.5mm2；</w:t>
            </w:r>
          </w:p>
        </w:tc>
      </w:tr>
      <w:tr w14:paraId="6A36B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6CAE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4725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F164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接线叉导线</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DFF8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F548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纯铜接线叉，接线叉开口5.9mm；纯铜导线，长度分别为200mm、300mm、400mm，芯线截面积≥0.5mm</w:t>
            </w:r>
            <w:r>
              <w:rPr>
                <w:rFonts w:hint="eastAsia" w:ascii="仿宋" w:hAnsi="仿宋" w:eastAsia="仿宋" w:cs="仿宋"/>
                <w:i w:val="0"/>
                <w:iCs w:val="0"/>
                <w:color w:val="000000"/>
                <w:kern w:val="0"/>
                <w:sz w:val="20"/>
                <w:szCs w:val="20"/>
                <w:u w:val="none"/>
                <w:vertAlign w:val="superscript"/>
                <w:lang w:val="en-US" w:eastAsia="zh-CN" w:bidi="ar"/>
              </w:rPr>
              <w:t>2</w:t>
            </w:r>
            <w:r>
              <w:rPr>
                <w:rFonts w:hint="eastAsia" w:ascii="仿宋" w:hAnsi="仿宋" w:eastAsia="仿宋" w:cs="仿宋"/>
                <w:i w:val="0"/>
                <w:iCs w:val="0"/>
                <w:color w:val="000000"/>
                <w:kern w:val="0"/>
                <w:sz w:val="20"/>
                <w:szCs w:val="20"/>
                <w:u w:val="none"/>
                <w:lang w:val="en-US" w:eastAsia="zh-CN" w:bidi="ar"/>
              </w:rPr>
              <w:t>；</w:t>
            </w:r>
          </w:p>
        </w:tc>
      </w:tr>
      <w:tr w14:paraId="6439D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1FA0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9211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5E47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香蕉头导线</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4F8B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AD3F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带有转接口，4mm香蕉插头；纯铜导线，长度分别为200mm、300mm、400mm，芯线截面积≥0.5mm</w:t>
            </w:r>
            <w:r>
              <w:rPr>
                <w:rFonts w:hint="eastAsia" w:ascii="仿宋" w:hAnsi="仿宋" w:eastAsia="仿宋" w:cs="仿宋"/>
                <w:i w:val="0"/>
                <w:iCs w:val="0"/>
                <w:color w:val="000000"/>
                <w:kern w:val="0"/>
                <w:sz w:val="20"/>
                <w:szCs w:val="20"/>
                <w:u w:val="none"/>
                <w:vertAlign w:val="superscript"/>
                <w:lang w:val="en-US" w:eastAsia="zh-CN" w:bidi="ar"/>
              </w:rPr>
              <w:t>2</w:t>
            </w:r>
            <w:r>
              <w:rPr>
                <w:rFonts w:hint="eastAsia" w:ascii="仿宋" w:hAnsi="仿宋" w:eastAsia="仿宋" w:cs="仿宋"/>
                <w:i w:val="0"/>
                <w:iCs w:val="0"/>
                <w:color w:val="000000"/>
                <w:kern w:val="0"/>
                <w:sz w:val="20"/>
                <w:szCs w:val="20"/>
                <w:u w:val="none"/>
                <w:lang w:val="en-US" w:eastAsia="zh-CN" w:bidi="ar"/>
              </w:rPr>
              <w:t>；</w:t>
            </w:r>
          </w:p>
        </w:tc>
      </w:tr>
      <w:tr w14:paraId="28090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85A14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C510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2B6F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组合接头导线</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0B75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26B2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一头为纯铜接线叉，一头为接线夹，接线叉开口5.9mm；纯铜导线，长度分别为200mm、300mm、400mm，芯线截面积≥0.5mm</w:t>
            </w:r>
            <w:r>
              <w:rPr>
                <w:rFonts w:hint="eastAsia" w:ascii="仿宋" w:hAnsi="仿宋" w:eastAsia="仿宋" w:cs="仿宋"/>
                <w:i w:val="0"/>
                <w:iCs w:val="0"/>
                <w:color w:val="000000"/>
                <w:kern w:val="0"/>
                <w:sz w:val="20"/>
                <w:szCs w:val="20"/>
                <w:u w:val="none"/>
                <w:vertAlign w:val="superscript"/>
                <w:lang w:val="en-US" w:eastAsia="zh-CN" w:bidi="ar"/>
              </w:rPr>
              <w:t>2</w:t>
            </w:r>
            <w:r>
              <w:rPr>
                <w:rFonts w:hint="eastAsia" w:ascii="仿宋" w:hAnsi="仿宋" w:eastAsia="仿宋" w:cs="仿宋"/>
                <w:i w:val="0"/>
                <w:iCs w:val="0"/>
                <w:color w:val="000000"/>
                <w:kern w:val="0"/>
                <w:sz w:val="20"/>
                <w:szCs w:val="20"/>
                <w:u w:val="none"/>
                <w:lang w:val="en-US" w:eastAsia="zh-CN" w:bidi="ar"/>
              </w:rPr>
              <w:t>；</w:t>
            </w:r>
          </w:p>
        </w:tc>
      </w:tr>
      <w:tr w14:paraId="1C856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85B5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D1E62">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65FF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菱形小磁针</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1E48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8508B">
            <w:pPr>
              <w:pStyle w:val="2"/>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Style w:val="7"/>
                <w:rFonts w:hint="eastAsia" w:ascii="仿宋" w:hAnsi="仿宋" w:eastAsia="仿宋" w:cs="仿宋"/>
                <w:sz w:val="20"/>
                <w:szCs w:val="20"/>
                <w:lang w:val="en-US" w:eastAsia="zh-CN" w:bidi="ar"/>
              </w:rPr>
              <w:t>16支，磁针≥28mm×8mm，底座≥</w:t>
            </w: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25mm×25mm，磁针体中间铆接铜轴承套，内嵌玻璃轴承，平均磁感应强度≥5mT</w:t>
            </w:r>
          </w:p>
        </w:tc>
      </w:tr>
      <w:tr w14:paraId="5D9D0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8C8C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95E0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2D97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翼形磁针</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7EBA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F02D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Style w:val="7"/>
                <w:rFonts w:hint="eastAsia" w:ascii="仿宋" w:hAnsi="仿宋" w:eastAsia="仿宋" w:cs="仿宋"/>
                <w:sz w:val="20"/>
                <w:szCs w:val="20"/>
                <w:lang w:val="en-US" w:eastAsia="zh-CN" w:bidi="ar"/>
              </w:rPr>
              <w:t>2支，针体≥140mm×8mm，底座≥</w:t>
            </w: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71mm×112mm。磁针体中间铆接铜轴承套，内嵌玻璃轴承，平均磁感应强度≥9mT</w:t>
            </w:r>
          </w:p>
        </w:tc>
      </w:tr>
      <w:tr w14:paraId="474B0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FFF8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3F00B">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4BA6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条形磁体</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6030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7CE2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D－CG－LT－180，表面磁感应强度≥0.07T</w:t>
            </w:r>
          </w:p>
        </w:tc>
      </w:tr>
      <w:tr w14:paraId="6FD70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A9E4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6C68F">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FE3B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蹄形磁体</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42B7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BC99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一体成型，D－CG－LU－100，表面磁感应强度≥0.07T</w:t>
            </w:r>
          </w:p>
        </w:tc>
      </w:tr>
      <w:tr w14:paraId="527A6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E701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AF73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2C36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充磁器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85B8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9982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有充磁时间自动控制功能，外壳为非铁磁性材料，线圈轴向长度≥80mm，能充两极间距</w:t>
            </w:r>
            <w:r>
              <w:rPr>
                <w:rStyle w:val="7"/>
                <w:rFonts w:hint="eastAsia" w:ascii="仿宋" w:hAnsi="仿宋" w:eastAsia="仿宋" w:cs="仿宋"/>
                <w:sz w:val="20"/>
                <w:szCs w:val="20"/>
                <w:lang w:val="en-US" w:eastAsia="zh-CN" w:bidi="ar"/>
              </w:rPr>
              <w:t>≥</w:t>
            </w:r>
            <w:r>
              <w:rPr>
                <w:rFonts w:hint="eastAsia" w:ascii="仿宋" w:hAnsi="仿宋" w:eastAsia="仿宋" w:cs="仿宋"/>
                <w:i w:val="0"/>
                <w:iCs w:val="0"/>
                <w:color w:val="000000"/>
                <w:kern w:val="0"/>
                <w:sz w:val="20"/>
                <w:szCs w:val="20"/>
                <w:u w:val="none"/>
                <w:lang w:val="en-US" w:eastAsia="zh-CN" w:bidi="ar"/>
              </w:rPr>
              <w:t>28mm、磁极截面积≤42mm×24mm的蹄形磁体以及截面积≤42mm×24mm的条形磁体，电源与线圈骨架以及外壳金属件之间抗电强度3000V</w:t>
            </w:r>
          </w:p>
        </w:tc>
      </w:tr>
      <w:tr w14:paraId="275B5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C1082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D9FA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E953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灵敏电流计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8C10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D2FA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测量精度2.5级，测量范围-300μA～0μA～300μA；表头内阻：G0挡80Ω~125Ω,G1挡2400Ω~3000Ω</w:t>
            </w:r>
          </w:p>
        </w:tc>
      </w:tr>
      <w:tr w14:paraId="2B2C9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B95D1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8198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CD03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原副线圈</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5242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866F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原线圈：0.56mmQZ型漆包线310匝~330匝，线圈架内径约11mm，绕线宽度57mm。副线圈0.25mmQZ型漆包线670匝~680匝，线圈架内径24mm，绕线宽度52mm。性能要求：各线圈都应带绕向标识</w:t>
            </w:r>
          </w:p>
        </w:tc>
      </w:tr>
      <w:tr w14:paraId="0719E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B00E5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891E8">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F08C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高频信号发生器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3C93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ED76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0.4MHz～130MHz分段连续可调，误差±5%</w:t>
            </w:r>
          </w:p>
        </w:tc>
      </w:tr>
      <w:tr w14:paraId="51D4E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7092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22F9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180D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交流电路特性演示器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28CD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8CE5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频率连续可变（1Hz～60Hz）的正弦电源；用于交流电路中感抗、容抗和纯电阻实验，需包含大电感、小电感，大电容、小电容，电阻等比较实验</w:t>
            </w:r>
          </w:p>
        </w:tc>
      </w:tr>
      <w:tr w14:paraId="55F7E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26F6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1179D">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21A6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手摇交直流发电机</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338A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77BA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括定子、转子、整流器、集流环、电刷、灯座（带灯泡）、手摇驱动机构和底板等部分。定子应由永磁体和极靴组成，转子应由转轴、两极电枢铁芯、电枢线圈以及整流器和集流环等组成。整流器在任何位置不应将两电刷短路，电刷与整流器和集流环应使用弹性接触，转动灵活。转子转速</w:t>
            </w:r>
            <w:r>
              <w:rPr>
                <w:rStyle w:val="7"/>
                <w:rFonts w:hint="eastAsia" w:ascii="仿宋" w:hAnsi="仿宋" w:eastAsia="仿宋" w:cs="仿宋"/>
                <w:sz w:val="20"/>
                <w:szCs w:val="20"/>
                <w:lang w:val="en-US" w:eastAsia="zh-CN" w:bidi="ar"/>
              </w:rPr>
              <w:t>≥</w:t>
            </w:r>
            <w:r>
              <w:rPr>
                <w:rFonts w:hint="eastAsia" w:ascii="仿宋" w:hAnsi="仿宋" w:eastAsia="仿宋" w:cs="仿宋"/>
                <w:i w:val="0"/>
                <w:iCs w:val="0"/>
                <w:color w:val="000000"/>
                <w:kern w:val="0"/>
                <w:sz w:val="20"/>
                <w:szCs w:val="20"/>
                <w:u w:val="none"/>
                <w:lang w:val="en-US" w:eastAsia="zh-CN" w:bidi="ar"/>
              </w:rPr>
              <w:t>1600r/min空载时，输出端交流和直流电压均应≥8V。接16Ω电阻负载时，输出端交流和直流电压均应≥5V。不带皮带轮用作电动机使用时启动电压应≤4V，电流应≤0.4A</w:t>
            </w:r>
          </w:p>
        </w:tc>
      </w:tr>
      <w:tr w14:paraId="417A6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E394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A7CD5">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16D6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电磁振荡演示仪</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4B7D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8EB4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由具有铁芯的电感线圈、电容器、集成电路等组成，包括等幅振荡演示电路和阻尼振荡演示电路，仪器面板上印有原理图</w:t>
            </w:r>
          </w:p>
        </w:tc>
      </w:tr>
      <w:tr w14:paraId="0DEC7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BA2D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357A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F5C0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感应圈</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1AFA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1226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应带有高压输出插座和高压连接导线，可有放电电极。输出电压调节范围应为9kV～300kV（单边脉冲峰值），正反向（或反正向）电压峰值之比应≥1.5。输出电流最大应达到4mA（平均值）。在最高输出电压，放电间隙5mm时感应圈连续放电</w:t>
            </w:r>
            <w:r>
              <w:rPr>
                <w:rStyle w:val="7"/>
                <w:rFonts w:hint="eastAsia" w:ascii="仿宋" w:hAnsi="仿宋" w:eastAsia="仿宋" w:cs="仿宋"/>
                <w:sz w:val="20"/>
                <w:szCs w:val="20"/>
                <w:lang w:val="en-US" w:eastAsia="zh-CN" w:bidi="ar"/>
              </w:rPr>
              <w:t>≥</w:t>
            </w:r>
            <w:r>
              <w:rPr>
                <w:rFonts w:hint="eastAsia" w:ascii="仿宋" w:hAnsi="仿宋" w:eastAsia="仿宋" w:cs="仿宋"/>
                <w:i w:val="0"/>
                <w:iCs w:val="0"/>
                <w:color w:val="000000"/>
                <w:kern w:val="0"/>
                <w:sz w:val="20"/>
                <w:szCs w:val="20"/>
                <w:u w:val="none"/>
                <w:lang w:val="en-US" w:eastAsia="zh-CN" w:bidi="ar"/>
              </w:rPr>
              <w:t>15min，温升应≤15℃。感应圈高压绕组与电源输入端的抗电强度应≥3000V，高压绕组与保护接地线之间的抗电强度应≥3000V。应带有高压输出插座和高压连接导线，可有放电电极；应设防护罩，面板显著位置有安全警示标志</w:t>
            </w:r>
          </w:p>
        </w:tc>
      </w:tr>
      <w:tr w14:paraId="732D1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7530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E1DA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2D7D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光源</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B0AC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2471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距光源500mm处照度800-x～900-ux；发光亮度可调，可装在光具座上</w:t>
            </w:r>
          </w:p>
        </w:tc>
      </w:tr>
      <w:tr w14:paraId="2882D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47C2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E6D8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9641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分光计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F694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4D64E">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本分光镜采用光学玻璃，制成复合棱镜和会聚透镜，将平行光管与棱镜装在一个套管内，狭缝与会聚透镜产生的平行光束，通过棱镜，可用眼直接观察色散光谱。利用它可以对各种发光体的光谱进行分析。主要部件:</w:t>
            </w:r>
          </w:p>
          <w:p w14:paraId="0AAD439F">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1.保护片2.单缝3.透镜4.组合棱镜5.保护片。</w:t>
            </w:r>
          </w:p>
        </w:tc>
      </w:tr>
      <w:tr w14:paraId="0EEEB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F869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BA01B">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5F95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双缝干涉实验仪</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42A4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96513">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lang w:val="en-US" w:eastAsia="zh-CN" w:bidi="ar"/>
              </w:rPr>
              <w:t>1、</w:t>
            </w:r>
            <w:r>
              <w:rPr>
                <w:rFonts w:hint="eastAsia" w:ascii="仿宋" w:hAnsi="仿宋" w:eastAsia="仿宋" w:cs="仿宋"/>
                <w:i w:val="0"/>
                <w:iCs w:val="0"/>
                <w:color w:val="000000"/>
                <w:kern w:val="0"/>
                <w:sz w:val="20"/>
                <w:szCs w:val="20"/>
                <w:u w:val="none"/>
                <w:lang w:val="en-US" w:eastAsia="zh-CN" w:bidi="ar"/>
              </w:rPr>
              <w:t>至少包括灯泡1只、照明透镜1个、遮光板1个、滤色片及片座1个、单狭缝及缝座1个、单缝管1个、拨杆1个、遮光管1个、接长管1个、测量头1个、游标尺1个、滑块1个、手轮1个、目镜1个、半圆形支架环2个组成。</w:t>
            </w:r>
          </w:p>
          <w:p w14:paraId="3E07B298">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2"/>
                <w:sz w:val="20"/>
                <w:szCs w:val="20"/>
                <w:lang w:val="en-US" w:eastAsia="zh-CN" w:bidi="ar-SA"/>
              </w:rPr>
              <w:t>2、</w:t>
            </w:r>
            <w:r>
              <w:rPr>
                <w:rFonts w:hint="eastAsia" w:ascii="仿宋" w:hAnsi="仿宋" w:eastAsia="仿宋" w:cs="仿宋"/>
                <w:i w:val="0"/>
                <w:iCs w:val="0"/>
                <w:color w:val="000000"/>
                <w:kern w:val="0"/>
                <w:sz w:val="20"/>
                <w:szCs w:val="20"/>
                <w:u w:val="none"/>
                <w:lang w:val="en-US" w:eastAsia="zh-CN" w:bidi="ar"/>
              </w:rPr>
              <w:t>材质：金属支架，塑料外壳</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3、包装尺寸：≥620mm×180mm×100mm。</w:t>
            </w:r>
          </w:p>
        </w:tc>
      </w:tr>
      <w:tr w14:paraId="2BAEB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3357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7DD2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F849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偏振片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848C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C046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两片，带刻度；垂直不透光,平行透光。</w:t>
            </w:r>
          </w:p>
        </w:tc>
      </w:tr>
      <w:tr w14:paraId="5D9F5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854E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E2F12">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F0FF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光学平台</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93C6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197E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由轨道、可调光源座、光缝座、光屏座、相对光照度分布传感器、单缝、双缝、USB数据线构成；可与计算机直接通信。</w:t>
            </w:r>
          </w:p>
        </w:tc>
      </w:tr>
      <w:tr w14:paraId="088C6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A29B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F5D5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C2A5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示波器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DB47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EE978">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DC～5MHz，扫描范围：10Hz～100kHz，I类电器，电源端与信号输出端，抗电强度3000V。</w:t>
            </w:r>
          </w:p>
        </w:tc>
      </w:tr>
      <w:tr w14:paraId="74D84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30B1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3EEB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807B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信号发生器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BA5D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18860">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频率范围0.05Hz～50kHz、可产生正弦波、三角波及方波信号、各种输出波形不应有明显失真、I类电器、电源端与信号输出端抗电强度3000V。</w:t>
            </w:r>
          </w:p>
        </w:tc>
      </w:tr>
      <w:tr w14:paraId="0777B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0A41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DF12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773F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霍尔效应实验仪</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2AC8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99041">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由霍尔传感器及其原理电路图组成，可通过原理电路图测量霍尔电压。</w:t>
            </w:r>
          </w:p>
        </w:tc>
      </w:tr>
      <w:tr w14:paraId="59AE9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8DA62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高中化学仪器</w:t>
            </w: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5AD7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5E87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实验服</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2198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7698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分为大、中、小号，耐酸碱</w:t>
            </w:r>
          </w:p>
        </w:tc>
      </w:tr>
      <w:tr w14:paraId="27126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B3F4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6655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95E6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化学实验废水预处理装置</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15E8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97A6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主体透明，兼作教学使用，能进行pH 测试、 酸碱废液中和、重金属离子凝聚和过滤，能 处理中学常见无机化学废液，同时可以通过 仪器内的活性炭吸附少量混入的有机物。应 配备适量的凝聚剂和助凝剂，至少应配备更 换用活性炭包 2 个。处理量≥6 L/次</w:t>
            </w:r>
          </w:p>
        </w:tc>
      </w:tr>
      <w:tr w14:paraId="699AC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1B64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5F94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013C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放电反应实验仪</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F82E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2A2F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通电 2 min 之内即有氮气与氧气反应的现 象，消耗功率≤30 W</w:t>
            </w:r>
          </w:p>
        </w:tc>
      </w:tr>
      <w:tr w14:paraId="63E8F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C42A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BCC3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AA20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中和热测定仪</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AB3F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8E851">
            <w:pPr>
              <w:keepNext w:val="0"/>
              <w:keepLines w:val="0"/>
              <w:widowControl/>
              <w:suppressLineNumbers w:val="0"/>
              <w:spacing w:line="360" w:lineRule="auto"/>
              <w:jc w:val="left"/>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由外筒、隔热套、内筒、垫盖、上盖、搅拌棒等组成</w:t>
            </w:r>
          </w:p>
        </w:tc>
      </w:tr>
      <w:tr w14:paraId="7165A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9CAE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B03D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FF8B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原电池实验器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35AE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7E916">
            <w:pPr>
              <w:keepNext w:val="0"/>
              <w:keepLines w:val="0"/>
              <w:widowControl/>
              <w:numPr>
                <w:ilvl w:val="0"/>
                <w:numId w:val="2"/>
              </w:numPr>
              <w:suppressLineNumbers w:val="0"/>
              <w:spacing w:line="360" w:lineRule="auto"/>
              <w:jc w:val="left"/>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sz w:val="20"/>
                <w:szCs w:val="20"/>
                <w:u w:val="none"/>
              </w:rPr>
              <w:t>原电池装置容积为60mm×30mm×80mm(±2mm）。</w:t>
            </w:r>
          </w:p>
          <w:p w14:paraId="10E5FD53">
            <w:pPr>
              <w:keepNext w:val="0"/>
              <w:keepLines w:val="0"/>
              <w:widowControl/>
              <w:numPr>
                <w:ilvl w:val="0"/>
                <w:numId w:val="2"/>
              </w:numPr>
              <w:suppressLineNumbers w:val="0"/>
              <w:spacing w:line="360" w:lineRule="auto"/>
              <w:ind w:left="0" w:leftChars="0" w:firstLine="0" w:firstLineChars="0"/>
              <w:jc w:val="left"/>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sz w:val="20"/>
                <w:szCs w:val="20"/>
                <w:u w:val="none"/>
              </w:rPr>
              <w:t>装置耐酸，能盛放硫酸溶液。</w:t>
            </w:r>
          </w:p>
          <w:p w14:paraId="36854FC4">
            <w:pPr>
              <w:keepNext w:val="0"/>
              <w:keepLines w:val="0"/>
              <w:widowControl/>
              <w:numPr>
                <w:ilvl w:val="0"/>
                <w:numId w:val="0"/>
              </w:numPr>
              <w:suppressLineNumbers w:val="0"/>
              <w:spacing w:line="360" w:lineRule="auto"/>
              <w:ind w:leftChars="0"/>
              <w:jc w:val="left"/>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sz w:val="20"/>
                <w:szCs w:val="20"/>
                <w:u w:val="none"/>
              </w:rPr>
              <w:t>3.电极分别采用铜和锌组成。</w:t>
            </w:r>
          </w:p>
        </w:tc>
      </w:tr>
      <w:tr w14:paraId="7A409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274F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FCD9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2399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氢燃料电池实验器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C858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9F28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含一个质子交换膜电极，膜电极≥ 15 mm×15 mm</w:t>
            </w:r>
          </w:p>
        </w:tc>
      </w:tr>
      <w:tr w14:paraId="70AC3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E38E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47F5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231F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二氧化氮球</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88E0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9DA2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双球， 内封二氧化氮和四氧化二氮混合气 体，常温下球内气体为黄棕色</w:t>
            </w:r>
          </w:p>
        </w:tc>
      </w:tr>
      <w:tr w14:paraId="1883A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7DD4C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69BB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2258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溶液导电演示器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C38C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7FEBE">
            <w:pPr>
              <w:keepNext w:val="0"/>
              <w:keepLines w:val="0"/>
              <w:widowControl/>
              <w:suppressLineNumbers w:val="0"/>
              <w:spacing w:line="360" w:lineRule="auto"/>
              <w:jc w:val="left"/>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电表式，10mA，DC6V，串联电位器1kΩ，电阻560Ω。五组溶液同时比较，1×7开关（其中一档校准），采用不锈钢或石墨电极</w:t>
            </w:r>
          </w:p>
        </w:tc>
      </w:tr>
      <w:tr w14:paraId="671C7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AAB04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B4A4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E489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光化学实验演示器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FA47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79FB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能演示甲烷与氯气的反应，</w:t>
            </w:r>
            <w:r>
              <w:rPr>
                <w:rFonts w:hint="eastAsia" w:ascii="仿宋" w:hAnsi="仿宋" w:eastAsia="仿宋" w:cs="仿宋"/>
                <w:i w:val="0"/>
                <w:iCs w:val="0"/>
                <w:color w:val="auto"/>
                <w:kern w:val="0"/>
                <w:sz w:val="20"/>
                <w:szCs w:val="20"/>
                <w:u w:val="none"/>
                <w:lang w:val="en-US" w:eastAsia="zh-CN" w:bidi="ar"/>
              </w:rPr>
              <w:t>由底座、闪光装置、安全防护罩、手控按钮、开关、指示灯、附件盒等组成。</w:t>
            </w:r>
          </w:p>
        </w:tc>
      </w:tr>
      <w:tr w14:paraId="3A003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5C4C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957E8">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8F37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元素周期表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3DA4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03D1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有价层电子排布， ≥150 cm×110 cm，字迹 信息清晰，正确看</w:t>
            </w:r>
          </w:p>
        </w:tc>
      </w:tr>
      <w:tr w14:paraId="1C799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786B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044A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E169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教师用分子结构模型</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6283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9E2B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球棍式，氢原子球直径≥23mm，其他 原子球直径≥40 mm，</w:t>
            </w:r>
          </w:p>
        </w:tc>
      </w:tr>
      <w:tr w14:paraId="44E57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92EB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6A782">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D783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教师用分子结构模型</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4C07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76E4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auto"/>
                <w:kern w:val="0"/>
                <w:sz w:val="20"/>
                <w:szCs w:val="20"/>
                <w:u w:val="none"/>
                <w:lang w:val="en-US" w:eastAsia="zh-CN" w:bidi="ar"/>
              </w:rPr>
              <w:t>空间填充式，乙烷.乙烯.乙炔和苯，4个分子的轨道模型2个碳原子，黑色，4孔8个碳原子，黑色，5孔2个碳原子，黑色，6孔18个氢原子，白色，1孔12个5孔粉色球，π键的一部分，碳碳双键12个5孔紫色球，π键的一部分，碳碳双键9个π键的一部分，粉色，椭圆形，碳碳双键9个π键的一部分，紫色，椭圆形，碳碳双键18个σ键，灰色，梨形，碳氢键9个σ键，灰色，椭圆形，碳碳单键24个白色中键，19mm24个透明短键，2mm30个粉色小孔帽30个紫色小孔帽1个比例扳手</w:t>
            </w:r>
          </w:p>
        </w:tc>
      </w:tr>
      <w:tr w14:paraId="47B5F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985B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D1A4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584A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学生用分子结构模型</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9450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3E20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球棍式，氢原子球直径≥ 17mm，其他 原子球直径≥23 mm</w:t>
            </w:r>
          </w:p>
        </w:tc>
      </w:tr>
      <w:tr w14:paraId="7D823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4917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2F41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4B77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原子轨道模型</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4F2D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C126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Style w:val="7"/>
                <w:rFonts w:hint="eastAsia" w:ascii="仿宋" w:hAnsi="仿宋" w:eastAsia="仿宋" w:cs="仿宋"/>
                <w:sz w:val="20"/>
                <w:szCs w:val="20"/>
                <w:lang w:val="en-US" w:eastAsia="zh-CN" w:bidi="ar"/>
              </w:rPr>
              <w:t>s、p</w:t>
            </w:r>
            <w:r>
              <w:rPr>
                <w:rStyle w:val="8"/>
                <w:rFonts w:hint="eastAsia" w:ascii="仿宋" w:hAnsi="仿宋" w:eastAsia="仿宋" w:cs="仿宋"/>
                <w:sz w:val="20"/>
                <w:szCs w:val="20"/>
                <w:lang w:val="en-US" w:eastAsia="zh-CN" w:bidi="ar"/>
              </w:rPr>
              <w:t>x</w:t>
            </w:r>
            <w:r>
              <w:rPr>
                <w:rStyle w:val="7"/>
                <w:rFonts w:hint="eastAsia" w:ascii="仿宋" w:hAnsi="仿宋" w:eastAsia="仿宋" w:cs="仿宋"/>
                <w:sz w:val="20"/>
                <w:szCs w:val="20"/>
                <w:lang w:val="en-US" w:eastAsia="zh-CN" w:bidi="ar"/>
              </w:rPr>
              <w:t>、p</w:t>
            </w:r>
            <w:r>
              <w:rPr>
                <w:rStyle w:val="8"/>
                <w:rFonts w:hint="eastAsia" w:ascii="仿宋" w:hAnsi="仿宋" w:eastAsia="仿宋" w:cs="仿宋"/>
                <w:sz w:val="20"/>
                <w:szCs w:val="20"/>
                <w:lang w:val="en-US" w:eastAsia="zh-CN" w:bidi="ar"/>
              </w:rPr>
              <w:t>y</w:t>
            </w:r>
            <w:r>
              <w:rPr>
                <w:rStyle w:val="7"/>
                <w:rFonts w:hint="eastAsia" w:ascii="仿宋" w:hAnsi="仿宋" w:eastAsia="仿宋" w:cs="仿宋"/>
                <w:sz w:val="20"/>
                <w:szCs w:val="20"/>
                <w:lang w:val="en-US" w:eastAsia="zh-CN" w:bidi="ar"/>
              </w:rPr>
              <w:t>、p</w:t>
            </w:r>
            <w:r>
              <w:rPr>
                <w:rStyle w:val="8"/>
                <w:rFonts w:hint="eastAsia" w:ascii="仿宋" w:hAnsi="仿宋" w:eastAsia="仿宋" w:cs="仿宋"/>
                <w:sz w:val="20"/>
                <w:szCs w:val="20"/>
                <w:lang w:val="en-US" w:eastAsia="zh-CN" w:bidi="ar"/>
              </w:rPr>
              <w:t>z</w:t>
            </w:r>
            <w:r>
              <w:rPr>
                <w:rStyle w:val="7"/>
                <w:rFonts w:hint="eastAsia" w:ascii="仿宋" w:hAnsi="仿宋" w:eastAsia="仿宋" w:cs="仿宋"/>
                <w:sz w:val="20"/>
                <w:szCs w:val="20"/>
                <w:lang w:val="en-US" w:eastAsia="zh-CN" w:bidi="ar"/>
              </w:rPr>
              <w:t>、d</w:t>
            </w:r>
            <w:r>
              <w:rPr>
                <w:rStyle w:val="8"/>
                <w:rFonts w:hint="eastAsia" w:ascii="仿宋" w:hAnsi="仿宋" w:eastAsia="仿宋" w:cs="仿宋"/>
                <w:sz w:val="20"/>
                <w:szCs w:val="20"/>
                <w:lang w:val="en-US" w:eastAsia="zh-CN" w:bidi="ar"/>
              </w:rPr>
              <w:t>x2-y2</w:t>
            </w:r>
            <w:r>
              <w:rPr>
                <w:rStyle w:val="7"/>
                <w:rFonts w:hint="eastAsia" w:ascii="仿宋" w:hAnsi="仿宋" w:eastAsia="仿宋" w:cs="仿宋"/>
                <w:sz w:val="20"/>
                <w:szCs w:val="20"/>
                <w:lang w:val="en-US" w:eastAsia="zh-CN" w:bidi="ar"/>
              </w:rPr>
              <w:t>、d</w:t>
            </w:r>
            <w:r>
              <w:rPr>
                <w:rStyle w:val="8"/>
                <w:rFonts w:hint="eastAsia" w:ascii="仿宋" w:hAnsi="仿宋" w:eastAsia="仿宋" w:cs="仿宋"/>
                <w:sz w:val="20"/>
                <w:szCs w:val="20"/>
                <w:lang w:val="en-US" w:eastAsia="zh-CN" w:bidi="ar"/>
              </w:rPr>
              <w:t>z2</w:t>
            </w:r>
            <w:r>
              <w:rPr>
                <w:rStyle w:val="7"/>
                <w:rFonts w:hint="eastAsia" w:ascii="仿宋" w:hAnsi="仿宋" w:eastAsia="仿宋" w:cs="仿宋"/>
                <w:sz w:val="20"/>
                <w:szCs w:val="20"/>
                <w:lang w:val="en-US" w:eastAsia="zh-CN" w:bidi="ar"/>
              </w:rPr>
              <w:t>、d</w:t>
            </w:r>
            <w:r>
              <w:rPr>
                <w:rStyle w:val="8"/>
                <w:rFonts w:hint="eastAsia" w:ascii="仿宋" w:hAnsi="仿宋" w:eastAsia="仿宋" w:cs="仿宋"/>
                <w:sz w:val="20"/>
                <w:szCs w:val="20"/>
                <w:lang w:val="en-US" w:eastAsia="zh-CN" w:bidi="ar"/>
              </w:rPr>
              <w:t>xy</w:t>
            </w:r>
            <w:r>
              <w:rPr>
                <w:rStyle w:val="7"/>
                <w:rFonts w:hint="eastAsia" w:ascii="仿宋" w:hAnsi="仿宋" w:eastAsia="仿宋" w:cs="仿宋"/>
                <w:sz w:val="20"/>
                <w:szCs w:val="20"/>
                <w:lang w:val="en-US" w:eastAsia="zh-CN" w:bidi="ar"/>
              </w:rPr>
              <w:t>、d</w:t>
            </w:r>
            <w:r>
              <w:rPr>
                <w:rStyle w:val="8"/>
                <w:rFonts w:hint="eastAsia" w:ascii="仿宋" w:hAnsi="仿宋" w:eastAsia="仿宋" w:cs="仿宋"/>
                <w:sz w:val="20"/>
                <w:szCs w:val="20"/>
                <w:lang w:val="en-US" w:eastAsia="zh-CN" w:bidi="ar"/>
              </w:rPr>
              <w:t>yz</w:t>
            </w:r>
            <w:r>
              <w:rPr>
                <w:rStyle w:val="7"/>
                <w:rFonts w:hint="eastAsia" w:ascii="仿宋" w:hAnsi="仿宋" w:eastAsia="仿宋" w:cs="仿宋"/>
                <w:sz w:val="20"/>
                <w:szCs w:val="20"/>
                <w:lang w:val="en-US" w:eastAsia="zh-CN" w:bidi="ar"/>
              </w:rPr>
              <w:t xml:space="preserve">、d </w:t>
            </w:r>
            <w:r>
              <w:rPr>
                <w:rStyle w:val="8"/>
                <w:rFonts w:hint="eastAsia" w:ascii="仿宋" w:hAnsi="仿宋" w:eastAsia="仿宋" w:cs="仿宋"/>
                <w:sz w:val="20"/>
                <w:szCs w:val="20"/>
                <w:lang w:val="en-US" w:eastAsia="zh-CN" w:bidi="ar"/>
              </w:rPr>
              <w:t>zx，</w:t>
            </w:r>
            <w:r>
              <w:rPr>
                <w:rFonts w:hint="eastAsia" w:ascii="仿宋" w:hAnsi="仿宋" w:eastAsia="仿宋" w:cs="仿宋"/>
                <w:i w:val="0"/>
                <w:iCs w:val="0"/>
                <w:color w:val="auto"/>
                <w:kern w:val="0"/>
                <w:sz w:val="20"/>
                <w:szCs w:val="20"/>
                <w:u w:val="none"/>
                <w:lang w:val="en-US" w:eastAsia="zh-CN" w:bidi="ar"/>
              </w:rPr>
              <w:t>共14个原子轨道模型</w:t>
            </w:r>
          </w:p>
        </w:tc>
      </w:tr>
      <w:tr w14:paraId="3D7B0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5AD34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EA44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811F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轨道重叠方式模型</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B146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3000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σ键模型（s-s、s-p、p-p）、 π键模型（简 单的 p-p π键、N2 分子的两个π键）</w:t>
            </w:r>
          </w:p>
        </w:tc>
      </w:tr>
      <w:tr w14:paraId="48E74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7BCA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9E54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A5D8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分子空间结构模型</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3F79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740B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球棍式，包括 CO2 、H2O、HCHO、NH3 、CH4、  P4 、P4O6 、P4O10 、C60 、船式 C6H12 、椅式 C6H12、 S8 、SF6</w:t>
            </w:r>
          </w:p>
        </w:tc>
      </w:tr>
      <w:tr w14:paraId="2E073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206D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B13AB">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94FF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原子杂化轨道模型</w:t>
            </w:r>
            <m:oMath>
              <m:r>
                <m:rPr>
                  <m:sty m:val="p"/>
                </m:rPr>
                <w:rPr>
                  <w:rFonts w:hint="eastAsia" w:ascii="Cambria Math" w:hAnsi="Cambria Math" w:eastAsia="仿宋" w:cs="仿宋"/>
                  <w:sz w:val="20"/>
                  <w:szCs w:val="20"/>
                  <w:lang w:val="en-US" w:eastAsia="zh-CN"/>
                </w:rPr>
                <m:t xml:space="preserve">规格参数 </m:t>
              </m:r>
            </m:oMath>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2A16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B827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sp、sp2 、sp3</w:t>
            </w:r>
          </w:p>
        </w:tc>
      </w:tr>
      <w:tr w14:paraId="55702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367B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63A6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6CF3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价层电子对互斥模型</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3E6A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6EF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CO2 、SO2 、CO32- 、H2O、SO3 、NH3 、CH4</w:t>
            </w:r>
          </w:p>
        </w:tc>
      </w:tr>
      <w:tr w14:paraId="194C5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8D36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1716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2D79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金属晶体结构模型</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15B7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3430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包括但不局限于 Cu、Na、Zn 等，球直径不 小于 30 mm</w:t>
            </w:r>
          </w:p>
        </w:tc>
      </w:tr>
      <w:tr w14:paraId="4F294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0744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4C0F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F2E6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离子晶体结构模型</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1397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2BB0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包括但不局限于氯化钠、氯化铯等，球直径 ≥ 30 mm</w:t>
            </w:r>
          </w:p>
        </w:tc>
      </w:tr>
      <w:tr w14:paraId="0C7DD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AB09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D5BF8">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4D63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共价晶体结构模型</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0640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9EF6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包括但不局限于金刚石、二氧化硅等，球直 径≥ 30 mm</w:t>
            </w:r>
          </w:p>
        </w:tc>
      </w:tr>
      <w:tr w14:paraId="722D3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294B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3070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3C97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分子晶体结构模型</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E8E2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F1E6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包括但不局限于 C60 、冰、干冰、碘、天然 气水合物等，球直径≥30 mm</w:t>
            </w:r>
          </w:p>
        </w:tc>
      </w:tr>
      <w:tr w14:paraId="6E1F3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680F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5D6C5">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F7E3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混合型晶体结构模型</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EBC5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7C80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石墨，球直径≥ 30 mm</w:t>
            </w:r>
          </w:p>
        </w:tc>
      </w:tr>
      <w:tr w14:paraId="3090E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848E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E554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6F5F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沸腾焙烧炉模型</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CD35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0880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模型高度≥500 mm，放 大风帽高度≥120 mm</w:t>
            </w:r>
          </w:p>
        </w:tc>
      </w:tr>
      <w:tr w14:paraId="081B7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1FDF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734E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47E8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硫酸接触室模型</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F220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DB73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模型高度≥500 mm，直 径≥200 mm</w:t>
            </w:r>
          </w:p>
        </w:tc>
      </w:tr>
      <w:tr w14:paraId="013EE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73DE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5BC1D">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9451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氨合成塔模型</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5468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5583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模型高度≥800 mm，直 径≥120 mm</w:t>
            </w:r>
          </w:p>
        </w:tc>
      </w:tr>
      <w:tr w14:paraId="63523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AC62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429F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E0A4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炼铁高炉模型</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480C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B2A4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模型高度≥650 mm</w:t>
            </w:r>
          </w:p>
        </w:tc>
      </w:tr>
      <w:tr w14:paraId="068D6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7D8E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4E0A2">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E8BF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晶体标本</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5916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AC90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包括但不局限于氯化钠、硫黄、碘、高锰酸 钾、胆矾等</w:t>
            </w:r>
          </w:p>
        </w:tc>
      </w:tr>
      <w:tr w14:paraId="5E1A3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A4F2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8F54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81D4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非晶体标本</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C31F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92BC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包括但不局限于玻璃、炭黑等</w:t>
            </w:r>
          </w:p>
        </w:tc>
      </w:tr>
      <w:tr w14:paraId="46884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9F60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FBC2B">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DC34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金属矿物标本</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9B49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5919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包括但不局限于萤石、刚玉、黄玉、正长石、 磷灰石、方解石、石膏（生、熟）、滑石、 孔雀石、云母</w:t>
            </w:r>
          </w:p>
        </w:tc>
      </w:tr>
      <w:tr w14:paraId="53E60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42DE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87D2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4D67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非金属矿物标本</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1F36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A3FE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包括但不局限于玛瑙、水晶、金刚砂等</w:t>
            </w:r>
          </w:p>
        </w:tc>
      </w:tr>
      <w:tr w14:paraId="7FD93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3A1DB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07C9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0827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有机高分子材料标本</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526B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37032">
            <w:pPr>
              <w:keepNext w:val="0"/>
              <w:keepLines w:val="0"/>
              <w:widowControl/>
              <w:suppressLineNumbers w:val="0"/>
              <w:spacing w:line="360" w:lineRule="auto"/>
              <w:jc w:val="left"/>
              <w:textAlignment w:val="center"/>
              <w:rPr>
                <w:rFonts w:hint="eastAsia" w:ascii="仿宋" w:hAnsi="仿宋" w:eastAsia="仿宋" w:cs="仿宋"/>
                <w:i w:val="0"/>
                <w:iCs w:val="0"/>
                <w:color w:val="C00000"/>
                <w:sz w:val="20"/>
                <w:szCs w:val="20"/>
                <w:u w:val="none"/>
              </w:rPr>
            </w:pPr>
            <w:r>
              <w:rPr>
                <w:rFonts w:hint="eastAsia" w:ascii="仿宋" w:hAnsi="仿宋" w:eastAsia="仿宋" w:cs="仿宋"/>
                <w:i w:val="0"/>
                <w:iCs w:val="0"/>
                <w:color w:val="C00000"/>
                <w:kern w:val="0"/>
                <w:sz w:val="20"/>
                <w:szCs w:val="20"/>
                <w:u w:val="none"/>
                <w:lang w:val="en-US" w:eastAsia="zh-CN" w:bidi="ar"/>
              </w:rPr>
              <w:t>不</w:t>
            </w:r>
            <w:r>
              <w:rPr>
                <w:rFonts w:hint="eastAsia" w:ascii="仿宋" w:hAnsi="仿宋" w:eastAsia="仿宋" w:cs="仿宋"/>
                <w:i w:val="0"/>
                <w:iCs w:val="0"/>
                <w:color w:val="auto"/>
                <w:kern w:val="0"/>
                <w:sz w:val="20"/>
                <w:szCs w:val="20"/>
                <w:u w:val="none"/>
                <w:lang w:val="en-US" w:eastAsia="zh-CN" w:bidi="ar"/>
              </w:rPr>
              <w:t>少于10种本标本由塑料、橡胶、合成纤维组成。塑料由：聚乙烯、聚丙烯、聚氯乙烯、聚苯乙烯、ABS、天然橡胶、丁苯、棉纶、晴纶、丙纶、氯纶组成</w:t>
            </w:r>
          </w:p>
        </w:tc>
      </w:tr>
      <w:tr w14:paraId="33202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DAF57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C5B5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B6FA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列管式烘干器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8E1E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5971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由外壳、≥ 13 支通风管、电源线、发 热器、风扇等组成。通风管用外径 12 mm 的金属管制作，管壁厚≥2mm，长度 185 mm， 每支通风管上均布 10 个直径 5 mm 的通气 孔。功率≥250 W，绝缘电阻大于 100 MΩ</w:t>
            </w:r>
          </w:p>
        </w:tc>
      </w:tr>
      <w:tr w14:paraId="49E7E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A601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8C92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F0FF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学生电源</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ED6D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2D3D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直流 2 V～16 V，每挡 2 V，电流 2 A</w:t>
            </w:r>
          </w:p>
        </w:tc>
      </w:tr>
      <w:tr w14:paraId="0CF86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0D4D8">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CC5F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66B5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教学电源</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5F9E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FCB5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直流 2 V～6 V，12 A；8 V～12 V，4 A；14 V～24 V，3 A；短时 40 A，定时 8 s</w:t>
            </w:r>
          </w:p>
        </w:tc>
      </w:tr>
      <w:tr w14:paraId="661F4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AF20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8CA7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8BD8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仪器车</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4B20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6B15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600 mm×400 mm×800 mm，不锈钢材质，至 少两层，各层带可拆卸护栏，总载重≥60 kg</w:t>
            </w:r>
          </w:p>
        </w:tc>
      </w:tr>
      <w:tr w14:paraId="5C519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3E83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3D4E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94B4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试剂瓶托盘</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F0A5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B9B0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耐腐蚀材质，内沿≥400 mm×290 mm×50 mm</w:t>
            </w:r>
          </w:p>
        </w:tc>
      </w:tr>
      <w:tr w14:paraId="0DB90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2ADB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4D4F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2306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实验用品提篮</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5BD0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A277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环保材质，耐腐蚀，配有提手，≥490 mm×360 mm×290 mm，承重≥ 10 kg</w:t>
            </w:r>
          </w:p>
        </w:tc>
      </w:tr>
      <w:tr w14:paraId="25635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D581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0307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7D33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打孔器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14B7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204E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齿口式，材质为不锈钢管、钢管或黄铜管， 每组≥ 4 支，外径分别为 5.0 mm、6.5 mm、8.0 mm、9.5 mm，并配一支带柄金属通 扦</w:t>
            </w:r>
          </w:p>
        </w:tc>
      </w:tr>
      <w:tr w14:paraId="584C8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5361A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8AFE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3505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打孔夹板</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E0D5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1A40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硬木或硬塑料制，有大小不同的锥形孔</w:t>
            </w:r>
          </w:p>
        </w:tc>
      </w:tr>
      <w:tr w14:paraId="7CE49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DA89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31197">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5A384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托盘天平</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73FE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88B5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测量范围 0 g～100 g，分度值≤ 0.1 g</w:t>
            </w:r>
          </w:p>
        </w:tc>
      </w:tr>
      <w:tr w14:paraId="43E6F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60CD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25891">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46C42">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EE0D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2F04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测量范围 0 g～500 g，分度值≤ 0.5 g</w:t>
            </w:r>
          </w:p>
        </w:tc>
      </w:tr>
      <w:tr w14:paraId="60BFD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FE0E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E326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3FA7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电子天平</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3ED9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B615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测量范围 0 g～1000 g，分度值 ≤0.1 g</w:t>
            </w:r>
          </w:p>
        </w:tc>
      </w:tr>
      <w:tr w14:paraId="5D458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CBB2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87885">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7269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红液温度计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D729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7506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 ℃~100 ℃ , 分度值 ≤1 ℃ , 示值误差≤ 1.5 ℃</w:t>
            </w:r>
          </w:p>
        </w:tc>
      </w:tr>
      <w:tr w14:paraId="185AC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DB8B8">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D9D45">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D8E0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水银温度计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CB0C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FBAA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 ℃~100 ℃ , 分度值≤ 1 ℃ , 示值误差≤1.5 ℃</w:t>
            </w:r>
          </w:p>
        </w:tc>
      </w:tr>
      <w:tr w14:paraId="185E6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2FB0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298D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1ABA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pH 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8D1A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4D16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笔式，pH 测量范围 0～14，分辨力≤ 0.1，读 数清晰，有自动关机节电模式，配校准试剂</w:t>
            </w:r>
          </w:p>
        </w:tc>
      </w:tr>
      <w:tr w14:paraId="541B3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AC62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4AB1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D698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方座支架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7988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F0CC8">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包括方形座，立杆，平行夹，垂直夹两个， 烧瓶夹，大铁环，小铁环，吊杆。重心稳定 不晃动，烧瓶夹内侧</w:t>
            </w:r>
            <w:r>
              <w:rPr>
                <w:rFonts w:hint="eastAsia" w:ascii="仿宋" w:hAnsi="仿宋" w:eastAsia="仿宋" w:cs="仿宋"/>
                <w:i w:val="0"/>
                <w:iCs w:val="0"/>
                <w:color w:val="auto"/>
                <w:kern w:val="0"/>
                <w:sz w:val="20"/>
                <w:szCs w:val="20"/>
                <w:u w:val="none"/>
                <w:lang w:val="en-US" w:eastAsia="zh-CN" w:bidi="ar"/>
              </w:rPr>
              <w:t>应有缓压层，立杆直径方座支架约Φ12 长约610mm，表面镀铬处理。大环外径Φ110±2mm，柄长约100mm，小环外径Φ70±2mm，柄长约125mm 大小环上有一开口（宽约20mm）中心与环柄成不小于120°夹角。烧瓶夹，夹口宽度约 30mm 夹口内壁贴有耐热柔软层。有锁紧装置，锁紧装置由横孔螺母和球螺杆组成</w:t>
            </w:r>
          </w:p>
          <w:p w14:paraId="32E718E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auto"/>
                <w:kern w:val="0"/>
                <w:sz w:val="20"/>
                <w:szCs w:val="20"/>
                <w:u w:val="none"/>
                <w:lang w:val="en-US" w:eastAsia="zh-CN" w:bidi="ar"/>
              </w:rPr>
              <w:t>垂直夹、平行夹夹体由铝合金材料压铸成弄,单个重量不小于27KG表面防锈处理。</w:t>
            </w:r>
          </w:p>
        </w:tc>
      </w:tr>
      <w:tr w14:paraId="3DBF1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78D9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9B11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D6C1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三脚架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B87F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38F8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铁制，环内径 75 mm，高 150 mm</w:t>
            </w:r>
          </w:p>
        </w:tc>
      </w:tr>
      <w:tr w14:paraId="00A26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B077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61B28">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B97F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泥三角</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49F6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3FC6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陶制或者瓷制，内径应保证稳定支撑30mm 坩埚，泥边长80mm(±2mm）2.产品由金属丝和套在其上的石棉筒组成。3.金属丝用Φ2咖左右的钢丝接成等边三角形，三角形的单边长不小于80咖，钢丝接头绞合，绞合长度不小于20咖。4.石棉筒内径为Φ4咖，外径为Φ12咖。5.石棉筒应不裂、不缺、坚固、圆滑。6.金属丝应作防锈处理。7.整体应平整、美观。</w:t>
            </w:r>
          </w:p>
        </w:tc>
      </w:tr>
      <w:tr w14:paraId="1BE47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CC86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1EDE3">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F6654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试管架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2B69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87DE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木制或塑料制，≥8 孔，孔径 21 mm，立柱黏 结牢固</w:t>
            </w:r>
          </w:p>
        </w:tc>
      </w:tr>
      <w:tr w14:paraId="6C3A2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AB10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A0C49">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4C718">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4BFA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18A0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木制或塑料制，≥孔，孔径 25 mm</w:t>
            </w:r>
          </w:p>
        </w:tc>
      </w:tr>
      <w:tr w14:paraId="07D15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4144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FBCBF">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836FBA">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8090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8B60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木制或塑料制，≥ 孔，孔径 35 mm</w:t>
            </w:r>
          </w:p>
        </w:tc>
      </w:tr>
      <w:tr w14:paraId="719A6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BDE7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71CC2">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4827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漏斗架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DA49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4CD0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1、材质:亚克力:</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2、构成:由漏斗板、支杆及底座三部分组成: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3、尺寸:底座≥190mmx110mm,漏斗板1≥90mmx70mm,孔径45mm,总高≥180mm-295mm;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4、漏斗板表面上有二个锥形孔，整体高度可升降，底座放置平稳:</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5、立杆与底座组装后垂直，漏斗板组装后与立杆垂直.</w:t>
            </w:r>
          </w:p>
        </w:tc>
      </w:tr>
      <w:tr w14:paraId="53273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FAE6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E9E3F">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2077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滴定台</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5022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41DB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人造石或大理石白色台面，重心稳定不晃 动，底部有四个橡胶垫脚</w:t>
            </w:r>
          </w:p>
        </w:tc>
      </w:tr>
      <w:tr w14:paraId="0C9F4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A21F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1AB7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BFF6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滴定夹</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DD6D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109B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铝制，夹持部位有防滑脱凹槽</w:t>
            </w:r>
          </w:p>
        </w:tc>
      </w:tr>
      <w:tr w14:paraId="1397F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952C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C046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175B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多用滴管架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71D1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1131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塑料制，底部有圆形凹槽</w:t>
            </w:r>
          </w:p>
        </w:tc>
      </w:tr>
      <w:tr w14:paraId="6A78E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6159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64AD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B5AE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移液管架</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D927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5D6D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塑料制</w:t>
            </w:r>
          </w:p>
        </w:tc>
      </w:tr>
      <w:tr w14:paraId="2A75B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D93D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25C3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BCA1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比色管架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021A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9BE0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塑料制，6 孔</w:t>
            </w:r>
          </w:p>
        </w:tc>
      </w:tr>
      <w:tr w14:paraId="5F6E9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6F95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D2A2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CC05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升降台</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AB1F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031F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上下台面为不锈钢材质，台面防滑，100 mm×100 mm，台面升降范围 50 mm～150 mm</w:t>
            </w:r>
          </w:p>
        </w:tc>
      </w:tr>
      <w:tr w14:paraId="37EB0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807F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6F88B">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9216E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量筒</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00D1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0A05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 mL，透明硼硅酸盐玻璃制</w:t>
            </w:r>
          </w:p>
        </w:tc>
      </w:tr>
      <w:tr w14:paraId="78EBE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92FE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71135">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A2FB9">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F918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ADC8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 mL，透明硼硅酸盐玻璃制</w:t>
            </w:r>
          </w:p>
        </w:tc>
      </w:tr>
      <w:tr w14:paraId="7375E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04FB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00676">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4F462">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D5AE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3EA6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 mL，透明硼硅酸盐玻璃制</w:t>
            </w:r>
          </w:p>
        </w:tc>
      </w:tr>
      <w:tr w14:paraId="01085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201C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9311D">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AD441D">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C05C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D999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 mL，透明硼硅酸盐玻璃制</w:t>
            </w:r>
          </w:p>
        </w:tc>
      </w:tr>
      <w:tr w14:paraId="444F3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E0BB8">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03FA8">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664E3D">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148E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FEAC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 mL，透明硼硅酸盐玻璃制</w:t>
            </w:r>
          </w:p>
        </w:tc>
      </w:tr>
      <w:tr w14:paraId="756A5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6101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61D88">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51E58">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9430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6C97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1000 mL，透明硼硅酸盐玻璃制</w:t>
            </w:r>
          </w:p>
        </w:tc>
      </w:tr>
      <w:tr w14:paraId="61CED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1F5C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B1C33">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97739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容量瓶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17D0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0D39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 mL，透明硼硅酸盐玻璃制</w:t>
            </w:r>
          </w:p>
        </w:tc>
      </w:tr>
      <w:tr w14:paraId="69B4E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2174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FBC87">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D73E4">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8B98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26DD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 mL，透明硼硅酸盐玻璃制</w:t>
            </w:r>
          </w:p>
        </w:tc>
      </w:tr>
      <w:tr w14:paraId="159B3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B460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19AA9">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B247C">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20F8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2644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mL，透明硼硅酸盐玻璃制</w:t>
            </w:r>
          </w:p>
        </w:tc>
      </w:tr>
      <w:tr w14:paraId="547AB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B0C9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F0759">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4462C">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37AC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9D71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 mL，透明硼硅酸盐玻璃制</w:t>
            </w:r>
          </w:p>
        </w:tc>
      </w:tr>
      <w:tr w14:paraId="73748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F8E8E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57567">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73A89">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3CFD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D8C8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1000 mL，透明硼硅酸盐玻璃制</w:t>
            </w:r>
          </w:p>
        </w:tc>
      </w:tr>
      <w:tr w14:paraId="7E87D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08D0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CEFC2">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B3739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滴定管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804B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71AF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酸式，25 mL，透明硼硅酸盐玻璃制</w:t>
            </w:r>
          </w:p>
        </w:tc>
      </w:tr>
      <w:tr w14:paraId="48154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722C2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A26EC">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EE8F0">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7F2C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9139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碱式，25 mL，透明硼硅酸盐玻璃制</w:t>
            </w:r>
          </w:p>
        </w:tc>
      </w:tr>
      <w:tr w14:paraId="10AF4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3208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470D9">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EE6CF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移液管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E102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9C04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 mL，透明硼硅酸盐玻璃制</w:t>
            </w:r>
          </w:p>
        </w:tc>
      </w:tr>
      <w:tr w14:paraId="373D9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41FC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693E9">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9A635">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CC94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B10C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 mL，透明硼硅酸盐玻璃制</w:t>
            </w:r>
          </w:p>
        </w:tc>
      </w:tr>
      <w:tr w14:paraId="2E639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7A73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78982">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366AD">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2C43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90DE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 mL，透明硼硅酸盐玻璃制</w:t>
            </w:r>
          </w:p>
        </w:tc>
      </w:tr>
      <w:tr w14:paraId="63098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B1EB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99397">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0BCB2">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B63F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DCEC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 mL，透明硼硅酸盐玻璃制</w:t>
            </w:r>
          </w:p>
        </w:tc>
      </w:tr>
      <w:tr w14:paraId="6989B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BFE4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6E62C">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0727C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试管</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1893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EC296">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12 mm×75 mm</w:t>
            </w:r>
            <w:r>
              <w:rPr>
                <w:rFonts w:hint="eastAsia" w:ascii="仿宋" w:hAnsi="仿宋" w:eastAsia="仿宋" w:cs="仿宋"/>
                <w:i w:val="0"/>
                <w:iCs w:val="0"/>
                <w:color w:val="000000"/>
                <w:kern w:val="0"/>
                <w:sz w:val="20"/>
                <w:szCs w:val="20"/>
                <w:u w:val="none"/>
                <w:lang w:val="en-US" w:eastAsia="zh-CN" w:bidi="ar"/>
              </w:rPr>
              <w:t>，透明硼硅酸盐玻璃制</w:t>
            </w:r>
          </w:p>
        </w:tc>
      </w:tr>
      <w:tr w14:paraId="7B064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FD8D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36FB3">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BD1F5">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6CCA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73E53">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15 mm×150 mm</w:t>
            </w:r>
            <w:r>
              <w:rPr>
                <w:rFonts w:hint="eastAsia" w:ascii="仿宋" w:hAnsi="仿宋" w:eastAsia="仿宋" w:cs="仿宋"/>
                <w:i w:val="0"/>
                <w:iCs w:val="0"/>
                <w:color w:val="000000"/>
                <w:kern w:val="0"/>
                <w:sz w:val="20"/>
                <w:szCs w:val="20"/>
                <w:u w:val="none"/>
                <w:lang w:val="en-US" w:eastAsia="zh-CN" w:bidi="ar"/>
              </w:rPr>
              <w:t>，透明硼硅酸盐玻璃制</w:t>
            </w:r>
          </w:p>
        </w:tc>
      </w:tr>
      <w:tr w14:paraId="4E5D0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CD2F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8062B">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F9975">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6769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4FE6C">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18 mm×180 mm</w:t>
            </w:r>
            <w:r>
              <w:rPr>
                <w:rFonts w:hint="eastAsia" w:ascii="仿宋" w:hAnsi="仿宋" w:eastAsia="仿宋" w:cs="仿宋"/>
                <w:i w:val="0"/>
                <w:iCs w:val="0"/>
                <w:color w:val="000000"/>
                <w:kern w:val="0"/>
                <w:sz w:val="20"/>
                <w:szCs w:val="20"/>
                <w:u w:val="none"/>
                <w:lang w:val="en-US" w:eastAsia="zh-CN" w:bidi="ar"/>
              </w:rPr>
              <w:t>，透明硼硅酸盐玻璃制</w:t>
            </w:r>
          </w:p>
        </w:tc>
      </w:tr>
      <w:tr w14:paraId="29D8C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5F84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6D8D8">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55526">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D810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57DD9">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20 mm×180 mm</w:t>
            </w:r>
            <w:r>
              <w:rPr>
                <w:rFonts w:hint="eastAsia" w:ascii="仿宋" w:hAnsi="仿宋" w:eastAsia="仿宋" w:cs="仿宋"/>
                <w:i w:val="0"/>
                <w:iCs w:val="0"/>
                <w:color w:val="000000"/>
                <w:kern w:val="0"/>
                <w:sz w:val="20"/>
                <w:szCs w:val="20"/>
                <w:u w:val="none"/>
                <w:lang w:val="en-US" w:eastAsia="zh-CN" w:bidi="ar"/>
              </w:rPr>
              <w:t>，透明硼硅酸盐玻璃制</w:t>
            </w:r>
          </w:p>
        </w:tc>
      </w:tr>
      <w:tr w14:paraId="7B7A1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0574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9F1AA">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C999C">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E51C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EDB16">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32 mm×200 mm</w:t>
            </w:r>
            <w:r>
              <w:rPr>
                <w:rFonts w:hint="eastAsia" w:ascii="仿宋" w:hAnsi="仿宋" w:eastAsia="仿宋" w:cs="仿宋"/>
                <w:i w:val="0"/>
                <w:iCs w:val="0"/>
                <w:color w:val="000000"/>
                <w:kern w:val="0"/>
                <w:sz w:val="20"/>
                <w:szCs w:val="20"/>
                <w:u w:val="none"/>
                <w:lang w:val="en-US" w:eastAsia="zh-CN" w:bidi="ar"/>
              </w:rPr>
              <w:t>，透明硼硅酸盐玻璃制</w:t>
            </w:r>
          </w:p>
        </w:tc>
      </w:tr>
      <w:tr w14:paraId="378DE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03FE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8F58F">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75604">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A3F6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CAD3B">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40 mm×200 mm</w:t>
            </w:r>
            <w:r>
              <w:rPr>
                <w:rFonts w:hint="eastAsia" w:ascii="仿宋" w:hAnsi="仿宋" w:eastAsia="仿宋" w:cs="仿宋"/>
                <w:i w:val="0"/>
                <w:iCs w:val="0"/>
                <w:color w:val="000000"/>
                <w:kern w:val="0"/>
                <w:sz w:val="20"/>
                <w:szCs w:val="20"/>
                <w:u w:val="none"/>
                <w:lang w:val="en-US" w:eastAsia="zh-CN" w:bidi="ar"/>
              </w:rPr>
              <w:t>，透明硼硅酸盐玻璃制</w:t>
            </w:r>
          </w:p>
        </w:tc>
      </w:tr>
      <w:tr w14:paraId="6F891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57A2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143D8">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331DD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口部具支试管</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7E08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9DF87">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18 mm×150 mm</w:t>
            </w:r>
            <w:r>
              <w:rPr>
                <w:rFonts w:hint="eastAsia" w:ascii="仿宋" w:hAnsi="仿宋" w:eastAsia="仿宋" w:cs="仿宋"/>
                <w:i w:val="0"/>
                <w:iCs w:val="0"/>
                <w:color w:val="000000"/>
                <w:kern w:val="0"/>
                <w:sz w:val="20"/>
                <w:szCs w:val="20"/>
                <w:u w:val="none"/>
                <w:lang w:val="en-US" w:eastAsia="zh-CN" w:bidi="ar"/>
              </w:rPr>
              <w:t>，透明硼硅酸盐玻璃制</w:t>
            </w:r>
          </w:p>
        </w:tc>
      </w:tr>
      <w:tr w14:paraId="3C566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D9CE6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4B33D">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5B0EF">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E1ED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4373B">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25 mm×200 mm</w:t>
            </w:r>
            <w:r>
              <w:rPr>
                <w:rFonts w:hint="eastAsia" w:ascii="仿宋" w:hAnsi="仿宋" w:eastAsia="仿宋" w:cs="仿宋"/>
                <w:i w:val="0"/>
                <w:iCs w:val="0"/>
                <w:color w:val="000000"/>
                <w:kern w:val="0"/>
                <w:sz w:val="20"/>
                <w:szCs w:val="20"/>
                <w:u w:val="none"/>
                <w:lang w:val="en-US" w:eastAsia="zh-CN" w:bidi="ar"/>
              </w:rPr>
              <w:t>，透明硼硅酸盐玻璃制</w:t>
            </w:r>
          </w:p>
        </w:tc>
      </w:tr>
      <w:tr w14:paraId="38794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A7FB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E95B4">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C5807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硬质玻璃管</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B808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B4A9C">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15 mm×150 mm</w:t>
            </w:r>
            <w:r>
              <w:rPr>
                <w:rFonts w:hint="eastAsia" w:ascii="仿宋" w:hAnsi="仿宋" w:eastAsia="仿宋" w:cs="仿宋"/>
                <w:i w:val="0"/>
                <w:iCs w:val="0"/>
                <w:color w:val="000000"/>
                <w:kern w:val="0"/>
                <w:sz w:val="20"/>
                <w:szCs w:val="20"/>
                <w:u w:val="none"/>
                <w:lang w:val="en-US" w:eastAsia="zh-CN" w:bidi="ar"/>
              </w:rPr>
              <w:t>，透明硼硅酸盐玻璃制</w:t>
            </w:r>
          </w:p>
        </w:tc>
      </w:tr>
      <w:tr w14:paraId="2E3EC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3EC9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513E5">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9568C">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D018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D7DB2">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20 mm×250 mm</w:t>
            </w:r>
            <w:r>
              <w:rPr>
                <w:rFonts w:hint="eastAsia" w:ascii="仿宋" w:hAnsi="仿宋" w:eastAsia="仿宋" w:cs="仿宋"/>
                <w:i w:val="0"/>
                <w:iCs w:val="0"/>
                <w:color w:val="000000"/>
                <w:kern w:val="0"/>
                <w:sz w:val="20"/>
                <w:szCs w:val="20"/>
                <w:u w:val="none"/>
                <w:lang w:val="en-US" w:eastAsia="zh-CN" w:bidi="ar"/>
              </w:rPr>
              <w:t>，透明硼硅酸盐玻璃制</w:t>
            </w:r>
          </w:p>
        </w:tc>
      </w:tr>
      <w:tr w14:paraId="17BC0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A6C8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92002">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EF6DA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烧杯</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0E10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160A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 mL，透明硼硅酸盐玻璃制</w:t>
            </w:r>
          </w:p>
        </w:tc>
      </w:tr>
      <w:tr w14:paraId="047BC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11C3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9F880">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C3B5E">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0DF2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8975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 mL，透明硼硅酸盐玻璃制</w:t>
            </w:r>
          </w:p>
        </w:tc>
      </w:tr>
      <w:tr w14:paraId="73569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0B61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CFE71">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CF33B">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6FAE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3DE0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 mL，透明硼硅酸盐玻璃制</w:t>
            </w:r>
          </w:p>
        </w:tc>
      </w:tr>
      <w:tr w14:paraId="504DA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1F02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31145">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77085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烧杯</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4DC5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EF79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 mL，透明硼硅酸盐玻璃制</w:t>
            </w:r>
          </w:p>
        </w:tc>
      </w:tr>
      <w:tr w14:paraId="07F45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A8AA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D20E5">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B559E">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37D3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F065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 mL，透明硼硅酸盐玻璃制</w:t>
            </w:r>
          </w:p>
        </w:tc>
      </w:tr>
      <w:tr w14:paraId="38EAA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B4BE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8A943">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32D89">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2E9D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1755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mL，透明硼硅酸盐玻璃制</w:t>
            </w:r>
          </w:p>
        </w:tc>
      </w:tr>
      <w:tr w14:paraId="5B5E4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1506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44200">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6DAA3">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0EFF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7212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 mL，透明硼硅酸盐玻璃制</w:t>
            </w:r>
          </w:p>
        </w:tc>
      </w:tr>
      <w:tr w14:paraId="5552C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7BC3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7459C">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630F4">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B73D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AE0C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1000 mL，透明硼硅酸盐玻璃制</w:t>
            </w:r>
          </w:p>
        </w:tc>
      </w:tr>
      <w:tr w14:paraId="4A2ED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4092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BC134">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B871E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烧瓶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BAA0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A851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圆底，长颈，250 mL，透明硼硅酸盐玻璃制</w:t>
            </w:r>
          </w:p>
        </w:tc>
      </w:tr>
      <w:tr w14:paraId="60106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320B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B97FE">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44750">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726B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82AD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圆底，短颈，厚口，250 mL，透明硼硅酸盐玻璃制</w:t>
            </w:r>
          </w:p>
        </w:tc>
      </w:tr>
      <w:tr w14:paraId="1AA46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C71E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B6EB5">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46769">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43F6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DEA2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圆底，长颈，凯氏，500 mL，透明硼硅酸盐玻璃制</w:t>
            </w:r>
          </w:p>
        </w:tc>
      </w:tr>
      <w:tr w14:paraId="1DB8A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7B7F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7370C">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794F1">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B6C7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1195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平底，长颈，250 mL，透明硼硅酸盐玻璃制</w:t>
            </w:r>
          </w:p>
        </w:tc>
      </w:tr>
      <w:tr w14:paraId="7ABD8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C7E00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0A97B">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EF6AD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锥形瓶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C4F8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325F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 mL，透明硼硅酸盐玻璃制</w:t>
            </w:r>
          </w:p>
        </w:tc>
      </w:tr>
      <w:tr w14:paraId="78F05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B4A0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C4599">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E8D85">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0745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CC75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mL，透明硼硅酸盐玻璃制</w:t>
            </w:r>
          </w:p>
        </w:tc>
      </w:tr>
      <w:tr w14:paraId="03BA0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ABC0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13D6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CACE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蒸馏烧瓶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A3BA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6404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mL，透明硼硅酸盐玻璃制</w:t>
            </w:r>
          </w:p>
        </w:tc>
      </w:tr>
      <w:tr w14:paraId="6AB1D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614A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058AB">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9416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三口烧瓶</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9D0E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3851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mL，透明硼硅酸盐玻璃制</w:t>
            </w:r>
          </w:p>
        </w:tc>
      </w:tr>
      <w:tr w14:paraId="7BDD4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1A7D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3854A">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76540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集气瓶</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00A9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EE63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125 mL，透明硼硅酸盐玻璃制</w:t>
            </w:r>
          </w:p>
        </w:tc>
      </w:tr>
      <w:tr w14:paraId="142DD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B91EC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B59E8">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BCE21">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30B1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F65F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mL，透明硼硅酸盐玻璃制</w:t>
            </w:r>
          </w:p>
        </w:tc>
      </w:tr>
      <w:tr w14:paraId="7A29C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31E1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38CA2">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E9812">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8347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3A6E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 mL，透明硼硅酸盐玻璃制</w:t>
            </w:r>
          </w:p>
        </w:tc>
      </w:tr>
      <w:tr w14:paraId="396D3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8F37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F2F9B">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198C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液封除毒气集气瓶</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415D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A9CE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mL，透明硼硅酸盐玻璃制</w:t>
            </w:r>
          </w:p>
        </w:tc>
      </w:tr>
      <w:tr w14:paraId="19BD2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5A9E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5007D">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8B34A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广口瓶</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4337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1AA7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 mL，透明硼硅酸盐玻璃制</w:t>
            </w:r>
          </w:p>
        </w:tc>
      </w:tr>
      <w:tr w14:paraId="64FB4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F150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64327">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778E9B">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CBE0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6DFE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125 mL，透明硼硅酸盐玻璃制</w:t>
            </w:r>
          </w:p>
        </w:tc>
      </w:tr>
      <w:tr w14:paraId="5214D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61868">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4F6D1">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6AD87">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A39F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8C43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mL，透明硼硅酸盐玻璃制</w:t>
            </w:r>
          </w:p>
        </w:tc>
      </w:tr>
      <w:tr w14:paraId="3160A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435FB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79560">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8BADB">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3ABF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C7AF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 mL，透明硼硅酸盐玻璃制</w:t>
            </w:r>
          </w:p>
        </w:tc>
      </w:tr>
      <w:tr w14:paraId="23EC0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2E65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ECE80">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0537C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茶色广口瓶</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2531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D4DB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 mL</w:t>
            </w:r>
          </w:p>
        </w:tc>
      </w:tr>
      <w:tr w14:paraId="0B504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EA35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85FB0">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7044E">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42DF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8CB2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125 mL</w:t>
            </w:r>
          </w:p>
        </w:tc>
      </w:tr>
      <w:tr w14:paraId="39AB2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3815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B89A0">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F24A6">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F3EF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8AD2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mL，硼硅酸盐玻璃制</w:t>
            </w:r>
          </w:p>
        </w:tc>
      </w:tr>
      <w:tr w14:paraId="1FDC9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7DBB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C2871">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D45A4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细口瓶</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8F59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962B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 mL，透明硼硅酸盐玻璃制</w:t>
            </w:r>
          </w:p>
        </w:tc>
      </w:tr>
      <w:tr w14:paraId="60FA2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1032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D3FF5">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E6FCA">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1590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C81B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125 mL，透明硼硅酸盐玻璃制</w:t>
            </w:r>
          </w:p>
        </w:tc>
      </w:tr>
      <w:tr w14:paraId="26786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962E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308E8">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B2CDE">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659D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6062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mL，透明硼硅酸盐玻璃制</w:t>
            </w:r>
          </w:p>
        </w:tc>
      </w:tr>
      <w:tr w14:paraId="0FEBC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0E3F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7CF1B">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C4C99">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C61F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04C1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 mL，透明硼硅酸盐玻璃制</w:t>
            </w:r>
          </w:p>
        </w:tc>
      </w:tr>
      <w:tr w14:paraId="116B4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952B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B78E9">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E94ACC">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B831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1705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1000 mL，透明硼硅酸盐玻璃制</w:t>
            </w:r>
          </w:p>
        </w:tc>
      </w:tr>
      <w:tr w14:paraId="35D3B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53489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3930E">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51731">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F00B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9A26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2500 mL，透明硼硅酸盐玻璃制</w:t>
            </w:r>
          </w:p>
        </w:tc>
      </w:tr>
      <w:tr w14:paraId="3672F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3AAB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446A6">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0F1A8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茶色细口瓶</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D34A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B169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 mL，硼硅酸盐玻璃制</w:t>
            </w:r>
          </w:p>
        </w:tc>
      </w:tr>
      <w:tr w14:paraId="6AB56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exac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F85F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1B5A8">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09D2E">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E70C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7A34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125 mL</w:t>
            </w:r>
          </w:p>
        </w:tc>
      </w:tr>
      <w:tr w14:paraId="219A6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BC998">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DC14D">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80A1B">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4F88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479C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mL，硼硅酸盐玻璃制</w:t>
            </w:r>
          </w:p>
        </w:tc>
      </w:tr>
      <w:tr w14:paraId="35F4D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66DE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6321F">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A48A1">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7896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66D6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 mL，硼硅酸盐玻璃制</w:t>
            </w:r>
          </w:p>
        </w:tc>
      </w:tr>
      <w:tr w14:paraId="023C2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E483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5D39F">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E0D9E">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C476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376E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1000 mL，硼硅酸盐玻璃制</w:t>
            </w:r>
          </w:p>
        </w:tc>
      </w:tr>
      <w:tr w14:paraId="7BDA2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5142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D0FDA">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D743A">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2AC2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D212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2500 mL，硼硅酸盐玻璃制</w:t>
            </w:r>
          </w:p>
        </w:tc>
      </w:tr>
      <w:tr w14:paraId="461EE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24E7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F22ED">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19B9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下口瓶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7ACC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9CC7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5000 mL，透明硼硅酸盐玻璃制</w:t>
            </w:r>
          </w:p>
        </w:tc>
      </w:tr>
      <w:tr w14:paraId="79AF6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66508">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CF7EB">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C307A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滴瓶</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A0A7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A0FD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 mL，透明硼硅酸盐玻璃制</w:t>
            </w:r>
          </w:p>
        </w:tc>
      </w:tr>
      <w:tr w14:paraId="3A8FD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40BCB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52F3F">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00C4E">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EB84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03F4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 mL，透明硼硅酸盐玻璃制</w:t>
            </w:r>
          </w:p>
        </w:tc>
      </w:tr>
      <w:tr w14:paraId="6B1CD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361D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DC79E">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E70C0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茶色滴瓶</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6A9D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630B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 mL</w:t>
            </w:r>
          </w:p>
        </w:tc>
      </w:tr>
      <w:tr w14:paraId="2BAA6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236E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26ABC">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108376">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A33C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1832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 mL</w:t>
            </w:r>
          </w:p>
        </w:tc>
      </w:tr>
      <w:tr w14:paraId="701A7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6156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DE08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873B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称量瓶</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A8EB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E0DFB">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25 mm×40 mm，密合三级，内应力≤160 nm/cm</w:t>
            </w:r>
          </w:p>
        </w:tc>
      </w:tr>
      <w:tr w14:paraId="23D43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2BE17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F5D61">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62FA1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酒精灯</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114C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A030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150 mL，单头</w:t>
            </w:r>
          </w:p>
        </w:tc>
      </w:tr>
      <w:tr w14:paraId="2FE6E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3426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9455C">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5A8D08">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34CF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70C4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mL，单头</w:t>
            </w:r>
          </w:p>
        </w:tc>
      </w:tr>
      <w:tr w14:paraId="0FDE7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0112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9D791">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DA7372">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E614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A351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mL，双头</w:t>
            </w:r>
          </w:p>
        </w:tc>
      </w:tr>
      <w:tr w14:paraId="752EA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0707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E92D5">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3C1A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干燥器</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5808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791B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150 mm，透明硼硅酸盐玻璃制</w:t>
            </w:r>
          </w:p>
        </w:tc>
      </w:tr>
      <w:tr w14:paraId="152A4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318C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7AEED">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4AF9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气体发生器</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8C2D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73C1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mL，透明硼硅酸盐玻璃制</w:t>
            </w:r>
          </w:p>
        </w:tc>
      </w:tr>
      <w:tr w14:paraId="23751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4DB7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5F19E">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344DB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冷凝管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E065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B7FC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300 mm±10 mm，透明硼硅酸盐玻璃制</w:t>
            </w:r>
          </w:p>
        </w:tc>
      </w:tr>
      <w:tr w14:paraId="3ACE2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6353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8EDC6">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2ADAE3">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D445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05D7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300 mm±10 mm，透明硼硅酸盐玻璃制</w:t>
            </w:r>
          </w:p>
        </w:tc>
      </w:tr>
      <w:tr w14:paraId="05A73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32C1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81DF2">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E5EC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牛角管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F81E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E4252">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18 mm×150 mm</w:t>
            </w:r>
            <w:r>
              <w:rPr>
                <w:rFonts w:hint="eastAsia" w:ascii="仿宋" w:hAnsi="仿宋" w:eastAsia="仿宋" w:cs="仿宋"/>
                <w:i w:val="0"/>
                <w:iCs w:val="0"/>
                <w:color w:val="000000"/>
                <w:kern w:val="0"/>
                <w:sz w:val="20"/>
                <w:szCs w:val="20"/>
                <w:u w:val="none"/>
                <w:lang w:val="en-US" w:eastAsia="zh-CN" w:bidi="ar"/>
              </w:rPr>
              <w:t>，透明硼硅酸盐玻璃制</w:t>
            </w:r>
          </w:p>
        </w:tc>
      </w:tr>
      <w:tr w14:paraId="60683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84DC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4B7C5">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D2460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漏斗</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B548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4096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75 mm，透明硼硅酸盐玻璃制</w:t>
            </w:r>
          </w:p>
        </w:tc>
      </w:tr>
      <w:tr w14:paraId="5E201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6DFE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A1227">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B1463">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F62B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320B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90 mm，透明硼硅酸盐玻璃制</w:t>
            </w:r>
          </w:p>
        </w:tc>
      </w:tr>
      <w:tr w14:paraId="1AB74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6999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CA0F9">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6FA16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安全漏斗</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60C4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17E0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直形，颈长 300 mm，透明硼硅酸盐玻璃制</w:t>
            </w:r>
          </w:p>
        </w:tc>
      </w:tr>
      <w:tr w14:paraId="23FF5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A433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BDD04">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58C26">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2005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A164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环形双球，透明硼硅酸盐玻璃制</w:t>
            </w:r>
          </w:p>
        </w:tc>
      </w:tr>
      <w:tr w14:paraId="621EA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9399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C5BC1">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E43B8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分液漏斗</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258B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78C5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锥形，100 mL，透明硼硅酸盐玻璃制</w:t>
            </w:r>
          </w:p>
        </w:tc>
      </w:tr>
      <w:tr w14:paraId="7D586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A1A96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A1D6B">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C6E29F">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B160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7B4F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梨形，50 mL，透明硼硅酸盐玻璃制</w:t>
            </w:r>
          </w:p>
        </w:tc>
      </w:tr>
      <w:tr w14:paraId="0C766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4B88C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6FD48">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E387A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三通连接管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4567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E5F6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T 形，透明硼硅酸盐玻璃制</w:t>
            </w:r>
          </w:p>
        </w:tc>
      </w:tr>
      <w:tr w14:paraId="3526F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08E8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11B9F">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8D060">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861F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6B1B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Y 形，透明硼硅酸盐玻璃制</w:t>
            </w:r>
          </w:p>
        </w:tc>
      </w:tr>
      <w:tr w14:paraId="0ECDF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45E6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3D49F">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7474C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滴管</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F0C5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DBF19">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8 mm×100 mm</w:t>
            </w:r>
            <w:r>
              <w:rPr>
                <w:rFonts w:hint="eastAsia" w:ascii="仿宋" w:hAnsi="仿宋" w:eastAsia="仿宋" w:cs="仿宋"/>
                <w:i w:val="0"/>
                <w:iCs w:val="0"/>
                <w:color w:val="000000"/>
                <w:kern w:val="0"/>
                <w:sz w:val="20"/>
                <w:szCs w:val="20"/>
                <w:u w:val="none"/>
                <w:lang w:val="en-US" w:eastAsia="zh-CN" w:bidi="ar"/>
              </w:rPr>
              <w:t>，透明硼硅酸盐玻璃制</w:t>
            </w:r>
          </w:p>
        </w:tc>
      </w:tr>
      <w:tr w14:paraId="2C1B1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A411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8D4B9">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8008BE">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A130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70270">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8 mm×150 mm</w:t>
            </w:r>
            <w:r>
              <w:rPr>
                <w:rFonts w:hint="eastAsia" w:ascii="仿宋" w:hAnsi="仿宋" w:eastAsia="仿宋" w:cs="仿宋"/>
                <w:i w:val="0"/>
                <w:iCs w:val="0"/>
                <w:color w:val="000000"/>
                <w:kern w:val="0"/>
                <w:sz w:val="20"/>
                <w:szCs w:val="20"/>
                <w:u w:val="none"/>
                <w:lang w:val="en-US" w:eastAsia="zh-CN" w:bidi="ar"/>
              </w:rPr>
              <w:t>，透明硼硅酸盐玻璃制</w:t>
            </w:r>
          </w:p>
        </w:tc>
      </w:tr>
      <w:tr w14:paraId="773A9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E322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DA9D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8EE6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离心管</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C9FC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6251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 mL，透明硼硅酸盐玻璃制</w:t>
            </w:r>
          </w:p>
        </w:tc>
      </w:tr>
      <w:tr w14:paraId="54EDE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76BD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38CD8">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FDCAB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干燥管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E498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B832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145 mm，直形单球</w:t>
            </w:r>
          </w:p>
        </w:tc>
      </w:tr>
      <w:tr w14:paraId="2EDE9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6EB4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02E34">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A5D0F">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E520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BD9E3">
            <w:pPr>
              <w:keepNext w:val="0"/>
              <w:keepLines w:val="0"/>
              <w:widowControl/>
              <w:suppressLineNumbers w:val="0"/>
              <w:spacing w:line="360" w:lineRule="auto"/>
              <w:jc w:val="left"/>
              <w:textAlignment w:val="center"/>
              <w:rPr>
                <w:rFonts w:hint="eastAsia" w:ascii="仿宋" w:hAnsi="仿宋" w:eastAsia="仿宋" w:cs="仿宋"/>
                <w:i w:val="0"/>
                <w:iCs w:val="0"/>
                <w:color w:val="auto"/>
                <w:sz w:val="20"/>
                <w:szCs w:val="20"/>
                <w:u w:val="none"/>
              </w:rPr>
            </w:pPr>
            <w:r>
              <w:rPr>
                <w:rStyle w:val="7"/>
                <w:rFonts w:hint="eastAsia" w:ascii="仿宋" w:hAnsi="仿宋" w:eastAsia="仿宋" w:cs="仿宋"/>
                <w:color w:val="auto"/>
                <w:sz w:val="20"/>
                <w:szCs w:val="20"/>
                <w:lang w:val="en-US" w:eastAsia="zh-CN" w:bidi="ar"/>
              </w:rPr>
              <w:t xml:space="preserve">材质：玻璃，U 形， </w:t>
            </w:r>
            <w:r>
              <w:rPr>
                <w:rStyle w:val="8"/>
                <w:rFonts w:hint="eastAsia" w:ascii="仿宋" w:hAnsi="仿宋" w:eastAsia="仿宋" w:cs="仿宋"/>
                <w:color w:val="auto"/>
                <w:sz w:val="20"/>
                <w:szCs w:val="20"/>
                <w:lang w:val="en-US" w:eastAsia="zh-CN" w:bidi="ar"/>
              </w:rPr>
              <w:t>Φ</w:t>
            </w:r>
            <w:r>
              <w:rPr>
                <w:rStyle w:val="7"/>
                <w:rFonts w:hint="eastAsia" w:ascii="仿宋" w:hAnsi="仿宋" w:eastAsia="仿宋" w:cs="仿宋"/>
                <w:color w:val="auto"/>
                <w:sz w:val="20"/>
                <w:szCs w:val="20"/>
                <w:lang w:val="en-US" w:eastAsia="zh-CN" w:bidi="ar"/>
              </w:rPr>
              <w:t>15 mm×150 mm</w:t>
            </w:r>
          </w:p>
        </w:tc>
      </w:tr>
      <w:tr w14:paraId="2C4A0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8708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FF11C">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5E6EC">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80E2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50208">
            <w:pPr>
              <w:keepNext w:val="0"/>
              <w:keepLines w:val="0"/>
              <w:widowControl/>
              <w:suppressLineNumbers w:val="0"/>
              <w:spacing w:line="360" w:lineRule="auto"/>
              <w:jc w:val="left"/>
              <w:textAlignment w:val="center"/>
              <w:rPr>
                <w:rFonts w:hint="eastAsia" w:ascii="仿宋" w:hAnsi="仿宋" w:eastAsia="仿宋" w:cs="仿宋"/>
                <w:i w:val="0"/>
                <w:iCs w:val="0"/>
                <w:color w:val="auto"/>
                <w:sz w:val="20"/>
                <w:szCs w:val="20"/>
                <w:u w:val="none"/>
              </w:rPr>
            </w:pPr>
            <w:r>
              <w:rPr>
                <w:rStyle w:val="7"/>
                <w:rFonts w:hint="eastAsia" w:ascii="仿宋" w:hAnsi="仿宋" w:eastAsia="仿宋" w:cs="仿宋"/>
                <w:color w:val="auto"/>
                <w:sz w:val="20"/>
                <w:szCs w:val="20"/>
                <w:lang w:val="en-US" w:eastAsia="zh-CN" w:bidi="ar"/>
              </w:rPr>
              <w:t xml:space="preserve">材质：玻璃，U 形 ， 具 支 ， </w:t>
            </w:r>
            <w:r>
              <w:rPr>
                <w:rStyle w:val="8"/>
                <w:rFonts w:hint="eastAsia" w:ascii="仿宋" w:hAnsi="仿宋" w:eastAsia="仿宋" w:cs="仿宋"/>
                <w:color w:val="auto"/>
                <w:sz w:val="20"/>
                <w:szCs w:val="20"/>
                <w:lang w:val="en-US" w:eastAsia="zh-CN" w:bidi="ar"/>
              </w:rPr>
              <w:t>Φ</w:t>
            </w:r>
            <w:r>
              <w:rPr>
                <w:rStyle w:val="7"/>
                <w:rFonts w:hint="eastAsia" w:ascii="仿宋" w:hAnsi="仿宋" w:eastAsia="仿宋" w:cs="仿宋"/>
                <w:color w:val="auto"/>
                <w:sz w:val="20"/>
                <w:szCs w:val="20"/>
                <w:lang w:val="en-US" w:eastAsia="zh-CN" w:bidi="ar"/>
              </w:rPr>
              <w:t>15 mm×150 mm</w:t>
            </w:r>
          </w:p>
        </w:tc>
      </w:tr>
      <w:tr w14:paraId="26E5E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2A45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E5F50">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22F50">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B015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E4045">
            <w:pPr>
              <w:keepNext w:val="0"/>
              <w:keepLines w:val="0"/>
              <w:widowControl/>
              <w:suppressLineNumbers w:val="0"/>
              <w:spacing w:line="360" w:lineRule="auto"/>
              <w:jc w:val="left"/>
              <w:textAlignment w:val="center"/>
              <w:rPr>
                <w:rFonts w:hint="eastAsia" w:ascii="仿宋" w:hAnsi="仿宋" w:eastAsia="仿宋" w:cs="仿宋"/>
                <w:i w:val="0"/>
                <w:iCs w:val="0"/>
                <w:color w:val="auto"/>
                <w:sz w:val="20"/>
                <w:szCs w:val="20"/>
                <w:u w:val="none"/>
              </w:rPr>
            </w:pPr>
            <w:r>
              <w:rPr>
                <w:rStyle w:val="7"/>
                <w:rFonts w:hint="eastAsia" w:ascii="仿宋" w:hAnsi="仿宋" w:eastAsia="仿宋" w:cs="仿宋"/>
                <w:color w:val="auto"/>
                <w:sz w:val="20"/>
                <w:szCs w:val="20"/>
                <w:lang w:val="en-US" w:eastAsia="zh-CN" w:bidi="ar"/>
              </w:rPr>
              <w:t xml:space="preserve">材质：玻璃，U 形， </w:t>
            </w:r>
            <w:r>
              <w:rPr>
                <w:rStyle w:val="8"/>
                <w:rFonts w:hint="eastAsia" w:ascii="仿宋" w:hAnsi="仿宋" w:eastAsia="仿宋" w:cs="仿宋"/>
                <w:color w:val="auto"/>
                <w:sz w:val="20"/>
                <w:szCs w:val="20"/>
                <w:lang w:val="en-US" w:eastAsia="zh-CN" w:bidi="ar"/>
              </w:rPr>
              <w:t>Φ</w:t>
            </w:r>
            <w:r>
              <w:rPr>
                <w:rStyle w:val="7"/>
                <w:rFonts w:hint="eastAsia" w:ascii="仿宋" w:hAnsi="仿宋" w:eastAsia="仿宋" w:cs="仿宋"/>
                <w:color w:val="auto"/>
                <w:sz w:val="20"/>
                <w:szCs w:val="20"/>
                <w:lang w:val="en-US" w:eastAsia="zh-CN" w:bidi="ar"/>
              </w:rPr>
              <w:t>20 mm×200 mm</w:t>
            </w:r>
          </w:p>
        </w:tc>
      </w:tr>
      <w:tr w14:paraId="082F3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CFC6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06F0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3D08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干燥塔</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1051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8744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w:t>
            </w:r>
          </w:p>
        </w:tc>
      </w:tr>
      <w:tr w14:paraId="4126F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300F8">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E822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25C7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比色管</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D3F4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89F2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 mL，具塞，无色透明硼硅酸盐玻璃制， 宜为刻度线高度一致的多支套装</w:t>
            </w:r>
          </w:p>
        </w:tc>
      </w:tr>
      <w:tr w14:paraId="1AEC1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BB8E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612FD">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04ACB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玻璃活塞</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B5CF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00121">
            <w:pPr>
              <w:keepNext w:val="0"/>
              <w:keepLines w:val="0"/>
              <w:widowControl/>
              <w:suppressLineNumbers w:val="0"/>
              <w:spacing w:line="360" w:lineRule="auto"/>
              <w:jc w:val="left"/>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直形二路，吻合良好，不漏气，不漏液，直 管外径 7 mm～8 mm，密合一级</w:t>
            </w:r>
          </w:p>
        </w:tc>
      </w:tr>
      <w:tr w14:paraId="2D2C8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C789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DB8FD">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5E12C">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8EAE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898AF">
            <w:pPr>
              <w:keepNext w:val="0"/>
              <w:keepLines w:val="0"/>
              <w:widowControl/>
              <w:suppressLineNumbers w:val="0"/>
              <w:spacing w:line="360" w:lineRule="auto"/>
              <w:jc w:val="left"/>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T 形三路，吻合良好，不漏气，不漏液，直 管外径 7 mm～8 mm，密合一级</w:t>
            </w:r>
          </w:p>
        </w:tc>
      </w:tr>
      <w:tr w14:paraId="2D610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1897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B33BF">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045B2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圆水槽</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47FE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F804F">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210 mm×110 mm</w:t>
            </w:r>
          </w:p>
        </w:tc>
      </w:tr>
      <w:tr w14:paraId="14627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C822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B4D77">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7483D">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508C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34382">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270 mm×140 mm</w:t>
            </w:r>
          </w:p>
        </w:tc>
      </w:tr>
      <w:tr w14:paraId="5F3D4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7CB8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2591F">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7FF7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钴玻璃片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F70B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FCE5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可以滤黄光</w:t>
            </w:r>
          </w:p>
        </w:tc>
      </w:tr>
      <w:tr w14:paraId="7A0A9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BC1D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EE26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970B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结晶皿</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2F87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3EBE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90 mm，平底</w:t>
            </w:r>
          </w:p>
        </w:tc>
      </w:tr>
      <w:tr w14:paraId="0FCBA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6D17C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DB062">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A637E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表面皿</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FF41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0863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lang w:val="en-US"/>
              </w:rPr>
            </w:pPr>
            <w:r>
              <w:rPr>
                <w:rFonts w:hint="eastAsia" w:ascii="仿宋" w:hAnsi="仿宋" w:eastAsia="仿宋" w:cs="仿宋"/>
                <w:i w:val="0"/>
                <w:iCs w:val="0"/>
                <w:color w:val="000000"/>
                <w:kern w:val="0"/>
                <w:sz w:val="20"/>
                <w:szCs w:val="20"/>
                <w:u w:val="none"/>
                <w:lang w:val="en-US" w:eastAsia="zh-CN" w:bidi="ar"/>
              </w:rPr>
              <w:t>60 mm，透明硼硅酸盐玻璃制</w:t>
            </w:r>
          </w:p>
        </w:tc>
      </w:tr>
      <w:tr w14:paraId="082DE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DC49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11FBD">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F9104">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E873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79FF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 mm，透明硼硅酸盐玻璃制</w:t>
            </w:r>
          </w:p>
        </w:tc>
      </w:tr>
      <w:tr w14:paraId="68DA2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314C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37D0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4F03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坩埚</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D09F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2EA0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瓷制，30mL，1000 ℃时不应出现釉黏结现象，内外壁光滑，外壁涂釉，配有坩埚盖</w:t>
            </w:r>
          </w:p>
        </w:tc>
      </w:tr>
      <w:tr w14:paraId="4C34F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B0E6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2DA7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634B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坩埚钳</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58E8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69FA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200 mm，钢制，中间弯曲部分内径应在 2 cm～3 cm</w:t>
            </w:r>
          </w:p>
        </w:tc>
      </w:tr>
      <w:tr w14:paraId="43679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16FAA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3AE6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273E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烧杯夹</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B10C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8B40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不锈钢制，夹持部位应有橡胶保护套，避免 与玻璃烧杯直接接触</w:t>
            </w:r>
          </w:p>
        </w:tc>
      </w:tr>
      <w:tr w14:paraId="4A4C8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7EF4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59C4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B417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镊子</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3C5E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2F87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不锈钢制，平头，长 125 mm，钢板厚 1.2 mm， 前部应有防滑脱锯齿</w:t>
            </w:r>
          </w:p>
        </w:tc>
      </w:tr>
      <w:tr w14:paraId="6E1CB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C7BE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3051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838E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试管夹</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978A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40D4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木制或者竹制，长度≥200 mm，宽度约 20 mm，厚度约 20 mm。试管夹闭口缝≤1 mm， 开口距离≥25 mm。毡块粘接牢固，试管夹 弹簧作防锈处理。试管夹持部位圆弧内径≤ 29 mm</w:t>
            </w:r>
          </w:p>
        </w:tc>
      </w:tr>
      <w:tr w14:paraId="18CE1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2662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C219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D929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止水皮管夹</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133E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D2C82">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3 mm 钢丝制成，作防锈处理，夹持角度 ≥60º , 弹性好，不漏液</w:t>
            </w:r>
          </w:p>
        </w:tc>
      </w:tr>
      <w:tr w14:paraId="491A0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534A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83D0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3D44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螺旋皮管夹</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ED9F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B5FF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由支架管和带压板的螺杆等组成。外形尺寸 约为 33 mm×20 mm×8 mm，旋转方便，不 易变形，压板厚度≥1 mm</w:t>
            </w:r>
          </w:p>
        </w:tc>
      </w:tr>
      <w:tr w14:paraId="24542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7732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5A362">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3C07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陶土网</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AF36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C431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金属网尺寸≥125mm×125mm，耐火材料为 陶土，功能等同于石棉网</w:t>
            </w:r>
          </w:p>
        </w:tc>
      </w:tr>
      <w:tr w14:paraId="5AC2D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3BD0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DA1D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FCDA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二连球</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4362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8B03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橡胶材质，直径 90 mm，长度 250 mm</w:t>
            </w:r>
          </w:p>
        </w:tc>
      </w:tr>
      <w:tr w14:paraId="07A7F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CFC8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D22B8">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BE69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燃烧匙</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3922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72C1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铜勺，勺直径 18 mm，深 10 mm，铁柄，柄 长 300 mm，长柄和铜勺连接稳定结实</w:t>
            </w:r>
          </w:p>
        </w:tc>
      </w:tr>
      <w:tr w14:paraId="7EAD3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3D42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D18BF">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6494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药匙</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3EB8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CC22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中号 13.5 cm，带小勺，材质可选金属、牛 角、塑料</w:t>
            </w:r>
          </w:p>
        </w:tc>
      </w:tr>
      <w:tr w14:paraId="666C7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8957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E58C0">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12DCD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玻璃管</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88AF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F5132">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 xml:space="preserve">5 mm~ </w:t>
            </w: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6 mm</w:t>
            </w:r>
            <w:r>
              <w:rPr>
                <w:rFonts w:hint="eastAsia" w:ascii="仿宋" w:hAnsi="仿宋" w:eastAsia="仿宋" w:cs="仿宋"/>
                <w:i w:val="0"/>
                <w:iCs w:val="0"/>
                <w:color w:val="000000"/>
                <w:kern w:val="0"/>
                <w:sz w:val="20"/>
                <w:szCs w:val="20"/>
                <w:u w:val="none"/>
                <w:lang w:val="en-US" w:eastAsia="zh-CN" w:bidi="ar"/>
              </w:rPr>
              <w:t>，透明硼硅酸盐玻璃制</w:t>
            </w:r>
          </w:p>
        </w:tc>
      </w:tr>
      <w:tr w14:paraId="17260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3771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206E1">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40855">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4967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73390">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 xml:space="preserve">7 mm~ </w:t>
            </w: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8 mm</w:t>
            </w:r>
            <w:r>
              <w:rPr>
                <w:rFonts w:hint="eastAsia" w:ascii="仿宋" w:hAnsi="仿宋" w:eastAsia="仿宋" w:cs="仿宋"/>
                <w:i w:val="0"/>
                <w:iCs w:val="0"/>
                <w:color w:val="000000"/>
                <w:kern w:val="0"/>
                <w:sz w:val="20"/>
                <w:szCs w:val="20"/>
                <w:u w:val="none"/>
                <w:lang w:val="en-US" w:eastAsia="zh-CN" w:bidi="ar"/>
              </w:rPr>
              <w:t>，透明硼硅酸盐玻璃制</w:t>
            </w:r>
          </w:p>
        </w:tc>
      </w:tr>
      <w:tr w14:paraId="59C6E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E050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902D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7242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玻璃弯管</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74BD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C173D">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 xml:space="preserve">7 mm~ </w:t>
            </w: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8 mm</w:t>
            </w:r>
            <w:r>
              <w:rPr>
                <w:rFonts w:hint="eastAsia" w:ascii="仿宋" w:hAnsi="仿宋" w:eastAsia="仿宋" w:cs="仿宋"/>
                <w:i w:val="0"/>
                <w:iCs w:val="0"/>
                <w:color w:val="000000"/>
                <w:kern w:val="0"/>
                <w:sz w:val="20"/>
                <w:szCs w:val="20"/>
                <w:u w:val="none"/>
                <w:lang w:val="en-US" w:eastAsia="zh-CN" w:bidi="ar"/>
              </w:rPr>
              <w:t>，透明硼硅酸盐玻璃制</w:t>
            </w:r>
          </w:p>
        </w:tc>
      </w:tr>
      <w:tr w14:paraId="48288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6AE5D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D5EB5">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DBA8F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玻璃棒</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6BB7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BA089">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 xml:space="preserve">5 mm~ </w:t>
            </w: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6 mm</w:t>
            </w:r>
            <w:r>
              <w:rPr>
                <w:rFonts w:hint="eastAsia" w:ascii="仿宋" w:hAnsi="仿宋" w:eastAsia="仿宋" w:cs="仿宋"/>
                <w:i w:val="0"/>
                <w:iCs w:val="0"/>
                <w:color w:val="000000"/>
                <w:kern w:val="0"/>
                <w:sz w:val="20"/>
                <w:szCs w:val="20"/>
                <w:u w:val="none"/>
                <w:lang w:val="en-US" w:eastAsia="zh-CN" w:bidi="ar"/>
              </w:rPr>
              <w:t>，透明硼硅酸盐玻璃制</w:t>
            </w:r>
          </w:p>
        </w:tc>
      </w:tr>
      <w:tr w14:paraId="329B9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029B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427E7">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66CBB">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5745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E44D2">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 xml:space="preserve">7 mm~ </w:t>
            </w: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8 mm</w:t>
            </w:r>
            <w:r>
              <w:rPr>
                <w:rFonts w:hint="eastAsia" w:ascii="仿宋" w:hAnsi="仿宋" w:eastAsia="仿宋" w:cs="仿宋"/>
                <w:i w:val="0"/>
                <w:iCs w:val="0"/>
                <w:color w:val="000000"/>
                <w:kern w:val="0"/>
                <w:sz w:val="20"/>
                <w:szCs w:val="20"/>
                <w:u w:val="none"/>
                <w:lang w:val="en-US" w:eastAsia="zh-CN" w:bidi="ar"/>
              </w:rPr>
              <w:t>，透明硼硅酸盐玻璃制</w:t>
            </w:r>
          </w:p>
        </w:tc>
      </w:tr>
      <w:tr w14:paraId="48AC8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8668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0702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C27C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橡胶塞</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C483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DE35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000、00、0～11 号</w:t>
            </w:r>
          </w:p>
        </w:tc>
      </w:tr>
      <w:tr w14:paraId="2F660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68BB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C196F">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699B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橡胶管</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0D4D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736C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外径 9 mm，内径 6 mm</w:t>
            </w:r>
          </w:p>
        </w:tc>
      </w:tr>
      <w:tr w14:paraId="7A8C6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ACDD9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7FB92">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C1DD5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乳胶管</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EC76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6DEB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外径 6 mm，内径 4 mm</w:t>
            </w:r>
          </w:p>
        </w:tc>
      </w:tr>
      <w:tr w14:paraId="094F2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A408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EBE4E">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54287">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9FC2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CFC5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外径 9 mm，内径 6 mm</w:t>
            </w:r>
          </w:p>
        </w:tc>
      </w:tr>
      <w:tr w14:paraId="452B7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2F45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0BCCB">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8A54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洗耳球</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B870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82C0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 mL</w:t>
            </w:r>
          </w:p>
        </w:tc>
      </w:tr>
      <w:tr w14:paraId="7E5DA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A89B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8FC4C">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979D6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试管刷</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6A66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69BBA">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12 mm</w:t>
            </w:r>
          </w:p>
        </w:tc>
      </w:tr>
      <w:tr w14:paraId="05455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9F48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B5E6C">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86F28E">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EDA9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27A17">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18 mm</w:t>
            </w:r>
          </w:p>
        </w:tc>
      </w:tr>
      <w:tr w14:paraId="7C7A1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99BA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3E36A">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601EC">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C35E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3AF18">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32 mm</w:t>
            </w:r>
          </w:p>
        </w:tc>
      </w:tr>
      <w:tr w14:paraId="751AF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888E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67371">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84BB7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烧瓶刷</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DB62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0188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 烧瓶用</w:t>
            </w:r>
          </w:p>
        </w:tc>
      </w:tr>
      <w:tr w14:paraId="6964A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4B405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65AC7">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47BB33">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523A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E8C0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 mL 烧瓶用</w:t>
            </w:r>
          </w:p>
        </w:tc>
      </w:tr>
      <w:tr w14:paraId="337BD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C48B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9FB8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1CC0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滴定管刷</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CF1B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1D26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手持部分顶端为环状，顶部有刷丝，铁丝不 可外露</w:t>
            </w:r>
          </w:p>
        </w:tc>
      </w:tr>
      <w:tr w14:paraId="180A5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46F6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B3329">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770DE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研钵</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0C91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5271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瓷或玻璃制，60 mm</w:t>
            </w:r>
          </w:p>
        </w:tc>
      </w:tr>
      <w:tr w14:paraId="1F4EF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990B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73642">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53735">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D667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C5AD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瓷或玻璃制，100 mm</w:t>
            </w:r>
          </w:p>
        </w:tc>
      </w:tr>
      <w:tr w14:paraId="124FA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8B16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2CD14">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DE450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蒸发皿</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A9AE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ADBA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瓷制，容量 35 mL，外 径 ≥610 mm</w:t>
            </w:r>
          </w:p>
        </w:tc>
      </w:tr>
      <w:tr w14:paraId="56661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C2DC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2CC61">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B9D0D">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3790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9DA9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瓷制，容量 250 mL，外 径 ≥124 mm</w:t>
            </w:r>
          </w:p>
        </w:tc>
      </w:tr>
      <w:tr w14:paraId="0AC27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B2F1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3430D">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3602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反应板</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A778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F0A0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白色陶瓷，6 孔，表面有釉层</w:t>
            </w:r>
          </w:p>
        </w:tc>
      </w:tr>
      <w:tr w14:paraId="392CA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B3B1F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C1843">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CB650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井穴板</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CE7D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25A1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透明塑料，9 孔，每孔 0.7 mL，环保材料</w:t>
            </w:r>
          </w:p>
        </w:tc>
      </w:tr>
      <w:tr w14:paraId="029A1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204C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6E0DC">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6279F5">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8718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6E54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透明塑料，6 孔，每孔 5 mL，配 6 个双导气 管的井穴塞</w:t>
            </w:r>
          </w:p>
        </w:tc>
      </w:tr>
      <w:tr w14:paraId="4D3BD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C41E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BFAD5">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B93C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塑料多用滴管</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576D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6A0C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Style w:val="7"/>
                <w:rFonts w:hint="eastAsia" w:ascii="仿宋" w:hAnsi="仿宋" w:eastAsia="仿宋" w:cs="仿宋"/>
                <w:sz w:val="20"/>
                <w:szCs w:val="20"/>
                <w:lang w:val="en-US" w:eastAsia="zh-CN" w:bidi="ar"/>
              </w:rPr>
              <w:t xml:space="preserve">弹性圆筒形吸泡和一根 </w:t>
            </w: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1 mm×120 mm 的 径管连接而成，容积4 mL</w:t>
            </w:r>
          </w:p>
        </w:tc>
      </w:tr>
      <w:tr w14:paraId="0FE08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1CD5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A595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D830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塑料洗瓶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AAD4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E639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Style w:val="7"/>
                <w:rFonts w:hint="eastAsia" w:ascii="仿宋" w:hAnsi="仿宋" w:eastAsia="仿宋" w:cs="仿宋"/>
                <w:sz w:val="20"/>
                <w:szCs w:val="20"/>
                <w:lang w:val="en-US" w:eastAsia="zh-CN" w:bidi="ar"/>
              </w:rPr>
              <w:t>250 mL 或 500 mL，水嘴略向下倾斜,口径 1 mm</w:t>
            </w:r>
            <w:r>
              <w:rPr>
                <w:rStyle w:val="10"/>
                <w:rFonts w:hint="eastAsia" w:ascii="仿宋" w:hAnsi="仿宋" w:eastAsia="仿宋" w:cs="仿宋"/>
                <w:sz w:val="20"/>
                <w:szCs w:val="20"/>
                <w:lang w:val="en-US" w:eastAsia="zh-CN" w:bidi="ar"/>
              </w:rPr>
              <w:t xml:space="preserve">～ </w:t>
            </w:r>
            <w:r>
              <w:rPr>
                <w:rStyle w:val="7"/>
                <w:rFonts w:hint="eastAsia" w:ascii="仿宋" w:hAnsi="仿宋" w:eastAsia="仿宋" w:cs="仿宋"/>
                <w:sz w:val="20"/>
                <w:szCs w:val="20"/>
                <w:lang w:val="en-US" w:eastAsia="zh-CN" w:bidi="ar"/>
              </w:rPr>
              <w:t>2 mm，瓶口紧实不漏气</w:t>
            </w:r>
          </w:p>
        </w:tc>
      </w:tr>
      <w:tr w14:paraId="4645C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1045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AE58D">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3AFD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透明塑料水槽</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9750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43C4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mm×180 mm×100 mm</w:t>
            </w:r>
          </w:p>
        </w:tc>
      </w:tr>
      <w:tr w14:paraId="76DF9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ADC1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643D2">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BB9CC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集气瓶挂扣器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8F86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A6FF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适合 125 mL 集气瓶，塑料制</w:t>
            </w:r>
          </w:p>
        </w:tc>
      </w:tr>
      <w:tr w14:paraId="6DA59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73668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5451B">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BB42C">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C6C0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BD8C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适合 250 mL 集气瓶，塑料制</w:t>
            </w:r>
          </w:p>
        </w:tc>
      </w:tr>
      <w:tr w14:paraId="68DBB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499F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77509">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F7F32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注射器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C43A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D602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 mL，塑料，符合医用器具卫生标准</w:t>
            </w:r>
          </w:p>
        </w:tc>
      </w:tr>
      <w:tr w14:paraId="1B11F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BADA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8D7BA">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EC394">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5E20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1555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 mL，玻璃制</w:t>
            </w:r>
          </w:p>
        </w:tc>
      </w:tr>
      <w:tr w14:paraId="112AA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06EF4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7947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434F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铂丝</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C115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AE19C">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0.5 mm×50 mm，具金属柄，可拆卸</w:t>
            </w:r>
          </w:p>
        </w:tc>
      </w:tr>
      <w:tr w14:paraId="78251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4893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44052">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A4DC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水浴锅</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1540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F903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铜制，水浴控温范围 5 ℃~99.9 ℃ , 水温 控制±0.5 ℃ , 不锈钢内胆，数字显示</w:t>
            </w:r>
          </w:p>
        </w:tc>
      </w:tr>
      <w:tr w14:paraId="7DC5A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BC97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59CD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2AC9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酒精喷灯</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D87C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1235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1、主要由酒精入口、预热盘、预热管、燃烧管、火力调节杆、灭火板、漏斗、通针等组成。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规格:坐式，高度165mm,燃烧管长度70mm,直径18mm,壁厚2mm，壶体底座直径105mm,壁厚2mm，预热管直径16mm，长度75mm，管壁厚2mm;火力调节杆长度60mm，直径5mm，漏斗直径75mm，边缘一侧带有直径3毫米圆孔，方便储存，高90mm;  灭火棒长150mm,一端带有椭圆形塑料手柄方便操作，灭火盖直径34mm，酒精入口善含有橡胶垫防止液体流出。</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材质:黄铜制，密度为8.50-8.80*10~3kg/m3，壶体容积≥300mL，火焰高度为≥180mm，火焰温度≥1000℃+50℃，预热管与燃烧管焊在一起，中间有一细管相通，使蒸发的酒精蒸气从喷嘴喷出，在燃烧管燃烧,通过调节调整管，控制火焰的大小。</w:t>
            </w:r>
          </w:p>
        </w:tc>
      </w:tr>
      <w:tr w14:paraId="5473D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C2A9E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2C39B">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A64B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储气装置</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6B0F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A53B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容积≥2 L</w:t>
            </w:r>
          </w:p>
        </w:tc>
      </w:tr>
      <w:tr w14:paraId="3E4D1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544F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AEB2B">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47AF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高中化学实验材料</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E4DA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A483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含小刀、棉花、木炭、木板、火柴、蜡烛、 焊锡、炭棒、导线、开关、电灯泡、聚光小 手电筒、电池、电珠、砂纸、电极材料（石 墨、铜、锌、镁、铁、锡等电极）等</w:t>
            </w:r>
          </w:p>
        </w:tc>
      </w:tr>
      <w:tr w14:paraId="7BC62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9EA5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340C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2D3F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pH 广泛试纸</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E98D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A96A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Style w:val="7"/>
                <w:rFonts w:hint="eastAsia" w:ascii="仿宋" w:hAnsi="仿宋" w:eastAsia="仿宋" w:cs="仿宋"/>
                <w:sz w:val="20"/>
                <w:szCs w:val="20"/>
                <w:lang w:val="en-US" w:eastAsia="zh-CN" w:bidi="ar"/>
              </w:rPr>
              <w:t>1</w:t>
            </w:r>
            <w:r>
              <w:rPr>
                <w:rStyle w:val="10"/>
                <w:rFonts w:hint="eastAsia" w:ascii="仿宋" w:hAnsi="仿宋" w:eastAsia="仿宋" w:cs="仿宋"/>
                <w:sz w:val="20"/>
                <w:szCs w:val="20"/>
                <w:lang w:val="en-US" w:eastAsia="zh-CN" w:bidi="ar"/>
              </w:rPr>
              <w:t xml:space="preserve">～ </w:t>
            </w:r>
            <w:r>
              <w:rPr>
                <w:rStyle w:val="7"/>
                <w:rFonts w:hint="eastAsia" w:ascii="仿宋" w:hAnsi="仿宋" w:eastAsia="仿宋" w:cs="仿宋"/>
                <w:sz w:val="20"/>
                <w:szCs w:val="20"/>
                <w:lang w:val="en-US" w:eastAsia="zh-CN" w:bidi="ar"/>
              </w:rPr>
              <w:t>14</w:t>
            </w:r>
          </w:p>
        </w:tc>
      </w:tr>
      <w:tr w14:paraId="76044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C2AB5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CC7AD">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8A59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蓝石蕊试纸</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FA22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83E4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 mm×75 mm，100 条/本</w:t>
            </w:r>
          </w:p>
        </w:tc>
      </w:tr>
      <w:tr w14:paraId="1A7D8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5345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793CB">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1278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红石蕊试纸</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30B1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71AE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 mm×75 mm，100 条/本</w:t>
            </w:r>
          </w:p>
        </w:tc>
      </w:tr>
      <w:tr w14:paraId="64B64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213D9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1D69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6A28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淀粉碘化钾试纸</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CCF5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3C3F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 mm×75 mm，100 条/本</w:t>
            </w:r>
          </w:p>
        </w:tc>
      </w:tr>
      <w:tr w14:paraId="67555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6101B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高中生物仪器</w:t>
            </w: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E72D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A640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实验服</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35FF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3D63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耐酸碱，可分为大中小号</w:t>
            </w:r>
          </w:p>
        </w:tc>
      </w:tr>
      <w:tr w14:paraId="1BD1E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AAF82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6FA6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5560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生物显微镜</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2BCD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0D88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双目，消色差物镜：4×、10×、40×；广视 场目镜：WF10×；带照明光源，亮度连续可 调；双层移动式载物台</w:t>
            </w:r>
          </w:p>
        </w:tc>
      </w:tr>
      <w:tr w14:paraId="65645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42DC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FCD1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76FF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教师用数码液晶显微镜</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2650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03B8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消色差物镜：4×、10×、40×、100×；广视场目镜：WF10×；带照明光源，亮度连续  可调；双层移动式载物台；仪器自带液晶屏  （液晶屏≥10.1 寸，分辨率≥1920×1200）， 拍照≥1400 万像素，录像分辨率≥1080 p/30  fps</w:t>
            </w:r>
          </w:p>
        </w:tc>
      </w:tr>
      <w:tr w14:paraId="27E55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6FAD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AA3D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C438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双目立体显微镜</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8D29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F191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双目，广视场目镜：WF10×；连续变倍物镜： 0.7～4.5，工作距离≥90 mm；调焦范围≥50 mm；带 LED 反射照明，亮度连续可调</w:t>
            </w:r>
          </w:p>
        </w:tc>
      </w:tr>
      <w:tr w14:paraId="26E2C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381F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6642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C9B4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电泳仪</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4503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C56B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四组输出，输出电压 2 V～200 V、输出电流 2 mA～200 mA，具有≥ 36 V 电压限制、稳压和 稳流功能</w:t>
            </w:r>
          </w:p>
        </w:tc>
      </w:tr>
      <w:tr w14:paraId="655A9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640A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F754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7D20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水平电泳槽</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30BB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7851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聚碳酸酯注塑成型，凝胶托盘带有荧光标尺， 具有开盖断电功能，凝胶板规格≥ 60 mm×60 mm</w:t>
            </w:r>
          </w:p>
        </w:tc>
      </w:tr>
      <w:tr w14:paraId="7DEAF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AEF1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56D98">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4D13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垂直电泳槽</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DD32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30DC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聚碳酸酯注塑成型，具有开盖断电功能，凝 胶面积 ≥88 mm×82 mm</w:t>
            </w:r>
          </w:p>
        </w:tc>
      </w:tr>
      <w:tr w14:paraId="33BA4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74B6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460BB">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8EEA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果酒果醋发酵装置</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1493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8E46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透明，最大容积≥ 1 L，具水封及气泡限速装 置，可进行气泡观察计数</w:t>
            </w:r>
          </w:p>
        </w:tc>
      </w:tr>
      <w:tr w14:paraId="6306B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9E25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A296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5BFC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减数分裂中染色体变化模型组件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1AB5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B319A">
            <w:pPr>
              <w:keepNext w:val="0"/>
              <w:keepLines w:val="0"/>
              <w:widowControl/>
              <w:suppressLineNumbers w:val="0"/>
              <w:spacing w:line="360" w:lineRule="auto"/>
              <w:jc w:val="left"/>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材料环保，便于演示，1.各组织间无裂隙。2.切片规格：75mm×25mm(±2mm)，厚度约20μm，多重染色。3.在500X及以上的显微镜下能清楚看到其细胞结构，用于显微镜观察的装片，认识细胞的基本结构，区分细胞和杂质</w:t>
            </w:r>
          </w:p>
        </w:tc>
      </w:tr>
      <w:tr w14:paraId="1A297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95D8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890C8">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5DDB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DNA 双螺旋结构模型</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1075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D3E87">
            <w:pPr>
              <w:keepNext w:val="0"/>
              <w:keepLines w:val="0"/>
              <w:widowControl/>
              <w:suppressLineNumbers w:val="0"/>
              <w:spacing w:line="360" w:lineRule="auto"/>
              <w:jc w:val="left"/>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一个半螺旋，包括 16 个碱基对和其他相应元 件，材料环保，便于演示</w:t>
            </w:r>
          </w:p>
        </w:tc>
      </w:tr>
      <w:tr w14:paraId="48A22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B8CC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14E2F">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71A5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DNA 双螺旋结构模型组件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9D2F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7BD65">
            <w:pPr>
              <w:keepNext w:val="0"/>
              <w:keepLines w:val="0"/>
              <w:widowControl/>
              <w:suppressLineNumbers w:val="0"/>
              <w:spacing w:line="360" w:lineRule="auto"/>
              <w:jc w:val="left"/>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四种碱基、脱氧核糖、磷酸彼此分离，1.各组织间无裂隙。2.切片规格：75mm×25mm(±2mm)，厚度约20μm，多重染色。3.在500X及以上的显微镜下能清楚看到其细胞结构，用于显微镜观察的装片，认识细胞的基本结构，区分细胞和杂质</w:t>
            </w:r>
          </w:p>
        </w:tc>
      </w:tr>
      <w:tr w14:paraId="36A95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E851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120E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1F99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蚕豆叶下表皮装片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0CF2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D53AD">
            <w:pPr>
              <w:keepNext w:val="0"/>
              <w:keepLines w:val="0"/>
              <w:widowControl/>
              <w:suppressLineNumbers w:val="0"/>
              <w:spacing w:line="360" w:lineRule="auto"/>
              <w:jc w:val="left"/>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显示气孔和保卫细胞，1.各组织间无裂隙。2.切片规格：75mm×25mm(±2mm)，厚度约20μm，多重染色。3.在500X及以上的显微镜下能清楚看到其细胞结构，用于显微镜观察的装片，认识细胞的基本结构，区分细胞和杂质</w:t>
            </w:r>
          </w:p>
        </w:tc>
      </w:tr>
      <w:tr w14:paraId="5F98B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6C1D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F145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2A55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胞间连丝切片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603B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47DC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1、规格尺寸（mm）：≥75×25，厚度≥1mm；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2、标本显示要求：标本应能在学生显微镜下观察清晰。</w:t>
            </w:r>
          </w:p>
        </w:tc>
      </w:tr>
      <w:tr w14:paraId="0FD78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7D9A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1105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25CA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迎春叶横切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F1C9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8458B">
            <w:pPr>
              <w:keepNext w:val="0"/>
              <w:keepLines w:val="0"/>
              <w:widowControl/>
              <w:suppressLineNumbers w:val="0"/>
              <w:spacing w:line="360" w:lineRule="auto"/>
              <w:jc w:val="left"/>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应显示叶片横断面的上下表皮、栅栏组织、 海绵组织及叶脉等，1.各组织间无裂隙。2.切片规格：75mm×25mm(±2mm)，厚度约20μm，多重染色。3.在500X及以上的显微镜下能清楚看到其细胞结构，用于显微镜观察的装片，认识细胞的基本结构，区分细胞和杂质</w:t>
            </w:r>
          </w:p>
        </w:tc>
      </w:tr>
      <w:tr w14:paraId="538B3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ECAF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7011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1C79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黑藻叶装片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149D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644B4">
            <w:pPr>
              <w:keepNext w:val="0"/>
              <w:keepLines w:val="0"/>
              <w:widowControl/>
              <w:suppressLineNumbers w:val="0"/>
              <w:spacing w:line="360" w:lineRule="auto"/>
              <w:jc w:val="left"/>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显示细胞核和叶绿体，1.各组织间无裂隙。2.切片规格：75mm×25mm(±2mm)，厚度约20μm，多重染色。3.在500X及以上的显微镜下能清楚看到其细胞结构，用于显微镜观察的装片，认识细胞的基本结构，区分细胞和杂质</w:t>
            </w:r>
          </w:p>
        </w:tc>
      </w:tr>
      <w:tr w14:paraId="60E5D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CD644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30C7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49C3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线粒体切片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DD6F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9697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1、规格尺寸（mm）：75×25，厚度≥1mm；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2、标本显示要求：标本应能在学生显微镜下观察清晰。</w:t>
            </w:r>
          </w:p>
        </w:tc>
      </w:tr>
      <w:tr w14:paraId="3679E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61A8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EFB1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B9B1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酵母菌装片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B191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657B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1、规格尺寸（mm）：75×25，厚度≥1mm；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2、标本显示要求：标本应能在学生显微镜下观察清晰。</w:t>
            </w:r>
          </w:p>
        </w:tc>
      </w:tr>
      <w:tr w14:paraId="7E696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1E8C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1EE1F">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F904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水绵装片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686D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DA75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1、规格尺寸（mm）：≥75×25，厚度≥1mm；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2、标本显示要求：标本应能在学生显微镜下观察清晰。</w:t>
            </w:r>
          </w:p>
        </w:tc>
      </w:tr>
      <w:tr w14:paraId="222E4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B1F0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1F95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9F3D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大肠杆菌涂片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13B1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74B7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1、规格尺寸（mm）：≥75×25，厚度≥1mm；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2、标本显示要求：标本应能在学生显微镜下观察清晰。</w:t>
            </w:r>
          </w:p>
        </w:tc>
      </w:tr>
      <w:tr w14:paraId="783FC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E7AD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047E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46CF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草履虫分裂装片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41BA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3EE4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1、规格尺寸（mm）：≥75×25，厚度≥1mm；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2、标本显示要求：标本应能在学生显微镜下观察清晰。</w:t>
            </w:r>
          </w:p>
        </w:tc>
      </w:tr>
      <w:tr w14:paraId="7FCE5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F249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C09D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A67A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人血涂片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6D0F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1767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染色均匀</w:t>
            </w:r>
          </w:p>
        </w:tc>
      </w:tr>
      <w:tr w14:paraId="19844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6C1C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32B6F">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6BEE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蛙血涂片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0AF1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BA9B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1、规格尺寸（mm）：≥75×25，厚度≥1mm；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2、标本显示要求：标本应能在学生显微镜下观察清晰。</w:t>
            </w:r>
          </w:p>
        </w:tc>
      </w:tr>
      <w:tr w14:paraId="07C91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9CAD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DF0B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65F2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动物上皮细胞装片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7777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30FC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蛙或蝾螈</w:t>
            </w:r>
          </w:p>
        </w:tc>
      </w:tr>
      <w:tr w14:paraId="42FCA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10A4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9EDE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B025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骨骼肌纵横切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F12C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5566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1、规格尺寸（mm）：≥75×25，厚度≥1mm；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2、标本显示要求：标本应能在学生显微镜下观察清晰。</w:t>
            </w:r>
          </w:p>
        </w:tc>
      </w:tr>
      <w:tr w14:paraId="78600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28F0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21B3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73FD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平滑肌分离装片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6B59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FC49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1、规格尺寸（mm）：≥75×25，厚度≥1mm；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2、标本显示要求：标本应能在学生显微镜下观察清晰。</w:t>
            </w:r>
          </w:p>
        </w:tc>
      </w:tr>
      <w:tr w14:paraId="76902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97DC2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0B73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BFF6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心肌切片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01B2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2D731">
            <w:pPr>
              <w:keepNext w:val="0"/>
              <w:keepLines w:val="0"/>
              <w:widowControl/>
              <w:suppressLineNumbers w:val="0"/>
              <w:spacing w:line="360" w:lineRule="auto"/>
              <w:jc w:val="left"/>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多重染色，1.各组织间无裂隙。2.切片规格：75mm×25mm(±2mm)，厚度约20μm，多重染色。3.在500X及以上的显微镜下能清楚看到其细胞结构，用于显微镜观察的装片，认识细胞的基本结构，区分细胞和杂质</w:t>
            </w:r>
          </w:p>
        </w:tc>
      </w:tr>
      <w:tr w14:paraId="0F1F5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E034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E038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03F4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运动神经元装片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FDE1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F7DB6">
            <w:pPr>
              <w:keepNext w:val="0"/>
              <w:keepLines w:val="0"/>
              <w:widowControl/>
              <w:suppressLineNumbers w:val="0"/>
              <w:spacing w:line="360" w:lineRule="auto"/>
              <w:jc w:val="left"/>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多重染色，1.各组织间无裂隙。2.切片规格：75mm×25mm(±2mm)，厚度约20μm，多重染色。3.在500X及以上的显微镜下能清楚看到其细胞结构，用于显微镜观察的装片，认识细胞的基本结构，区分细胞和杂质</w:t>
            </w:r>
          </w:p>
        </w:tc>
      </w:tr>
      <w:tr w14:paraId="6AA6D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67D4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5F62D">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CA7C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胰腺切片(示胰岛)</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5152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12AE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1、规格尺寸（mm）：≥75×25，厚度≥1mm；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2、标本显示要求：标本应能在学生显微镜下观察清晰。</w:t>
            </w:r>
          </w:p>
        </w:tc>
      </w:tr>
      <w:tr w14:paraId="3CD85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2443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234AB">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CCF2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动物细胞有丝分裂切片（马蛔虫受精卵切片）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3757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F43B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1、规格尺寸（mm）：≥75×25，厚度≥1mm；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2、标本显示要求：标本应能在学生显微镜下观察清晰。</w:t>
            </w:r>
          </w:p>
        </w:tc>
      </w:tr>
      <w:tr w14:paraId="00790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D0BD8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453F2">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1CC5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植物细胞有丝分裂切片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0ABC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6C38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1、规格尺寸（mm）：≥75×25，厚度≥1mm；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2、标本显示要求：标本应能在学生显微镜下观察清晰。</w:t>
            </w:r>
          </w:p>
        </w:tc>
      </w:tr>
      <w:tr w14:paraId="213FC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76EB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4C31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4B76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蝗虫精巢减数分裂切片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379C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9B9D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1、规格尺寸（mm）：≥75×25，厚度≥1mm；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2、标本显示要求：标本应能在学生显微镜下观察清晰。</w:t>
            </w:r>
          </w:p>
        </w:tc>
      </w:tr>
      <w:tr w14:paraId="5EEE7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0EB9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057B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1266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植物花粉减数分裂装片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C0B0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7202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1、规格尺寸（mm）：≥75×25，厚度≥1mm；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2、标本显示要求：标本应能在学生显微镜下观察清晰。</w:t>
            </w:r>
          </w:p>
        </w:tc>
      </w:tr>
      <w:tr w14:paraId="1F10A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0248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C193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2ABF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正常人染色体装片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3F1F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14C6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1、规格尺寸（mm）：≥75×25，厚度≥1mm；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2、标本显示要求：标本应能在学生显微镜下观察清晰。</w:t>
            </w:r>
          </w:p>
        </w:tc>
      </w:tr>
      <w:tr w14:paraId="4273B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7F59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30BAD">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6EC3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DNA 和 RNA 在细胞中的分布装片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3FAA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EE9B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1、规格尺寸（mm）：≥75×25，厚度≥1mm；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2、标本显示要求：标本应能在学生显微镜下观察清晰。</w:t>
            </w:r>
          </w:p>
        </w:tc>
      </w:tr>
      <w:tr w14:paraId="418BB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18811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9284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ABE5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植物染色体加倍装片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7687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9EEB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1、规格尺寸（mm）：≥75×25，厚度≥1mm；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2、标本显示要求：标本应能在学生显微镜下观察清晰。</w:t>
            </w:r>
          </w:p>
        </w:tc>
      </w:tr>
      <w:tr w14:paraId="0C529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F217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3891B">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488F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恒温水浴锅</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1504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D28D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水浴控温范围：室温+5 ℃~99.9 ℃ , 水温 控制±0.5 ℃ , 不锈钢内胆，数字显示</w:t>
            </w:r>
          </w:p>
        </w:tc>
      </w:tr>
      <w:tr w14:paraId="69173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2EC3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DE78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F0E1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酸度计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CE55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7698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笔式，pH 测量范围 0～14，分辨力≤ 0.1，读 数清晰，有自动关机节电模式，配校准试剂</w:t>
            </w:r>
          </w:p>
        </w:tc>
      </w:tr>
      <w:tr w14:paraId="624CF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6378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CCF05">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C534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烘干箱</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6D90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3744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电热鼓风型，最高工作温度为 250 ℃ , 温度 波动度限值为±1.5 ℃ , 箱体内有隔板，内 部容积≥350 mm×350 mm×350 mm</w:t>
            </w:r>
          </w:p>
        </w:tc>
      </w:tr>
      <w:tr w14:paraId="547F0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514F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F86C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13AA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恒温培养箱</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AA29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14B0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控温范围：室温+5 ℃~65 ℃ ,  ± 1 ℃</w:t>
            </w:r>
          </w:p>
        </w:tc>
      </w:tr>
      <w:tr w14:paraId="1232A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D8C9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33BF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7AA2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磁力加热搅拌器</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0FF7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A950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最大搅拌量 ≥1 L，转速 0 r/min～1200 r/min， 加热盘温度 50 ℃~200 ℃</w:t>
            </w:r>
          </w:p>
        </w:tc>
      </w:tr>
      <w:tr w14:paraId="54356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E0B9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8173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59CC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解剖盘</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0696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E2DC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≥260 mm×200 mm×30 mm，蜡盘</w:t>
            </w:r>
          </w:p>
        </w:tc>
      </w:tr>
      <w:tr w14:paraId="0019C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7959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A605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EBB0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解剖器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C4BB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298C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不锈钢材料，包括：解剖剪 2 把（直剪、弯 剪各 1）、镊子 2 个（直头、弯头各 1）、解 剖刀 2 个（圆头、尖头各 1）、解剖针 1 个</w:t>
            </w:r>
          </w:p>
        </w:tc>
      </w:tr>
      <w:tr w14:paraId="0131F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EA51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06EF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CEBF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解剖针</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E63E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B216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六棱，医用，全钢</w:t>
            </w:r>
          </w:p>
        </w:tc>
      </w:tr>
      <w:tr w14:paraId="70A36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2E9E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71A6A">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F7144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移液器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031B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A21C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0.1 µL～2.5 µL，透明硼硅酸盐玻璃制</w:t>
            </w:r>
          </w:p>
        </w:tc>
      </w:tr>
      <w:tr w14:paraId="53672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E8AF2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D36C4">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83593">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79D9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087F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0.5 µL～10 µL，透明硼硅酸盐玻璃制</w:t>
            </w:r>
          </w:p>
        </w:tc>
      </w:tr>
      <w:tr w14:paraId="1F457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04F3F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46802">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D7CCC">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08E8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1D19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 µL～100 µL，透明硼硅酸盐玻璃制</w:t>
            </w:r>
          </w:p>
        </w:tc>
      </w:tr>
      <w:tr w14:paraId="2C139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0F3F1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CA2B3">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2915F">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D606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01BD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 µL～1000 µL，透明硼硅酸盐玻璃制</w:t>
            </w:r>
          </w:p>
        </w:tc>
      </w:tr>
      <w:tr w14:paraId="6B2BE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D91A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9385E">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00B2E9">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383A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E0C6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 mL～5 mL，透明硼硅酸盐玻璃制</w:t>
            </w:r>
          </w:p>
        </w:tc>
      </w:tr>
      <w:tr w14:paraId="73136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06CC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DCEE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776A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接种环</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4851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1F32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接种棒为铜或不锈钢材质，接种丝为耐热合 金，环内径 2 mm～3 mm</w:t>
            </w:r>
          </w:p>
        </w:tc>
      </w:tr>
      <w:tr w14:paraId="791AB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9975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58F6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756E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试管架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EA58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8046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木质或塑料质，≥8 孔，孔径 ≥20mm，立柱黏结 牢固</w:t>
            </w:r>
          </w:p>
        </w:tc>
      </w:tr>
      <w:tr w14:paraId="1D48A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A308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E8D55">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0A52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移液器架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9CAA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D4E5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塑料或亚克力材质，可放置≥5 支移液器</w:t>
            </w:r>
          </w:p>
        </w:tc>
      </w:tr>
      <w:tr w14:paraId="2584A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71E5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3FDF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C658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移液管架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2274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DC83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塑料或亚克力材质，可放置≥5 支移液管</w:t>
            </w:r>
          </w:p>
        </w:tc>
      </w:tr>
      <w:tr w14:paraId="47C65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E754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34035">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243B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托盘天平</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5031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B9A7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200 g，分度值≤0.2 g</w:t>
            </w:r>
          </w:p>
        </w:tc>
      </w:tr>
      <w:tr w14:paraId="721D3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E30B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E9DA3">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F77C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电子天平</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5B0D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90E7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 g，分度值≤0.001 g</w:t>
            </w:r>
          </w:p>
        </w:tc>
      </w:tr>
      <w:tr w14:paraId="16884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1433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76E02">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B8C3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红液温度计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7DAE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88CA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 ℃~100 ℃ , 分度值≤ 1 ℃ , 示值误差≤ 1.5 ℃</w:t>
            </w:r>
          </w:p>
        </w:tc>
      </w:tr>
      <w:tr w14:paraId="029D2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5D4C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04072">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DD43F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量筒</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D916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DE97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lang w:val="en-US"/>
              </w:rPr>
            </w:pPr>
            <w:r>
              <w:rPr>
                <w:rFonts w:hint="eastAsia" w:ascii="仿宋" w:hAnsi="仿宋" w:eastAsia="仿宋" w:cs="仿宋"/>
                <w:i w:val="0"/>
                <w:iCs w:val="0"/>
                <w:color w:val="000000"/>
                <w:kern w:val="0"/>
                <w:sz w:val="20"/>
                <w:szCs w:val="20"/>
                <w:u w:val="none"/>
                <w:lang w:val="en-US" w:eastAsia="zh-CN" w:bidi="ar"/>
              </w:rPr>
              <w:t>10 mL，透明硼硅酸盐玻璃制</w:t>
            </w:r>
          </w:p>
        </w:tc>
      </w:tr>
      <w:tr w14:paraId="36A64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CDF3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CE8DB">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980FC">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56D7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F9B4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 mL，透明硼硅酸盐玻璃制</w:t>
            </w:r>
          </w:p>
        </w:tc>
      </w:tr>
      <w:tr w14:paraId="0B9E8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D070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042EA">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7B504">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654F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9A1F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 mL，透明硼硅酸盐玻璃制</w:t>
            </w:r>
          </w:p>
        </w:tc>
      </w:tr>
      <w:tr w14:paraId="5CF13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7E39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202BC">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879B9">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9B94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D9A4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 mL，透明硼硅酸盐玻璃制</w:t>
            </w:r>
          </w:p>
        </w:tc>
      </w:tr>
      <w:tr w14:paraId="54118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2601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CE213">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A990B">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DE36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77DF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 mL，透明硼硅酸盐玻璃制</w:t>
            </w:r>
          </w:p>
        </w:tc>
      </w:tr>
      <w:tr w14:paraId="6E776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44D1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E41CC">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C3D8A">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135C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40DA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1000 mL，透明硼硅酸盐玻璃制</w:t>
            </w:r>
          </w:p>
        </w:tc>
      </w:tr>
      <w:tr w14:paraId="4A552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1040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BE37E">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D80A7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试管</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894B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037D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 mL，透明硼硅酸盐玻璃制</w:t>
            </w:r>
          </w:p>
        </w:tc>
      </w:tr>
      <w:tr w14:paraId="2C12A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62A1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D6048">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BA2B87">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411C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77A05">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12 mm×75 mm</w:t>
            </w:r>
            <w:r>
              <w:rPr>
                <w:rFonts w:hint="eastAsia" w:ascii="仿宋" w:hAnsi="仿宋" w:eastAsia="仿宋" w:cs="仿宋"/>
                <w:i w:val="0"/>
                <w:iCs w:val="0"/>
                <w:color w:val="000000"/>
                <w:kern w:val="0"/>
                <w:sz w:val="20"/>
                <w:szCs w:val="20"/>
                <w:u w:val="none"/>
                <w:lang w:val="en-US" w:eastAsia="zh-CN" w:bidi="ar"/>
              </w:rPr>
              <w:t>，透明硼硅酸盐玻璃制</w:t>
            </w:r>
          </w:p>
        </w:tc>
      </w:tr>
      <w:tr w14:paraId="3C3A9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B07C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EFBD9">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B2EF90">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CA0D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2CF17">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15 mm  × 150 mm</w:t>
            </w:r>
            <w:r>
              <w:rPr>
                <w:rFonts w:hint="eastAsia" w:ascii="仿宋" w:hAnsi="仿宋" w:eastAsia="仿宋" w:cs="仿宋"/>
                <w:i w:val="0"/>
                <w:iCs w:val="0"/>
                <w:color w:val="000000"/>
                <w:kern w:val="0"/>
                <w:sz w:val="20"/>
                <w:szCs w:val="20"/>
                <w:u w:val="none"/>
                <w:lang w:val="en-US" w:eastAsia="zh-CN" w:bidi="ar"/>
              </w:rPr>
              <w:t>，透明硼硅酸盐玻璃制</w:t>
            </w:r>
          </w:p>
        </w:tc>
      </w:tr>
      <w:tr w14:paraId="42768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9AA1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69CAE">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3ED37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烧杯</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61AE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A1F4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 mL，透明硼硅酸盐玻璃制</w:t>
            </w:r>
          </w:p>
        </w:tc>
      </w:tr>
      <w:tr w14:paraId="13C71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68F06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B31B4">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B0EE40">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EF56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CA00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 mL，透明硼硅酸盐玻璃制</w:t>
            </w:r>
          </w:p>
        </w:tc>
      </w:tr>
      <w:tr w14:paraId="47156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AA5A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A9B39">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73EC7">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599F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562F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mL，透明硼硅酸盐玻璃制</w:t>
            </w:r>
          </w:p>
        </w:tc>
      </w:tr>
      <w:tr w14:paraId="748BD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3DCA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9D850">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D5686">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1BDC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0371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 mL，透明硼硅酸盐玻璃制</w:t>
            </w:r>
          </w:p>
        </w:tc>
      </w:tr>
      <w:tr w14:paraId="17D85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D2D3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3898C">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3C7C8">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E15B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9B9F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1000 mL，透明硼硅酸盐玻璃制</w:t>
            </w:r>
          </w:p>
        </w:tc>
      </w:tr>
      <w:tr w14:paraId="04B9D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6D2B3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97911">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A5E5A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锥形瓶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4777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33E5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 mL，透明硼硅酸盐玻璃制</w:t>
            </w:r>
          </w:p>
        </w:tc>
      </w:tr>
      <w:tr w14:paraId="2DCCF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A9C1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41363">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95D1E">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48CD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1532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 mL，透明硼硅酸盐玻璃制</w:t>
            </w:r>
          </w:p>
        </w:tc>
      </w:tr>
      <w:tr w14:paraId="2009C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08DB0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E3C80">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5B215">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BFB7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D4C1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mL，透明硼硅酸盐玻璃制</w:t>
            </w:r>
          </w:p>
        </w:tc>
      </w:tr>
      <w:tr w14:paraId="4EDC4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B3B88">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CB7BE">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4E602">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7601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3663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 mL，透明硼硅酸盐玻璃制</w:t>
            </w:r>
          </w:p>
        </w:tc>
      </w:tr>
      <w:tr w14:paraId="58E62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D74B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2DE9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29C7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蒸馏烧瓶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C720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AC8F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mL，透明硼硅酸盐玻璃制，烧瓶的颈部 同一截面应该呈圆形，颈的口部不应呈锥形， 并适当提高强度</w:t>
            </w:r>
          </w:p>
        </w:tc>
      </w:tr>
      <w:tr w14:paraId="20CB0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BA90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11827">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DEDAB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广口瓶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E033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C81B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125 mL，透明硼硅酸盐玻璃制</w:t>
            </w:r>
          </w:p>
        </w:tc>
      </w:tr>
      <w:tr w14:paraId="53774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69B75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F6C9A">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68C90">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C374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D436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mL，透明硼硅酸盐玻璃制</w:t>
            </w:r>
          </w:p>
        </w:tc>
      </w:tr>
      <w:tr w14:paraId="14B2A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3B7B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094CD">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664FC">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F00F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F806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 mL，透明硼硅酸盐玻璃制</w:t>
            </w:r>
          </w:p>
        </w:tc>
      </w:tr>
      <w:tr w14:paraId="0398F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B590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EAF50">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0E68F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细口瓶</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A099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D819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125 mL，透明硼硅酸盐玻璃制</w:t>
            </w:r>
          </w:p>
        </w:tc>
      </w:tr>
      <w:tr w14:paraId="0F478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669A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8A684">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C4903">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C638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B4D2D">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 mL，透明硼硅酸盐玻璃制</w:t>
            </w:r>
          </w:p>
        </w:tc>
      </w:tr>
      <w:tr w14:paraId="063EC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D047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92CB3">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9556C">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2EEC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8895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 mL，透明硼硅酸盐玻璃制</w:t>
            </w:r>
          </w:p>
        </w:tc>
      </w:tr>
      <w:tr w14:paraId="17656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E6D2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30713">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E60DE">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2D39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DC00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1000 mL，透明硼硅酸盐玻璃制</w:t>
            </w:r>
          </w:p>
        </w:tc>
      </w:tr>
      <w:tr w14:paraId="71EF1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57A5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00B31">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B5C81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滴瓶</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E9AE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EC5C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 mL，透明硼硅酸盐玻璃制</w:t>
            </w:r>
          </w:p>
        </w:tc>
      </w:tr>
      <w:tr w14:paraId="3B466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F479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C7350">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F53D2">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774F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F317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 mL，透明硼硅酸盐玻璃制</w:t>
            </w:r>
          </w:p>
        </w:tc>
      </w:tr>
      <w:tr w14:paraId="73FEE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7BD530">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56CD3">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4D2BB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茶色滴瓶</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7156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C83F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 mL，硼硅酸盐玻璃制</w:t>
            </w:r>
          </w:p>
        </w:tc>
      </w:tr>
      <w:tr w14:paraId="44FDA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34B33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6EA4B">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7254B">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49A6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35E8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 mL，硼硅酸盐玻璃制</w:t>
            </w:r>
          </w:p>
        </w:tc>
      </w:tr>
      <w:tr w14:paraId="184C9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4DE3A">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5A449">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A3B45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培养皿</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659D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E0E0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 mm，透明硼硅酸盐玻璃制</w:t>
            </w:r>
          </w:p>
        </w:tc>
      </w:tr>
      <w:tr w14:paraId="0DA6B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7694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76F19">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88BB6">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3E6D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4873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90 mm，透明硼硅酸盐玻璃制</w:t>
            </w:r>
          </w:p>
        </w:tc>
      </w:tr>
      <w:tr w14:paraId="06BBE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8B97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C2349">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A873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比色管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4BEF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1A9A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 mL，具塞，无色透明硼硅酸盐玻璃制</w:t>
            </w:r>
          </w:p>
        </w:tc>
      </w:tr>
      <w:tr w14:paraId="6B91C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05D6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EF3B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F9AA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长颈漏斗</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997B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7B26E">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上口直径 45 mm,球形直径 42 mm,下管长 250 mm,下管外径 8 mm，透明硼硅酸盐玻璃制</w:t>
            </w:r>
          </w:p>
        </w:tc>
      </w:tr>
      <w:tr w14:paraId="65AD0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69D5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52163">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D8149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漏斗</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C63C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3284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 mm，透明硼硅酸盐玻璃制</w:t>
            </w:r>
          </w:p>
        </w:tc>
      </w:tr>
      <w:tr w14:paraId="6A452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A7BC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A8941">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02AC7">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0ED0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61E4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90 mm，透明硼硅酸盐玻璃制</w:t>
            </w:r>
          </w:p>
        </w:tc>
      </w:tr>
      <w:tr w14:paraId="773A3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FF5B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D8FC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C533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三通连接管</w:t>
            </w:r>
          </w:p>
        </w:tc>
        <w:tc>
          <w:tcPr>
            <w:tcW w:w="5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471A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0DE2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Style w:val="7"/>
                <w:rFonts w:hint="eastAsia" w:ascii="仿宋" w:hAnsi="仿宋" w:eastAsia="仿宋" w:cs="仿宋"/>
                <w:sz w:val="20"/>
                <w:szCs w:val="20"/>
                <w:lang w:val="en-US" w:eastAsia="zh-CN" w:bidi="ar"/>
              </w:rPr>
              <w:t xml:space="preserve">Y 形， </w:t>
            </w: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 xml:space="preserve">7 mm~ </w:t>
            </w: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8 mm，连接完好，管口应 为熔光，</w:t>
            </w:r>
            <w:r>
              <w:rPr>
                <w:rFonts w:hint="eastAsia" w:ascii="仿宋" w:hAnsi="仿宋" w:eastAsia="仿宋" w:cs="仿宋"/>
                <w:i w:val="0"/>
                <w:iCs w:val="0"/>
                <w:color w:val="000000"/>
                <w:kern w:val="0"/>
                <w:sz w:val="20"/>
                <w:szCs w:val="20"/>
                <w:u w:val="none"/>
                <w:lang w:val="en-US" w:eastAsia="zh-CN" w:bidi="ar"/>
              </w:rPr>
              <w:t>透明硼硅酸盐玻璃制</w:t>
            </w:r>
          </w:p>
        </w:tc>
      </w:tr>
      <w:tr w14:paraId="201BE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C924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AD78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F3E2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滴管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9C2B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7C381">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8 mm×100 mm，直形，滴管尖嘴口径 1 mm， 上端有防滑脱翻口，翻口处直径比滴管直径 略多 1 mm～2 mm，</w:t>
            </w:r>
            <w:r>
              <w:rPr>
                <w:rFonts w:hint="eastAsia" w:ascii="仿宋" w:hAnsi="仿宋" w:eastAsia="仿宋" w:cs="仿宋"/>
                <w:i w:val="0"/>
                <w:iCs w:val="0"/>
                <w:color w:val="000000"/>
                <w:kern w:val="0"/>
                <w:sz w:val="20"/>
                <w:szCs w:val="20"/>
                <w:u w:val="none"/>
                <w:lang w:val="en-US" w:eastAsia="zh-CN" w:bidi="ar"/>
              </w:rPr>
              <w:t>透明硼硅酸盐玻璃制</w:t>
            </w:r>
          </w:p>
        </w:tc>
      </w:tr>
      <w:tr w14:paraId="6DC8F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0C9FE">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343C7">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2C21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载玻片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FE5C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63CF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无色透明，平整，透明硼硅酸盐玻璃制</w:t>
            </w:r>
          </w:p>
        </w:tc>
      </w:tr>
      <w:tr w14:paraId="0DC18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FDA1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AFE0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7A72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盖玻片</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43FE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56FD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无色透明，平整，透明硼硅酸盐玻璃制</w:t>
            </w:r>
          </w:p>
        </w:tc>
      </w:tr>
      <w:tr w14:paraId="32C7D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4047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AE1B2">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1910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酒精灯</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B44C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8E1E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1、主要由:钠钙玻璃瓶体、瓷灯头、灯芯、灯盖、防风置组成。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2、规格150ML透明钠钙玻璃制，壁厚5mm,无明显黄绿色。</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灯口应平整，瓷灯头与灯口平面间隙不应超过1mm，瓷灯头为白色，高度22m,直径20mm,完全覆盖灯口，表面无缺陷。防风罩为黄铜制，高度6.5mm,直径3.7mm,壁厚0.15mm,配置与灯口孔径相适应的整齐完整的棉线灯芯,灯芯长度160mm。</w:t>
            </w:r>
          </w:p>
        </w:tc>
      </w:tr>
      <w:tr w14:paraId="4A436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9F98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0BFA8">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7E0D7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离心管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A741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BE69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0.5 mL，塑料</w:t>
            </w:r>
          </w:p>
        </w:tc>
      </w:tr>
      <w:tr w14:paraId="31F8E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AF6E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DE801">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80A92">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939C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DFA98">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 mL，塑料</w:t>
            </w:r>
          </w:p>
        </w:tc>
      </w:tr>
      <w:tr w14:paraId="273C0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6126B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4840D">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FBC78">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7D4F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9B7D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 mL，塑料</w:t>
            </w:r>
          </w:p>
        </w:tc>
      </w:tr>
      <w:tr w14:paraId="714D7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09AD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3586F">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8C887">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ADE5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69F1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 mL，塑料</w:t>
            </w:r>
          </w:p>
        </w:tc>
      </w:tr>
      <w:tr w14:paraId="52B1B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AC84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2AEA2">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DBEC8">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F6A1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CF87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 mL，塑料</w:t>
            </w:r>
          </w:p>
        </w:tc>
      </w:tr>
      <w:tr w14:paraId="2BEE3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D9935">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2183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4BC0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玻璃管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FC9B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6F656">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 xml:space="preserve">5 mm~ </w:t>
            </w: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6 mm，中性料，管口应为熔光，</w:t>
            </w:r>
            <w:r>
              <w:rPr>
                <w:rFonts w:hint="eastAsia" w:ascii="仿宋" w:hAnsi="仿宋" w:eastAsia="仿宋" w:cs="仿宋"/>
                <w:i w:val="0"/>
                <w:iCs w:val="0"/>
                <w:color w:val="000000"/>
                <w:kern w:val="0"/>
                <w:sz w:val="20"/>
                <w:szCs w:val="20"/>
                <w:u w:val="none"/>
                <w:lang w:val="en-US" w:eastAsia="zh-CN" w:bidi="ar"/>
              </w:rPr>
              <w:t>透明硼硅酸盐玻璃制</w:t>
            </w:r>
          </w:p>
        </w:tc>
      </w:tr>
      <w:tr w14:paraId="2AE22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08D14">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18F5E">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E27C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玻璃弯管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CC71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714E9">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 xml:space="preserve">5 mm~ </w:t>
            </w: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6 mm，一端长度为 6 cm～7 cm， 一端长度约20 cm，形状为直角和钝角两种， 管口应为熔光</w:t>
            </w:r>
            <w:r>
              <w:rPr>
                <w:rFonts w:hint="eastAsia" w:ascii="仿宋" w:hAnsi="仿宋" w:eastAsia="仿宋" w:cs="仿宋"/>
                <w:i w:val="0"/>
                <w:iCs w:val="0"/>
                <w:color w:val="000000"/>
                <w:kern w:val="0"/>
                <w:sz w:val="20"/>
                <w:szCs w:val="20"/>
                <w:u w:val="none"/>
                <w:lang w:val="en-US" w:eastAsia="zh-CN" w:bidi="ar"/>
              </w:rPr>
              <w:t>，透明硼硅酸盐玻璃制</w:t>
            </w:r>
          </w:p>
        </w:tc>
      </w:tr>
      <w:tr w14:paraId="0042E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6679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5B2E8">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248B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玻璃棒</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1DAE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51B2F">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 xml:space="preserve">7 mm~ </w:t>
            </w: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8 mm，两端应平整倒边</w:t>
            </w:r>
            <w:r>
              <w:rPr>
                <w:rFonts w:hint="eastAsia" w:ascii="仿宋" w:hAnsi="仿宋" w:eastAsia="仿宋" w:cs="仿宋"/>
                <w:i w:val="0"/>
                <w:iCs w:val="0"/>
                <w:color w:val="000000"/>
                <w:kern w:val="0"/>
                <w:sz w:val="20"/>
                <w:szCs w:val="20"/>
                <w:u w:val="none"/>
                <w:lang w:val="en-US" w:eastAsia="zh-CN" w:bidi="ar"/>
              </w:rPr>
              <w:t>，透明硼硅酸盐玻璃制</w:t>
            </w:r>
          </w:p>
        </w:tc>
      </w:tr>
      <w:tr w14:paraId="05A09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0B04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9E9F">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75F0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试管夹</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5DA0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EF11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木制或竹制，长度≥200 mm，宽度 20 mm，厚度 20 mm；试管夹闭口缝≤1 mm，开口距 ≥25mm；毡块黏结牢固，试管夹弹簧做防锈 处理，试管夹持部位圆弧内径≤ 15 mm</w:t>
            </w:r>
          </w:p>
        </w:tc>
      </w:tr>
      <w:tr w14:paraId="6707C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B3C5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ADEC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BE29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止水皮管夹</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6539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50A32">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3 mm 钢丝制成，作防锈处理，夹持角度不 小于 60º , 弹性好，不漏液</w:t>
            </w:r>
          </w:p>
        </w:tc>
      </w:tr>
      <w:tr w14:paraId="7D752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088F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BAFD0">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B75F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陶土网</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75EF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986D7">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金属网尺寸≥125 mm×125 mm，耐火材料为 陶土，功能等同于石棉网</w:t>
            </w:r>
          </w:p>
        </w:tc>
      </w:tr>
      <w:tr w14:paraId="47576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222CC">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A7CE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68FD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药匙</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A814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DBCD0">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中号 13.5 cm，一端带小勺，材质可选金属、 牛角、塑料</w:t>
            </w:r>
          </w:p>
        </w:tc>
      </w:tr>
      <w:tr w14:paraId="19C83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E8E1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9BB8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49FF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橡胶塞</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8B33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3107B">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根据需要用橡胶塞的玻璃仪器口径选择尺 寸，白色，质地均匀</w:t>
            </w:r>
          </w:p>
        </w:tc>
      </w:tr>
      <w:tr w14:paraId="5212B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7151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21A8B">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4CEE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橡胶管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01C6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6093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外径 9 mm，内径 6 mm，乳白色，具有耐油、 耐酸碱、耐压等特性</w:t>
            </w:r>
          </w:p>
        </w:tc>
      </w:tr>
      <w:tr w14:paraId="02B3F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DA377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00983">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1A753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试管刷</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116C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DF48C">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12mm；手持部分顶端应为环状，顶部要有 刷丝，铁丝不可外露</w:t>
            </w:r>
          </w:p>
        </w:tc>
      </w:tr>
      <w:tr w14:paraId="1D57C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2C0E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1A847">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C6B12">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2B7B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E06F8">
            <w:pPr>
              <w:keepNext w:val="0"/>
              <w:keepLines w:val="0"/>
              <w:widowControl/>
              <w:suppressLineNumbers w:val="0"/>
              <w:spacing w:line="360" w:lineRule="auto"/>
              <w:jc w:val="left"/>
              <w:textAlignment w:val="center"/>
              <w:rPr>
                <w:rFonts w:hint="eastAsia" w:ascii="仿宋" w:hAnsi="仿宋" w:eastAsia="仿宋" w:cs="仿宋"/>
                <w:i/>
                <w:iCs/>
                <w:color w:val="000000"/>
                <w:sz w:val="20"/>
                <w:szCs w:val="20"/>
                <w:u w:val="none"/>
              </w:rPr>
            </w:pPr>
            <w:r>
              <w:rPr>
                <w:rStyle w:val="8"/>
                <w:rFonts w:hint="eastAsia" w:ascii="仿宋" w:hAnsi="仿宋" w:eastAsia="仿宋" w:cs="仿宋"/>
                <w:sz w:val="20"/>
                <w:szCs w:val="20"/>
                <w:lang w:val="en-US" w:eastAsia="zh-CN" w:bidi="ar"/>
              </w:rPr>
              <w:t>Φ</w:t>
            </w:r>
            <w:r>
              <w:rPr>
                <w:rStyle w:val="7"/>
                <w:rFonts w:hint="eastAsia" w:ascii="仿宋" w:hAnsi="仿宋" w:eastAsia="仿宋" w:cs="仿宋"/>
                <w:sz w:val="20"/>
                <w:szCs w:val="20"/>
                <w:lang w:val="en-US" w:eastAsia="zh-CN" w:bidi="ar"/>
              </w:rPr>
              <w:t>18mm；手持部分顶端应为环状，顶部要有 刷丝，铁丝不可外露</w:t>
            </w:r>
          </w:p>
        </w:tc>
      </w:tr>
      <w:tr w14:paraId="754F5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6BD9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AFD62">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8C90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点滴板</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9823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AE4A1">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 孔穴，透明硼硅酸盐玻璃制</w:t>
            </w:r>
          </w:p>
        </w:tc>
      </w:tr>
      <w:tr w14:paraId="64ADE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211F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7C7C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ED08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研钵</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B636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E746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瓷或玻璃制，60mm，配有研杵，内部粗糙便 于研磨，外部光滑</w:t>
            </w:r>
          </w:p>
        </w:tc>
      </w:tr>
      <w:tr w14:paraId="7BDA5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FBD01">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774C4">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64245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移液器吸头盒</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7400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CAF1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 µL，96 孔，透明硼硅酸盐玻璃制</w:t>
            </w:r>
          </w:p>
        </w:tc>
      </w:tr>
      <w:tr w14:paraId="6986C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C72C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41D34">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9557F">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880C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2275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200 µL，96 孔，透明硼硅酸盐玻璃制</w:t>
            </w:r>
          </w:p>
        </w:tc>
      </w:tr>
      <w:tr w14:paraId="0DC65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D086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0A1E0">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AE9D30">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EB80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65C3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1000 µL，60 孔，透明硼硅酸盐玻璃制</w:t>
            </w:r>
          </w:p>
        </w:tc>
      </w:tr>
      <w:tr w14:paraId="6A6A9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632F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EF531">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324BD">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8D10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0187A">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 mL，28 孔，透明硼硅酸盐玻璃制</w:t>
            </w:r>
          </w:p>
        </w:tc>
      </w:tr>
      <w:tr w14:paraId="014AE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FE028">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C959C">
            <w:pPr>
              <w:spacing w:line="360" w:lineRule="auto"/>
              <w:rPr>
                <w:rFonts w:hint="eastAsia" w:ascii="仿宋" w:hAnsi="仿宋" w:eastAsia="仿宋" w:cs="仿宋"/>
                <w:i w:val="0"/>
                <w:iCs w:val="0"/>
                <w:color w:val="000000"/>
                <w:sz w:val="20"/>
                <w:szCs w:val="20"/>
                <w:u w:val="none"/>
              </w:rPr>
            </w:pPr>
          </w:p>
        </w:tc>
        <w:tc>
          <w:tcPr>
            <w:tcW w:w="7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07692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移液器吸头</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F68B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1431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 µL</w:t>
            </w:r>
          </w:p>
        </w:tc>
      </w:tr>
      <w:tr w14:paraId="0F056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D5F6F">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D5EE2">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7428C">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59D0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F305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200 µL</w:t>
            </w:r>
          </w:p>
        </w:tc>
      </w:tr>
      <w:tr w14:paraId="4E0EF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8BB4B">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AD64D">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3B0E9">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6357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D9E22">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1000 µL</w:t>
            </w:r>
          </w:p>
        </w:tc>
      </w:tr>
      <w:tr w14:paraId="2F6CD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7FF57">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09DBD">
            <w:pPr>
              <w:spacing w:line="360" w:lineRule="auto"/>
              <w:rPr>
                <w:rFonts w:hint="eastAsia" w:ascii="仿宋" w:hAnsi="仿宋" w:eastAsia="仿宋" w:cs="仿宋"/>
                <w:i w:val="0"/>
                <w:iCs w:val="0"/>
                <w:color w:val="000000"/>
                <w:sz w:val="20"/>
                <w:szCs w:val="20"/>
                <w:u w:val="none"/>
              </w:rPr>
            </w:pPr>
          </w:p>
        </w:tc>
        <w:tc>
          <w:tcPr>
            <w:tcW w:w="7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94D80">
            <w:pPr>
              <w:spacing w:line="360" w:lineRule="auto"/>
              <w:jc w:val="center"/>
              <w:rPr>
                <w:rFonts w:hint="eastAsia" w:ascii="仿宋" w:hAnsi="仿宋" w:eastAsia="仿宋" w:cs="仿宋"/>
                <w:i w:val="0"/>
                <w:iCs w:val="0"/>
                <w:color w:val="000000"/>
                <w:sz w:val="20"/>
                <w:szCs w:val="20"/>
                <w:u w:val="none"/>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1E30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1C4F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 mL</w:t>
            </w:r>
          </w:p>
        </w:tc>
      </w:tr>
      <w:tr w14:paraId="26C8B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639043">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ABDD6">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B246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塑料多用滴管</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2E80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5DA4F">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 mL</w:t>
            </w:r>
          </w:p>
        </w:tc>
      </w:tr>
      <w:tr w14:paraId="3956A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CD799">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3172C">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574D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定性滤纸</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20F7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A86F4">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快速，直径 9 cm</w:t>
            </w:r>
          </w:p>
        </w:tc>
      </w:tr>
      <w:tr w14:paraId="335FD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3E488">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BE25D">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28DF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打孔器</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901C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BB616">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齿口式，材质为不锈钢管、钢管或黄铜管， 每组≥4 支，外径分别为5.0 mm、6.5 mm、 8.0 mm、9.5 mm，并配一支带柄金属通钎</w:t>
            </w:r>
          </w:p>
        </w:tc>
      </w:tr>
      <w:tr w14:paraId="5FD79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F4ABD">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2FCD8">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BAE5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打孔夹板</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A523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949C5">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硬木或硬塑料制，有大小不同的锥形孔</w:t>
            </w:r>
          </w:p>
        </w:tc>
      </w:tr>
      <w:tr w14:paraId="476A4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0E618">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71EC2">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DE50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仪器车</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BC5E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0EB99">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600 mm×400 mm×800 mm，不锈钢材质，至 少两层，各层带可拆卸护栏，总载重≥60 kg</w:t>
            </w:r>
          </w:p>
        </w:tc>
      </w:tr>
      <w:tr w14:paraId="59013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F1542">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3CA8A">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D8BE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实验用品提篮</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6D80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E2A73">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环保材质，耐腐蚀，配有提手，≥490mm ×360 mm×290 mm，承重≥ 10 kg</w:t>
            </w:r>
          </w:p>
        </w:tc>
      </w:tr>
      <w:tr w14:paraId="07228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54178">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506D4">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2BDC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学生显微镜</w:t>
            </w: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DF79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top"/>
          </w:tcPr>
          <w:p w14:paraId="76319687">
            <w:pPr>
              <w:keepNext w:val="0"/>
              <w:keepLines w:val="0"/>
              <w:widowControl/>
              <w:suppressLineNumbers w:val="0"/>
              <w:spacing w:line="360" w:lineRule="auto"/>
              <w:jc w:val="left"/>
              <w:textAlignment w:val="top"/>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1、总放大倍数：40X-640X.</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2、惠更斯目镜：H10X、H16X。</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3、消色差物镜：4X、10X、40X（弹）。</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4、镜筒：单目直筒，支架可45度翻转。</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5、反光镜：直径φ50mm平凹反光镜。</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6、聚光镜：五孔光栏板。</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7、粗调范围：30mm。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8、微调范围：1.8mm-2.2mm。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9、载物台：金属平台，与载物台托架为一体，面积120mmX120mm，配切片夹。</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10、底座：生铁铸造。</w:t>
            </w:r>
          </w:p>
        </w:tc>
      </w:tr>
      <w:tr w14:paraId="19377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291A6">
            <w:pPr>
              <w:spacing w:line="360" w:lineRule="auto"/>
              <w:jc w:val="center"/>
              <w:rPr>
                <w:rFonts w:hint="eastAsia" w:ascii="仿宋" w:hAnsi="仿宋" w:eastAsia="仿宋" w:cs="仿宋"/>
                <w:i w:val="0"/>
                <w:iCs w:val="0"/>
                <w:color w:val="000000"/>
                <w:sz w:val="20"/>
                <w:szCs w:val="20"/>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D8A01">
            <w:pPr>
              <w:spacing w:line="360" w:lineRule="auto"/>
              <w:rPr>
                <w:rFonts w:hint="eastAsia" w:ascii="仿宋" w:hAnsi="仿宋" w:eastAsia="仿宋" w:cs="仿宋"/>
                <w:i w:val="0"/>
                <w:iCs w:val="0"/>
                <w:color w:val="000000"/>
                <w:sz w:val="20"/>
                <w:szCs w:val="20"/>
                <w:u w:val="none"/>
              </w:rPr>
            </w:pPr>
          </w:p>
        </w:tc>
        <w:tc>
          <w:tcPr>
            <w:tcW w:w="7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9F1BD">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0"/>
                <w:szCs w:val="20"/>
                <w:u w:val="none"/>
                <w:lang w:val="en-US" w:eastAsia="zh-CN" w:bidi="ar"/>
              </w:rPr>
            </w:pPr>
          </w:p>
        </w:tc>
        <w:tc>
          <w:tcPr>
            <w:tcW w:w="5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64E5E">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0"/>
                <w:szCs w:val="20"/>
                <w:u w:val="none"/>
                <w:lang w:val="en-US" w:eastAsia="zh-CN" w:bidi="ar"/>
              </w:rPr>
            </w:pPr>
          </w:p>
        </w:tc>
        <w:tc>
          <w:tcPr>
            <w:tcW w:w="2911" w:type="pct"/>
            <w:tcBorders>
              <w:top w:val="single" w:color="000000" w:sz="4" w:space="0"/>
              <w:left w:val="single" w:color="000000" w:sz="4" w:space="0"/>
              <w:bottom w:val="single" w:color="000000" w:sz="4" w:space="0"/>
              <w:right w:val="single" w:color="000000" w:sz="4" w:space="0"/>
            </w:tcBorders>
            <w:shd w:val="clear" w:color="auto" w:fill="auto"/>
            <w:vAlign w:val="top"/>
          </w:tcPr>
          <w:p w14:paraId="53DB8969">
            <w:pPr>
              <w:keepNext w:val="0"/>
              <w:keepLines w:val="0"/>
              <w:widowControl/>
              <w:suppressLineNumbers w:val="0"/>
              <w:spacing w:line="360" w:lineRule="auto"/>
              <w:jc w:val="left"/>
              <w:textAlignment w:val="top"/>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其他要求：本次项目报价中包含项目实施过程中所涉及到的所有耗材。</w:t>
            </w:r>
          </w:p>
        </w:tc>
      </w:tr>
    </w:tbl>
    <w:p w14:paraId="15C429F1">
      <w:pPr>
        <w:keepNext w:val="0"/>
        <w:keepLines w:val="0"/>
        <w:widowControl/>
        <w:suppressLineNumbers w:val="0"/>
        <w:spacing w:line="360" w:lineRule="auto"/>
        <w:jc w:val="both"/>
        <w:textAlignment w:val="center"/>
        <w:rPr>
          <w:rFonts w:hint="default"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2.玉山</w:t>
      </w:r>
    </w:p>
    <w:tbl>
      <w:tblPr>
        <w:tblStyle w:val="4"/>
        <w:tblpPr w:leftFromText="180" w:rightFromText="180" w:vertAnchor="text" w:horzAnchor="page" w:tblpX="1795" w:tblpY="290"/>
        <w:tblOverlap w:val="neve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9"/>
        <w:gridCol w:w="776"/>
        <w:gridCol w:w="1140"/>
        <w:gridCol w:w="945"/>
        <w:gridCol w:w="4972"/>
      </w:tblGrid>
      <w:tr w14:paraId="14300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D5C7E">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序号</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2908E">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单位名称</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02172">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名称</w:t>
            </w:r>
          </w:p>
        </w:tc>
        <w:tc>
          <w:tcPr>
            <w:tcW w:w="5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ED512">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数量</w:t>
            </w:r>
          </w:p>
        </w:tc>
        <w:tc>
          <w:tcPr>
            <w:tcW w:w="2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CA02C">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参数</w:t>
            </w:r>
          </w:p>
        </w:tc>
      </w:tr>
      <w:tr w14:paraId="78582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9597F">
            <w:pPr>
              <w:spacing w:line="360" w:lineRule="auto"/>
              <w:rPr>
                <w:rFonts w:hint="eastAsia" w:ascii="仿宋" w:hAnsi="仿宋" w:eastAsia="仿宋" w:cs="仿宋"/>
                <w:i w:val="0"/>
                <w:iCs w:val="0"/>
                <w:color w:val="000000"/>
                <w:sz w:val="20"/>
                <w:szCs w:val="20"/>
                <w:u w:val="none"/>
              </w:rPr>
            </w:pPr>
          </w:p>
        </w:tc>
        <w:tc>
          <w:tcPr>
            <w:tcW w:w="45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77CF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玉山中学</w:t>
            </w: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DE2F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AI智慧黑板</w:t>
            </w:r>
          </w:p>
        </w:tc>
        <w:tc>
          <w:tcPr>
            <w:tcW w:w="5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A991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29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279D9">
            <w:pPr>
              <w:keepNext w:val="0"/>
              <w:keepLines w:val="0"/>
              <w:widowControl/>
              <w:suppressLineNumbers w:val="0"/>
              <w:spacing w:line="360" w:lineRule="auto"/>
              <w:jc w:val="both"/>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1、屏幕≥86英寸，分辨率≥3840*2160。</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2、主屏硬度≥9H。</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3中控菜单支持手势操作设置，可选择息屏、桌面、降半屏等。</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 嵌入式系统≥Android 16。</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5、在0℃- 40℃环境下可正常工作，在-15℃—55℃的环境下可正常贮存且贮存后功能无损。</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 设备内置2.2声道扬声器,≥12W高音扬声器2个，≥30W中低音扬声器2个，总功率≥80W。</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7、支持提笔书写，无需点击功能入口，当检测到触控笔笔尖接触屏幕时，自动进入书写模式。</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8、设备采用触控技术， 支持双系统中≥40点触控。</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9、具备≥2路双系统USB3.0接口,USB3.0接口支持双系统读取外接移动存储设备,即插即用。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10、▲ 内置语音助手，通过设备自带麦克风及智能笔以唤醒词调起语音助手，支持语音交互方式调节 音量、亮度，语音操控打开系统已安装应用，支持语音搜索指定网页内容，支持选择网页中的视频进行播放或暂停。</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11、具备减滤蓝光功能，可一键启用减滤蓝光模式；。</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12、▲ 内置智能体AI图像生成功能 ，支持通过语音与大屏开展职业主题对话交互。大屏可同步生成对应职业形象，并将其转化为对话智能体实现双向对话交流。</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13、电源键为三合一按键，可实现开机、关机、待机三种功能。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14、▲ 内置朗读工具，通过 麦克风监测教室中学生的朗读情况，反馈学生朗读音量大小。</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15、▲ 内置非独立的高清摄像头，摄像头像素≥5000W.</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16、菜单支持智能音画模式，支持通过应用判断合适的画面设置与音效设置.</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17、支持无线传屏功能。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18、菜单可进行高级音效设置，可自由选择标准、听力、观影等不同效果。</w:t>
            </w:r>
            <w:r>
              <w:rPr>
                <w:rFonts w:hint="eastAsia" w:ascii="仿宋" w:hAnsi="仿宋" w:eastAsia="仿宋" w:cs="仿宋"/>
                <w:i w:val="0"/>
                <w:iCs w:val="0"/>
                <w:color w:val="000000"/>
                <w:kern w:val="0"/>
                <w:sz w:val="20"/>
                <w:szCs w:val="20"/>
                <w:highlight w:val="yellow"/>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19、▲ 听力模式下具备AI人声语言增强功能，支持强弱调节。</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20、▲ 具备班级视力检测功能，学⽣站距离屏幕前≥5m处，可通过识别⼿势标识方向进行视力测试，测试完成后直接生成视力检测结果，并建立学生视力档案。</w:t>
            </w:r>
          </w:p>
        </w:tc>
      </w:tr>
      <w:tr w14:paraId="4062C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2A2E5">
            <w:pPr>
              <w:spacing w:line="360" w:lineRule="auto"/>
              <w:rPr>
                <w:rFonts w:hint="eastAsia" w:ascii="仿宋" w:hAnsi="仿宋" w:eastAsia="仿宋" w:cs="仿宋"/>
                <w:i w:val="0"/>
                <w:iCs w:val="0"/>
                <w:color w:val="000000"/>
                <w:sz w:val="20"/>
                <w:szCs w:val="20"/>
                <w:u w:val="none"/>
              </w:rPr>
            </w:pPr>
          </w:p>
        </w:tc>
        <w:tc>
          <w:tcPr>
            <w:tcW w:w="4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C5A3C">
            <w:pPr>
              <w:spacing w:line="360" w:lineRule="auto"/>
              <w:jc w:val="center"/>
              <w:rPr>
                <w:rFonts w:hint="eastAsia" w:ascii="仿宋" w:hAnsi="仿宋" w:eastAsia="仿宋" w:cs="仿宋"/>
                <w:i w:val="0"/>
                <w:iCs w:val="0"/>
                <w:color w:val="000000"/>
                <w:sz w:val="20"/>
                <w:szCs w:val="20"/>
                <w:u w:val="none"/>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393B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电脑模块</w:t>
            </w:r>
          </w:p>
        </w:tc>
        <w:tc>
          <w:tcPr>
            <w:tcW w:w="5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528A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29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42EB9">
            <w:pPr>
              <w:keepNext w:val="0"/>
              <w:keepLines w:val="0"/>
              <w:widowControl/>
              <w:numPr>
                <w:ilvl w:val="0"/>
                <w:numId w:val="3"/>
              </w:numPr>
              <w:suppressLineNumbers w:val="0"/>
              <w:spacing w:line="360" w:lineRule="auto"/>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采用抽拉内置式模块化电脑，按压式卡扣方式。</w:t>
            </w:r>
          </w:p>
          <w:p w14:paraId="1591F69D">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2、搭载CPU：≥12核心12线程，主频：≥3.6 GHz。内存：≥8 GB DDR4。硬盘：≥512GB M.2 SSD。</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3、采用万兆级接口，传输速率≥10Gbps。</w:t>
            </w:r>
          </w:p>
        </w:tc>
      </w:tr>
      <w:tr w14:paraId="3A6A0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4C744">
            <w:pPr>
              <w:spacing w:line="360" w:lineRule="auto"/>
              <w:rPr>
                <w:rFonts w:hint="eastAsia" w:ascii="仿宋" w:hAnsi="仿宋" w:eastAsia="仿宋" w:cs="仿宋"/>
                <w:i w:val="0"/>
                <w:iCs w:val="0"/>
                <w:color w:val="000000"/>
                <w:sz w:val="20"/>
                <w:szCs w:val="20"/>
                <w:u w:val="none"/>
              </w:rPr>
            </w:pPr>
          </w:p>
        </w:tc>
        <w:tc>
          <w:tcPr>
            <w:tcW w:w="4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D33D1">
            <w:pPr>
              <w:spacing w:line="360" w:lineRule="auto"/>
              <w:jc w:val="center"/>
              <w:rPr>
                <w:rFonts w:hint="eastAsia" w:ascii="仿宋" w:hAnsi="仿宋" w:eastAsia="仿宋" w:cs="仿宋"/>
                <w:i w:val="0"/>
                <w:iCs w:val="0"/>
                <w:color w:val="000000"/>
                <w:sz w:val="20"/>
                <w:szCs w:val="20"/>
                <w:u w:val="none"/>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EE82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白板软件</w:t>
            </w:r>
          </w:p>
        </w:tc>
        <w:tc>
          <w:tcPr>
            <w:tcW w:w="5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DC47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c>
          <w:tcPr>
            <w:tcW w:w="29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610A7">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lang w:val="en-US" w:eastAsia="zh-CN" w:bidi="ar"/>
              </w:rPr>
              <w:t>1、</w:t>
            </w:r>
            <w:r>
              <w:rPr>
                <w:rFonts w:hint="eastAsia" w:ascii="仿宋" w:hAnsi="仿宋" w:eastAsia="仿宋" w:cs="仿宋"/>
                <w:i w:val="0"/>
                <w:iCs w:val="0"/>
                <w:color w:val="000000"/>
                <w:kern w:val="0"/>
                <w:sz w:val="20"/>
                <w:szCs w:val="20"/>
                <w:highlight w:val="none"/>
                <w:u w:val="none"/>
                <w:lang w:val="en-US" w:eastAsia="zh-CN" w:bidi="ar"/>
              </w:rPr>
              <w:t>采用备授课一体化框架设计，教师可根据教学场景自由切换类PPT界面的备课模式与触控交互教学模式。</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软件内置语音课堂功能，可进行语音直播、课件同步、互动工具远程教学；老师创建课堂后可通过二维码分享，学生扫码即可加入课堂，课堂中学生可打字提问，教师可下发习题等进行双向互动，直播中还可下发奖杯等对学生进行激励，课堂结束后可自动生成直播回放。</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软件支持电子化听评课功能，老师可在授课模式下在线发起听评课，其他老师可通过二维码进行评价以及获取课件，发起老师可在我的学校中查看历史评课记录并进行文档导出，至少支持word及pdf或其他常见的文档格式等。</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4、▲软件为老师提供云空间，空间≥30T。</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5、上传下载一体化云存储：备课时支持将云空间中存储图片、音频、视频、Flash等素材插入课件，同时支持将课件中的图片、音频、视频、Flash、PPT等素材右键上传至云空间。</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6、软件内置的 AI 智能语义分析模块，可对输入的英文文本的拼写、句型、语法进行错误检查，并支持纠错；支持老师发起集体备课功能，老师可自行选择对应课件、资源等发起线上备课，邀请其他老师共同参加，老师可以针对课件、教案进行批注和评论研讨，结束之后可进行数据统计并生成集备报告。</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7、支持PPT的解析，教师可将pptx课件转化为互动教学课件，支持单份导入和批量文件夹导入两种格式，保留pptx原文件中的文字、图片、表格等对象及动画的可编辑性，并可为课件增加互动教学元素。</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8、可自由调节课件画面的显示比例，支持16:9、4：3画面显示比。</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9、路径动画：支持任意对象自定义路径动画设置，可绘制任意的移动轨迹并让对象沿着轨迹路径进行移动，可单独设置该动画通过翻页或单击对象本身进行触发。</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10、▲支持学校校本资源建设，可支持多种类型资源上传，如doc,pdf,ppt,xls,mp4,wac,ogg等，同时支持批量上传，资源支持按年纪、学科等维度批量搜索，支持资源查看预览，创建者可进行删除、更名等操作，同时可以本地查看资源，也可选择插入校本资源库中的资源。</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11、无课件录制：支持教师在空白页面录制微课，支持自主添加≥100页电子草稿进行讲解。</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12、全文快速搜索：支持在课件中通过快捷键调用搜索控件，输入文本即可查找课件内文本框、形状、表格中对应的文本匹配项。</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13、▲软件提供≥90节党建微课视频，包括国家要求学习的革命、建设、改革、复兴等内容，支持在线点播及下载，支持视频关键帧打点标记，播放过程中可一键跳转，同时支持对频频随时截图。</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14、拼音工具：支持在拼音格中输入拼音字母，可展示该字母的标准四声读音以及笔画。</w:t>
            </w:r>
          </w:p>
          <w:p w14:paraId="56159E2A">
            <w:pPr>
              <w:keepNext w:val="0"/>
              <w:keepLines w:val="0"/>
              <w:widowControl/>
              <w:numPr>
                <w:ilvl w:val="-1"/>
                <w:numId w:val="0"/>
              </w:numPr>
              <w:suppressLineNumbers w:val="0"/>
              <w:spacing w:line="360" w:lineRule="auto"/>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15、▲在备课场景中支持搜索课件库课件资源，具有≥15万份的课件资源，支持整份课件或按照课件页插入课件中。支持按照教学环节筛选对应课件页一键插入课件中，可导课入新课、作者简介。支持按照元素类型思维导图、课堂活动选取需要的部分补充课件缺失的部分。支持在查看部分课件的同时查看对应整份课件。</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16、内置元素周期表，并且提供多种展示样式，至少包括常规样式、原子序数、相对原子质量等。</w:t>
            </w:r>
          </w:p>
        </w:tc>
      </w:tr>
      <w:tr w14:paraId="5766E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6D9A8">
            <w:pPr>
              <w:spacing w:line="360" w:lineRule="auto"/>
              <w:rPr>
                <w:rFonts w:hint="eastAsia" w:ascii="仿宋" w:hAnsi="仿宋" w:eastAsia="仿宋" w:cs="仿宋"/>
                <w:i w:val="0"/>
                <w:iCs w:val="0"/>
                <w:color w:val="000000"/>
                <w:sz w:val="20"/>
                <w:szCs w:val="20"/>
                <w:u w:val="none"/>
              </w:rPr>
            </w:pPr>
          </w:p>
        </w:tc>
        <w:tc>
          <w:tcPr>
            <w:tcW w:w="4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69ACA">
            <w:pPr>
              <w:spacing w:line="360" w:lineRule="auto"/>
              <w:jc w:val="center"/>
              <w:rPr>
                <w:rFonts w:hint="eastAsia" w:ascii="仿宋" w:hAnsi="仿宋" w:eastAsia="仿宋" w:cs="仿宋"/>
                <w:i w:val="0"/>
                <w:iCs w:val="0"/>
                <w:color w:val="000000"/>
                <w:sz w:val="20"/>
                <w:szCs w:val="20"/>
                <w:u w:val="none"/>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919E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教学数据分析管理平台</w:t>
            </w:r>
          </w:p>
        </w:tc>
        <w:tc>
          <w:tcPr>
            <w:tcW w:w="5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860C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29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2C020">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lang w:val="en-US" w:eastAsia="zh-CN" w:bidi="ar"/>
              </w:rPr>
              <w:t>1、</w:t>
            </w:r>
            <w:r>
              <w:rPr>
                <w:rFonts w:hint="eastAsia" w:ascii="仿宋" w:hAnsi="仿宋" w:eastAsia="仿宋" w:cs="仿宋"/>
                <w:i w:val="0"/>
                <w:iCs w:val="0"/>
                <w:color w:val="000000"/>
                <w:kern w:val="0"/>
                <w:sz w:val="20"/>
                <w:szCs w:val="20"/>
                <w:u w:val="none"/>
                <w:lang w:val="en-US" w:eastAsia="zh-CN" w:bidi="ar"/>
              </w:rPr>
              <w:t>▲为学校提供教研全流程管理服务，包含目标计划、教学设计、集体备课、听课评课、班级氛围等流程管理和数据分析。</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2、产品采用Saas的服务模式，后台应用B/S架构设计，支持学校管理者在Windows、Linux、Android、iOS、国产操作等上通过网页浏览器登陆进行操作，可统计全校教师软件活跃数据、点评数据及课件上传等数据。</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3、支持管理员及教师使用网页端和小程序端登录。通过教研数字化管理平台公众号可进入小程序端，支持查看数据信息和教师榜单等，并定期推送数据分析报表。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4、管理者通过学校数据可视化看板，查看学校云课件教案数、累计校本研修次数等情况，掌握学校教研关键数据（云课件和教案数量，校本课件、校本教案的数据）。</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5、通过多维度分析学校的信息化教学应用情况，综合评估出信息化指数，并与全省均值进行对比。</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6、▲支持信息化数据雷达图，将信息化教学数据分五个维度进行评估，分别为资源建设、校影响力、班级氛围、学情分析、校本研修，并与全省均值对比。</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7、支持展示本校部分师资力量及本校教师资源在全国范围的影响。</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8、支持呈现集体备课次数、评论研讨次数、授课次数和听课次数等数据情况，环比上周数据。</w:t>
            </w:r>
          </w:p>
          <w:p w14:paraId="59B888AA">
            <w:pPr>
              <w:keepNext w:val="0"/>
              <w:keepLines w:val="0"/>
              <w:widowControl/>
              <w:numPr>
                <w:ilvl w:val="-1"/>
                <w:numId w:val="0"/>
              </w:numPr>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9、▲支持查看不同时间段班级氛围数据情况，包含全校课堂点评情况、班级总分榜、教师榜单等。</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10、▲支持对不同评课维度得分进行统计，计算平均分并找出评分薄弱项，同时支持查看全校的评课记录和得分详情，并可一键导出Excel表格。</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11、展示教师在线研修情况，包括教师备课时长和在线学习时长，支持与分别按工作日和周末统计的全省均值进行对比。</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12、展示本校最新教研动态，包括集体备课、听课评课、校本资源建设动态。</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13、▲具备教师GPS定位打卡考勤功能。学校管理员可设置考勤时间、考勤范围，还可以查看和导出考勤数据报表。教师可在移动端进行GPS考勤，到达学校范围后即激活打卡，支持入校、离校、迟到、早退等多种打卡类型。</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14、展示本校教师产生的云课件、云教案数量，及校本资源库建设情况。通过榜单直观呈现教师产出的课件/教案被获取数量。</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15、支持管理者按照学段-学科-年级创建教师的教研组织结构，对教师做分组管理。支持设置教研组组长，并在教研组下设置多个备课组，添加对应的备课组成员，支持对教研组/备课组进行重命名和解散等操作。</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16、▲支持听评课数据查看，教师可以查看个人听评课数据，包括个人平均分，累计听课节数，累计评课节数，同时可以分析评价维度的得分情况以及个人薄弱项。</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17、管理员可根据组织架构信息，自由选定教师发送学校通知。发送后，管理员可登录教研数字化管理平台后台实时查阅教师已读、未读情况。通知的发送、接收都可在“教研数字化管理平台”微信公众号中完成，随时随地进行通知的查阅和管理。</w:t>
            </w:r>
          </w:p>
        </w:tc>
      </w:tr>
      <w:tr w14:paraId="7845D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0A978">
            <w:pPr>
              <w:spacing w:line="360" w:lineRule="auto"/>
              <w:rPr>
                <w:rFonts w:hint="eastAsia" w:ascii="仿宋" w:hAnsi="仿宋" w:eastAsia="仿宋" w:cs="仿宋"/>
                <w:i w:val="0"/>
                <w:iCs w:val="0"/>
                <w:color w:val="000000"/>
                <w:sz w:val="20"/>
                <w:szCs w:val="20"/>
                <w:u w:val="none"/>
              </w:rPr>
            </w:pPr>
          </w:p>
        </w:tc>
        <w:tc>
          <w:tcPr>
            <w:tcW w:w="4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00205">
            <w:pPr>
              <w:spacing w:line="360" w:lineRule="auto"/>
              <w:jc w:val="center"/>
              <w:rPr>
                <w:rFonts w:hint="eastAsia" w:ascii="仿宋" w:hAnsi="仿宋" w:eastAsia="仿宋" w:cs="仿宋"/>
                <w:i w:val="0"/>
                <w:iCs w:val="0"/>
                <w:color w:val="000000"/>
                <w:sz w:val="20"/>
                <w:szCs w:val="20"/>
                <w:u w:val="none"/>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D551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集控管理平台</w:t>
            </w:r>
          </w:p>
        </w:tc>
        <w:tc>
          <w:tcPr>
            <w:tcW w:w="5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29B8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29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D04A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1、B/S混合云架构设计。</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支持在Windows、Linux、Android、IOS、国产操作系统等通过网页浏览器登陆操作，具有多种智能身份识别方式：通过账号登录、手机扫码登录等方式。管理平台提供管理员移动管理平台，免安装并可在Android、IOS等多种移动操作系统。</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3、移动系统采用微信小程序设计，无需下载单独安装APP即可使用；兼容Android、IOS等多种移动操作系统。</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4、平台具备对全校智慧教室的教学信息化设备进行集中运维管理和策略部署。</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5、具备多设备接入，与交互智能教学设备、学生智能终端等教学设备的底层系统无缝对接。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6、为学校提供专属识别代码，可具备交互智能设备在广域网环境下，输入专属代码接入管理平台即可在通过管理平台可开启或关闭指定交互智能设备的任意磁盘分区数据还原（冰点）保护。</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7、系统支持多类型设备接入，集中运维。不限于班班通设备、录播设备、班牌设备、校园屏显设备、学生平板设备。</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8、设备巡视：支持同时查看≥8个教室的实时摄像头画面、设备屏幕画面；支持接入网络摄像头；并支持在一个显示界面同时查看单个教室内所有屏幕、所有摄像头的实时画面，以及所有麦克风的声音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9、掌上看班：支持普通老师在移动端查看教室的实时摄像头画面、设备屏幕画面，发现有违规违纪行为时，可远程发消息、发语音直接干预；老师的权限由管理员统一分配。</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10、实时监测已连接的交互智能设备状态，具备≥10台设备的略缩预览以及单设备全屏查看；可远程监测交互智能设备开关机状态、CPU温度、CPU使用率、硬盘空间、硬盘使用状况、内存容量、内存使用率、受控端系统版本、设备ID等设备数据。</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11、支持在移动端按日\周\月周期以图表形式快速查看设备日均开机时长分布、设备活跃趋势分析、软件使用时长排行、软件使用次数排行、设备健康度排行等；并自动生成运维解析策略。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12、▲流量监管：支持查看校内当日班班通设备流量使用的具体情况、带宽利用率；支持对设备进行限速设置。</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13、可对局域网内的交互智能终端进行远程实时控制，能够监测设备当前运行界面，并远程对设备操作界面进行控制。</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14、可控制连接广域网的交互智能设备 关机、开机和重启；可批量设定智能设备开关机的执行时间，自定义日循环执行，预约定时执行。</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15、▲弹窗AI拦截：支持一键开启全校班班通设备的不良弹窗AI拦截过滤能力，设备辅助管理软件实时监测弹出窗口，当有窗口弹出时，自动拦截。</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16、可批量对交互智能设备进行软件远程部署，配套专用教学软件批量部署可静默安装。</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17、显示设备使用情况数据报表，包括实时在线设备数、今日活跃人数、使用学科数、异常条数、设备使用时段、设备使用时长分布、软件使用次数、用户活跃数、不同学科使用频次占比等。</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18、移动管理平台可查看已连接设备运行异常数据，异常类型包含温度过高、CPU占用率过高、待机时间过长等，具备按年级筛选查看设备异常数据并对异常设备进行管控。</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19、为学校提供专属识别代码，广域网环境下的交互智能设备输入专属代码接入管理平台即可在通过管理平台对设备进行远程管理。可按照年级、班级自定义交互智能设备名称。</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20、▲冰点穿透：支持远程向已冰冻的设备发送指令、安装软件、传输大文件，设备接收到后会立即执行，并在设备正常关机时触发穿透动作，穿透完成后，设备即可永久性使用已安装软件、已传输文件、执行已接收指令，且穿透过程中无需人为解冻。</w:t>
            </w:r>
          </w:p>
        </w:tc>
      </w:tr>
      <w:tr w14:paraId="73E3F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6A07D">
            <w:pPr>
              <w:spacing w:line="360" w:lineRule="auto"/>
              <w:rPr>
                <w:rFonts w:hint="eastAsia" w:ascii="仿宋" w:hAnsi="仿宋" w:eastAsia="仿宋" w:cs="仿宋"/>
                <w:i w:val="0"/>
                <w:iCs w:val="0"/>
                <w:color w:val="000000"/>
                <w:sz w:val="20"/>
                <w:szCs w:val="20"/>
                <w:u w:val="none"/>
              </w:rPr>
            </w:pPr>
          </w:p>
        </w:tc>
        <w:tc>
          <w:tcPr>
            <w:tcW w:w="4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86D9F">
            <w:pPr>
              <w:spacing w:line="360" w:lineRule="auto"/>
              <w:jc w:val="center"/>
              <w:rPr>
                <w:rFonts w:hint="eastAsia" w:ascii="仿宋" w:hAnsi="仿宋" w:eastAsia="仿宋" w:cs="仿宋"/>
                <w:i w:val="0"/>
                <w:iCs w:val="0"/>
                <w:color w:val="000000"/>
                <w:sz w:val="20"/>
                <w:szCs w:val="20"/>
                <w:u w:val="none"/>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045F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视频展台</w:t>
            </w:r>
          </w:p>
        </w:tc>
        <w:tc>
          <w:tcPr>
            <w:tcW w:w="5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684A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29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AE96C">
            <w:pPr>
              <w:keepNext w:val="0"/>
              <w:keepLines w:val="0"/>
              <w:widowControl/>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1、采≥1200 万像素摄像头；采用 USB 电源直接供电.</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2、拍摄幅面≥A4 ，1080P 动态视频≥30 帧/秒；托板及挂墙部分采用金属加强，壁挂式安装。</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3、支持展台成像画面实时批注，预设多种笔划粗细及颜色供选择，且支持对展台成像画面联同批注内容进行同 步缩放、移动。</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4、展示托板正上方具备 LED 补光灯，补光灯开关采用触摸按键设计，可通过智慧黑板中的软件直接控制开关；</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5、带自动对焦摄像头；外壳在摄像头部分带保护镜片密封，防护等级≥IP4X 。</w:t>
            </w:r>
          </w:p>
        </w:tc>
      </w:tr>
      <w:tr w14:paraId="1289A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9B5EF">
            <w:pPr>
              <w:spacing w:line="360" w:lineRule="auto"/>
              <w:rPr>
                <w:rFonts w:hint="eastAsia" w:ascii="仿宋" w:hAnsi="仿宋" w:eastAsia="仿宋" w:cs="仿宋"/>
                <w:i w:val="0"/>
                <w:iCs w:val="0"/>
                <w:color w:val="000000"/>
                <w:sz w:val="20"/>
                <w:szCs w:val="20"/>
                <w:u w:val="none"/>
              </w:rPr>
            </w:pPr>
          </w:p>
        </w:tc>
        <w:tc>
          <w:tcPr>
            <w:tcW w:w="4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736FF">
            <w:pPr>
              <w:spacing w:line="360" w:lineRule="auto"/>
              <w:jc w:val="center"/>
              <w:rPr>
                <w:rFonts w:hint="eastAsia" w:ascii="仿宋" w:hAnsi="仿宋" w:eastAsia="仿宋" w:cs="仿宋"/>
                <w:i w:val="0"/>
                <w:iCs w:val="0"/>
                <w:color w:val="000000"/>
                <w:sz w:val="20"/>
                <w:szCs w:val="20"/>
                <w:u w:val="none"/>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DDB4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智能笔</w:t>
            </w:r>
          </w:p>
        </w:tc>
        <w:tc>
          <w:tcPr>
            <w:tcW w:w="5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8883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29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2CDAC">
            <w:pPr>
              <w:keepNext w:val="0"/>
              <w:keepLines w:val="0"/>
              <w:widowControl/>
              <w:numPr>
                <w:ilvl w:val="0"/>
                <w:numId w:val="4"/>
              </w:numPr>
              <w:suppressLineNumbers w:val="0"/>
              <w:spacing w:line="360" w:lineRule="auto"/>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采用笔型设计，具有遥控按键，支持触摸书写，可</w:t>
            </w:r>
          </w:p>
          <w:p w14:paraId="498C95AB">
            <w:pPr>
              <w:keepNext w:val="0"/>
              <w:keepLines w:val="0"/>
              <w:widowControl/>
              <w:numPr>
                <w:ilvl w:val="0"/>
                <w:numId w:val="0"/>
              </w:numPr>
              <w:suppressLineNumbers w:val="0"/>
              <w:spacing w:line="360" w:lineRule="auto"/>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远程操控。</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2、采用2.4G无线连接技术，无线接收距离≥15米。</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3、无线接收器采用微型设计。</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4、单接收器设计，双系统同时响应。</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5、支持白板课件、PPT、PDF等多种格式的课件进行远程无线翻页。</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6、支持自定义按键功能，支持設置一键启动任意通道批注、一键启动/退出PPT播放、一键启动PPT批注、一键启动任意通道冻结与放大屏幕内容。</w:t>
            </w:r>
          </w:p>
        </w:tc>
      </w:tr>
      <w:tr w14:paraId="158EC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F58BA">
            <w:pPr>
              <w:spacing w:line="360" w:lineRule="auto"/>
              <w:rPr>
                <w:rFonts w:hint="eastAsia" w:ascii="仿宋" w:hAnsi="仿宋" w:eastAsia="仿宋" w:cs="仿宋"/>
                <w:i w:val="0"/>
                <w:iCs w:val="0"/>
                <w:color w:val="000000"/>
                <w:sz w:val="20"/>
                <w:szCs w:val="20"/>
                <w:u w:val="none"/>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6DE81">
            <w:pPr>
              <w:spacing w:line="360" w:lineRule="auto"/>
              <w:jc w:val="center"/>
              <w:rPr>
                <w:rFonts w:hint="eastAsia" w:ascii="仿宋" w:hAnsi="仿宋" w:eastAsia="仿宋" w:cs="仿宋"/>
                <w:i w:val="0"/>
                <w:iCs w:val="0"/>
                <w:color w:val="000000"/>
                <w:sz w:val="20"/>
                <w:szCs w:val="20"/>
                <w:u w:val="none"/>
              </w:rPr>
            </w:pP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65EEA">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0"/>
                <w:szCs w:val="20"/>
                <w:u w:val="none"/>
                <w:lang w:val="en-US" w:eastAsia="zh-CN" w:bidi="ar"/>
              </w:rPr>
            </w:pPr>
          </w:p>
        </w:tc>
        <w:tc>
          <w:tcPr>
            <w:tcW w:w="5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62EB2">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0"/>
                <w:szCs w:val="20"/>
                <w:u w:val="none"/>
                <w:lang w:val="en-US" w:eastAsia="zh-CN" w:bidi="ar"/>
              </w:rPr>
            </w:pPr>
          </w:p>
        </w:tc>
        <w:tc>
          <w:tcPr>
            <w:tcW w:w="29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81C9F">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其他要求：本次项目内容包含项目实施过程中所涉及到的所有耗材。</w:t>
            </w:r>
          </w:p>
        </w:tc>
      </w:tr>
    </w:tbl>
    <w:p w14:paraId="6608292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Cambria Math">
    <w:panose1 w:val="02040503050406030204"/>
    <w:charset w:val="00"/>
    <w:family w:val="auto"/>
    <w:pitch w:val="default"/>
    <w:sig w:usb0="E00006FF" w:usb1="420024FF" w:usb2="02000000" w:usb3="00000000" w:csb0="2000019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08E2D">
    <w:pPr>
      <w:spacing w:line="14" w:lineRule="auto"/>
      <w:rPr>
        <w:rFonts w:ascii="Arial"/>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52F1D">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97B37D"/>
    <w:multiLevelType w:val="singleLevel"/>
    <w:tmpl w:val="B997B37D"/>
    <w:lvl w:ilvl="0" w:tentative="0">
      <w:start w:val="1"/>
      <w:numFmt w:val="decimal"/>
      <w:suff w:val="nothing"/>
      <w:lvlText w:val="%1、"/>
      <w:lvlJc w:val="left"/>
    </w:lvl>
  </w:abstractNum>
  <w:abstractNum w:abstractNumId="1">
    <w:nsid w:val="C33896A0"/>
    <w:multiLevelType w:val="singleLevel"/>
    <w:tmpl w:val="C33896A0"/>
    <w:lvl w:ilvl="0" w:tentative="0">
      <w:start w:val="1"/>
      <w:numFmt w:val="decimal"/>
      <w:lvlText w:val="%1."/>
      <w:lvlJc w:val="left"/>
      <w:pPr>
        <w:tabs>
          <w:tab w:val="left" w:pos="312"/>
        </w:tabs>
      </w:pPr>
    </w:lvl>
  </w:abstractNum>
  <w:abstractNum w:abstractNumId="2">
    <w:nsid w:val="3ADA7F18"/>
    <w:multiLevelType w:val="singleLevel"/>
    <w:tmpl w:val="3ADA7F18"/>
    <w:lvl w:ilvl="0" w:tentative="0">
      <w:start w:val="1"/>
      <w:numFmt w:val="decimal"/>
      <w:lvlText w:val="%1."/>
      <w:lvlJc w:val="left"/>
      <w:pPr>
        <w:tabs>
          <w:tab w:val="left" w:pos="312"/>
        </w:tabs>
      </w:pPr>
    </w:lvl>
  </w:abstractNum>
  <w:abstractNum w:abstractNumId="3">
    <w:nsid w:val="70AB771B"/>
    <w:multiLevelType w:val="singleLevel"/>
    <w:tmpl w:val="70AB771B"/>
    <w:lvl w:ilvl="0" w:tentative="0">
      <w:start w:val="1"/>
      <w:numFmt w:val="decimal"/>
      <w:suff w:val="nothing"/>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E52F88"/>
    <w:rsid w:val="45611A6C"/>
    <w:rsid w:val="4AE52F88"/>
    <w:rsid w:val="6AE320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customStyle="1" w:styleId="6">
    <w:name w:val="null3"/>
    <w:hidden/>
    <w:qFormat/>
    <w:uiPriority w:val="0"/>
    <w:rPr>
      <w:rFonts w:hint="eastAsia" w:asciiTheme="minorHAnsi" w:hAnsiTheme="minorHAnsi" w:eastAsiaTheme="minorEastAsia" w:cstheme="minorBidi"/>
      <w:lang w:val="en-US" w:eastAsia="zh-Hans"/>
    </w:rPr>
  </w:style>
  <w:style w:type="character" w:customStyle="1" w:styleId="7">
    <w:name w:val="font61"/>
    <w:basedOn w:val="5"/>
    <w:qFormat/>
    <w:uiPriority w:val="0"/>
    <w:rPr>
      <w:rFonts w:hint="eastAsia" w:ascii="宋体" w:hAnsi="宋体" w:eastAsia="宋体" w:cs="宋体"/>
      <w:color w:val="000000"/>
      <w:sz w:val="20"/>
      <w:szCs w:val="20"/>
      <w:u w:val="none"/>
    </w:rPr>
  </w:style>
  <w:style w:type="character" w:customStyle="1" w:styleId="8">
    <w:name w:val="font81"/>
    <w:basedOn w:val="5"/>
    <w:qFormat/>
    <w:uiPriority w:val="0"/>
    <w:rPr>
      <w:rFonts w:hint="eastAsia" w:ascii="宋体" w:hAnsi="宋体" w:eastAsia="宋体" w:cs="宋体"/>
      <w:i/>
      <w:iCs/>
      <w:color w:val="000000"/>
      <w:sz w:val="20"/>
      <w:szCs w:val="20"/>
      <w:u w:val="none"/>
    </w:rPr>
  </w:style>
  <w:style w:type="character" w:customStyle="1" w:styleId="9">
    <w:name w:val="font91"/>
    <w:basedOn w:val="5"/>
    <w:qFormat/>
    <w:uiPriority w:val="0"/>
    <w:rPr>
      <w:rFonts w:hint="eastAsia" w:ascii="宋体" w:hAnsi="宋体" w:eastAsia="宋体" w:cs="宋体"/>
      <w:color w:val="000000"/>
      <w:sz w:val="22"/>
      <w:szCs w:val="22"/>
      <w:u w:val="none"/>
    </w:rPr>
  </w:style>
  <w:style w:type="character" w:customStyle="1" w:styleId="10">
    <w:name w:val="font101"/>
    <w:basedOn w:val="5"/>
    <w:qFormat/>
    <w:uiPriority w:val="0"/>
    <w:rPr>
      <w:rFonts w:ascii="仿宋" w:hAnsi="仿宋" w:eastAsia="仿宋" w:cs="仿宋"/>
      <w:color w:val="000000"/>
      <w:sz w:val="20"/>
      <w:szCs w:val="20"/>
      <w:u w:val="none"/>
    </w:rPr>
  </w:style>
  <w:style w:type="paragraph" w:customStyle="1" w:styleId="11">
    <w:name w:val="Table Text"/>
    <w:basedOn w:val="1"/>
    <w:semiHidden/>
    <w:qFormat/>
    <w:uiPriority w:val="0"/>
    <w:rPr>
      <w:rFonts w:ascii="宋体" w:hAnsi="宋体" w:eastAsia="宋体" w:cs="宋体"/>
      <w:sz w:val="19"/>
      <w:szCs w:val="19"/>
      <w:lang w:val="en-US" w:eastAsia="en-US" w:bidi="ar-SA"/>
    </w:rPr>
  </w:style>
  <w:style w:type="table" w:customStyle="1" w:styleId="1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82</Pages>
  <Words>3854</Words>
  <Characters>4526</Characters>
  <Lines>0</Lines>
  <Paragraphs>0</Paragraphs>
  <TotalTime>0</TotalTime>
  <ScaleCrop>false</ScaleCrop>
  <LinksUpToDate>false</LinksUpToDate>
  <CharactersWithSpaces>4595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2026-07-20T12:40:00Z</dcterms:created>
  <dc:creator>123</dc:creator>
  <cp:lastModifiedBy>123</cp:lastModifiedBy>
  <dcterms:modified xsi:type="dcterms:W3CDTF">2026-07-21T08:35:38Z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6415739BEEBD439B9EF6D53E033E3603_11</vt:lpwstr>
  </property>
  <property fmtid="{D5CDD505-2E9C-101B-9397-08002B2CF9AE}" pid="4" name="KSOTemplateDocerSaveRecord">
    <vt:lpwstr>eyJoZGlkIjoiMmFiMTY0MjE5ODlmZmUzZGU0YWNiZDQ1OGMwNmQ3MzYiLCJ1c2VySWQiOiI0NTE5NDQwNTQifQ==</vt:lpwstr>
  </property>
</Properties>
</file>