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版本号：0617-26A6FZ094220260514001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陕西省流动沙地治理工程评价</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0617-26A6FZ0942</w:t>
      </w:r>
      <w:r>
        <w:br/>
      </w:r>
      <w:r>
        <w:br/>
      </w:r>
      <w:r>
        <w:br/>
      </w:r>
    </w:p>
    <w:p>
      <w:pPr>
        <w:pStyle w:val="null3"/>
        <w:jc w:val="center"/>
        <w:outlineLvl w:val="5"/>
      </w:pPr>
      <w:r>
        <w:rPr>
          <w:rFonts w:ascii="仿宋_GB2312" w:hAnsi="仿宋_GB2312" w:cs="仿宋_GB2312" w:eastAsia="仿宋_GB2312"/>
          <w:sz w:val="15"/>
          <w:b/>
        </w:rPr>
        <w:t>陕西省防护林建设工作站</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陕西省防护林建设工作站</w:t>
      </w:r>
      <w:r>
        <w:rPr>
          <w:rFonts w:ascii="仿宋_GB2312" w:hAnsi="仿宋_GB2312" w:cs="仿宋_GB2312" w:eastAsia="仿宋_GB2312"/>
        </w:rPr>
        <w:t>委托，拟对</w:t>
      </w:r>
      <w:r>
        <w:rPr>
          <w:rFonts w:ascii="仿宋_GB2312" w:hAnsi="仿宋_GB2312" w:cs="仿宋_GB2312" w:eastAsia="仿宋_GB2312"/>
        </w:rPr>
        <w:t>陕西省流动沙地治理工程评价</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0617-26A6FZ0942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陕西省流动沙地治理工程评价</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陕西省流动沙地治理工程评价，拟对全省范围内7个区县约5.13万亩的流动沙地治理工程实施情况进行系统性综合评价。内容主要包括全域遥感监测、精准现地调查、数据集成与成效评估和成果产出与应用。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在协商截止时间，供应商不得存在列入失信被执行人（“中国执行信息公开网”https://zxgk.court.gov.cn）的情形、不得存在列入信用中国（www.creditchina.gov.cn）重大税收违法失信主体和严重失信主体名单查询名单的情形，不得存在列入中国政府采购网（www.ccgp.gov.cn）政府采购严重违法失信行为记录名单的情形。同时采购代理机构将打印上述失信记录作为无效响应的证据留存。</w:t>
      </w:r>
    </w:p>
    <w:p>
      <w:pPr>
        <w:pStyle w:val="null3"/>
      </w:pPr>
      <w:r>
        <w:rPr>
          <w:rFonts w:ascii="仿宋_GB2312" w:hAnsi="仿宋_GB2312" w:cs="仿宋_GB2312" w:eastAsia="仿宋_GB2312"/>
        </w:rPr>
        <w:t>2、授权委托书：供应商应授权合法的人员参加协商，其中法定代表人直接参加的，须出具法定代表人证明书；被授权代表参加的，须出具法定代表人授权书。供应商需在项目电子化交易系统中按要求上传相应证明文件并进行电子签章。</w:t>
      </w:r>
    </w:p>
    <w:p>
      <w:pPr>
        <w:pStyle w:val="null3"/>
      </w:pPr>
      <w:r>
        <w:rPr>
          <w:rFonts w:ascii="仿宋_GB2312" w:hAnsi="仿宋_GB2312" w:cs="仿宋_GB2312" w:eastAsia="仿宋_GB2312"/>
        </w:rPr>
        <w:t>3、资质证书：供应商须具有由国家行政主管部门颁发的测绘乙级及以上资质（须包含摄影测量与遥感、地理信息系统工程专业）</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陕西省防护林建设工作站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张国民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029-88652271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029-89328565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及《关于招标代理服务收费有关问题的通知》（发改办价格【2003】857号）文件规定标准下浮20%收取。若代理服务费不足伍仟元按伍仟元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陕西省防护林建设工作站</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陕西省防护林建设工作站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按照响应文件及合同相关条款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陕西省流动沙地治理工程评价，</w:t>
      </w:r>
      <w:r>
        <w:rPr>
          <w:rFonts w:ascii="仿宋_GB2312" w:hAnsi="仿宋_GB2312" w:cs="仿宋_GB2312" w:eastAsia="仿宋_GB2312"/>
          <w:sz w:val="21"/>
        </w:rPr>
        <w:t>拟对全省范围内</w:t>
      </w:r>
      <w:r>
        <w:rPr>
          <w:rFonts w:ascii="仿宋_GB2312" w:hAnsi="仿宋_GB2312" w:cs="仿宋_GB2312" w:eastAsia="仿宋_GB2312"/>
          <w:sz w:val="21"/>
        </w:rPr>
        <w:t>7个区县约5.13万亩的流动沙地治理工程实施情况进行系统性综合评价。内容主要包括全域遥感监测</w:t>
      </w:r>
      <w:r>
        <w:rPr>
          <w:rFonts w:ascii="仿宋_GB2312" w:hAnsi="仿宋_GB2312" w:cs="仿宋_GB2312" w:eastAsia="仿宋_GB2312"/>
          <w:sz w:val="21"/>
        </w:rPr>
        <w:t>、</w:t>
      </w:r>
      <w:r>
        <w:rPr>
          <w:rFonts w:ascii="仿宋_GB2312" w:hAnsi="仿宋_GB2312" w:cs="仿宋_GB2312" w:eastAsia="仿宋_GB2312"/>
          <w:sz w:val="21"/>
        </w:rPr>
        <w:t>精准现地调查</w:t>
      </w:r>
      <w:r>
        <w:rPr>
          <w:rFonts w:ascii="仿宋_GB2312" w:hAnsi="仿宋_GB2312" w:cs="仿宋_GB2312" w:eastAsia="仿宋_GB2312"/>
          <w:sz w:val="21"/>
        </w:rPr>
        <w:t>、</w:t>
      </w:r>
      <w:r>
        <w:rPr>
          <w:rFonts w:ascii="仿宋_GB2312" w:hAnsi="仿宋_GB2312" w:cs="仿宋_GB2312" w:eastAsia="仿宋_GB2312"/>
          <w:sz w:val="21"/>
        </w:rPr>
        <w:t>数据集成与成效评估</w:t>
      </w:r>
      <w:r>
        <w:rPr>
          <w:rFonts w:ascii="仿宋_GB2312" w:hAnsi="仿宋_GB2312" w:cs="仿宋_GB2312" w:eastAsia="仿宋_GB2312"/>
          <w:sz w:val="21"/>
        </w:rPr>
        <w:t>和</w:t>
      </w:r>
      <w:r>
        <w:rPr>
          <w:rFonts w:ascii="仿宋_GB2312" w:hAnsi="仿宋_GB2312" w:cs="仿宋_GB2312" w:eastAsia="仿宋_GB2312"/>
          <w:sz w:val="21"/>
        </w:rPr>
        <w:t>成果产出与应用。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陕西省流动沙地治理工程评价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标的名称：陕西省流动沙地治理工程评价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精准现地调查：采用科学抽样方法，对治理图斑进行实地核查，调查植被恢复状况（盖度、结构、优势物种等）、治理措施类型、工程实施范围等关键指标。对全部治理图斑的高精度正射影像进行处理，形成数字化工作底图。</w:t>
            </w:r>
          </w:p>
          <w:p>
            <w:pPr>
              <w:pStyle w:val="null3"/>
              <w:jc w:val="both"/>
            </w:pPr>
            <w:r>
              <w:rPr>
                <w:rFonts w:ascii="仿宋_GB2312" w:hAnsi="仿宋_GB2312" w:cs="仿宋_GB2312" w:eastAsia="仿宋_GB2312"/>
                <w:sz w:val="21"/>
              </w:rPr>
              <w:t>（二）数据集成与成效评估：构建综合评价数据库，运用科学的评价模型，综合分析治理工程的任务完成率、治理达标率及综合生态成效。</w:t>
            </w:r>
          </w:p>
          <w:p>
            <w:pPr>
              <w:pStyle w:val="null3"/>
              <w:jc w:val="both"/>
            </w:pPr>
            <w:r>
              <w:rPr>
                <w:rFonts w:ascii="仿宋_GB2312" w:hAnsi="仿宋_GB2312" w:cs="仿宋_GB2312" w:eastAsia="仿宋_GB2312"/>
                <w:sz w:val="21"/>
              </w:rPr>
              <w:t>（三）成果产出与应用：编制《陕西省流动沙地治理工程综合评价报告》，形成数据库，为后续治理工程的优化布局、资金精准投入和长效管护提供决策依据。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★陕西省榆林市榆阳区、横山区、神木市、靖边县、定边县、佳县及渭南市大荔县，共计7个县（市、区）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乙方完成全部工作内容、提交《陕西省流动沙地治理工程综合评价报告》，并经专家评审后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按照响应文件及合同相关条款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按照响应文件及合同相关条款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2、提供注册登记凭证（营业执照、其他组织经营的合法凭证，自然人的提供身份证明文件）。 3、具有良好的商业信誉和健全的财务会计制度。提供经审计且具有注册会计师行业统一监管平台出具赋码的财务报告（包括四表一注，即资产负债表、利润表、现金流量表、所有者权益变动表及其附注），且无反对意见；事业法人提供部门决算报告；/或在协商日期前六个月内其基本开户银行出具的资信证明（附基本存款账户信息等证明材料）；/或专业担保机构出具的协商担保函/或表明具有良好的商业信誉和健全的财务会计制度的诚信声明；以上四种形式的资料提供任何一种即可。 4、具有履行合同所必需的设备和专业技术能力。提供声明文件。 5、具有依法缴纳税收的良好记录，提供缴费所属日期为协商截止时间前12个月内任一月份（协商截止时间当月不计入）的缴费凭据或税务机关出具的完税证明或（在法规范围内不需提供的应出具书面说明和证明文件）； 6、具有依法缴纳社会保障资金的良好记录。提供缴费所属日期为协商截止时间前12个月内任一月份（协商截止时间当月不计入）的缴费凭据或社保机关出具的缴费证明（在法规范围内不需提供的应出具书面说明和证明文件）； /或具有依法缴纳社会保障资金的缴纳记录的诚信声明； 7、参加政府采购活动前3年内在经营活动中没有重大违法记录的书面声明。 备注：供应商需在项目电子化交易系统中按要求上传相应证明文件并进行电子签章。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协商截止时间，供应商不得存在列入失信被执行人（“中国执行信息公开网”https://zxgk.court.gov.cn）的情形、不得存在列入信用中国（www.creditchina.gov.cn）重大税收违法失信主体和严重失信主体名单查询名单的情形，不得存在列入中国政府采购网（www.ccgp.gov.cn）政府采购严重违法失信行为记录名单的情形。同时采购代理机构将打印上述失信记录作为无效响应的证据留存。</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协商，其中法定代表人直接参加的，须出具法定代表人证明书；被授权代表参加的，须出具法定代表人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供应商须具有由国家行政主管部门颁发的测绘乙级及以上资质（须包含摄影测量与遥感、地理信息系统工程专业）</w:t>
            </w:r>
          </w:p>
        </w:tc>
        <w:tc>
          <w:tcPr>
            <w:tcW w:type="dxa" w:w="1661"/>
          </w:tcPr>
          <w:p>
            <w:pPr>
              <w:pStyle w:val="null3"/>
            </w:pPr>
            <w:r>
              <w:rPr>
                <w:rFonts w:ascii="仿宋_GB2312" w:hAnsi="仿宋_GB2312" w:cs="仿宋_GB2312" w:eastAsia="仿宋_GB2312"/>
              </w:rPr>
              <w:t>服务内容及服务邀请应答表 法定代表人身份证明.docx 法人代表授权书.docx 中小企业声明函 商务应答表 供应商应提交的相关资格证明材料 报价表 资格证明文件.docx 响应文件封面 残疾人福利性单位声明函 供应商基本情况表.docx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 xml:space="preserve"> 1.2.1.1单一来源响应文件是否按照单一来源采购文件要求的格式编写； 1.2.1.2协商响应内容是否有重大缺漏项。 1）是否按采购文件要求完整报价、无缺漏项； 2）单一来源响应文件构成是否完整，即是否按采购文件要求提供了完整的响应文件（不适用供应商的无需提供）； 3）采购文件要求提供的其他内容（如有的话）。</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① 响应报价是否超过采购预算；② 响应报价有效期是否符合单一来源文件的要求；③ 响应文件内容是否符合国家法律法规，没有重大偏离。</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详见附件：法人代表授权书.docx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详见附件：陕西省流动沙地治理工程评价合同--最终.docx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