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版本号：ZSJC-ZFCG-2026051420260515001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镇巴县2026年“千万工程”示范村及重点村招呼站项目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ZSJC-ZFCG-20260514</w:t>
      </w:r>
      <w:r>
        <w:br/>
      </w:r>
      <w:r>
        <w:br/>
      </w:r>
      <w:r>
        <w:br/>
      </w:r>
    </w:p>
    <w:p>
      <w:pPr>
        <w:pStyle w:val="null3"/>
        <w:jc w:val="center"/>
        <w:outlineLvl w:val="2"/>
      </w:pPr>
      <w:r>
        <w:rPr>
          <w:rFonts w:ascii="仿宋_GB2312" w:hAnsi="仿宋_GB2312" w:cs="仿宋_GB2312" w:eastAsia="仿宋_GB2312"/>
          <w:sz w:val="28"/>
          <w:b/>
        </w:rPr>
        <w:t>镇巴县交通运输事业发展中心</w:t>
      </w:r>
    </w:p>
    <w:p>
      <w:pPr>
        <w:pStyle w:val="null3"/>
        <w:jc w:val="center"/>
        <w:outlineLvl w:val="2"/>
      </w:pPr>
      <w:r>
        <w:rPr>
          <w:rFonts w:ascii="仿宋_GB2312" w:hAnsi="仿宋_GB2312" w:cs="仿宋_GB2312" w:eastAsia="仿宋_GB2312"/>
          <w:sz w:val="28"/>
          <w:b/>
        </w:rPr>
        <w:t>中盛精诚工程项目管理有限公司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中盛精诚工程项目管理有限公司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镇巴县交通运输事业发展中心</w:t>
      </w:r>
      <w:r>
        <w:rPr>
          <w:rFonts w:ascii="仿宋_GB2312" w:hAnsi="仿宋_GB2312" w:cs="仿宋_GB2312" w:eastAsia="仿宋_GB2312"/>
        </w:rPr>
        <w:t>委托，拟对</w:t>
      </w:r>
      <w:r>
        <w:rPr>
          <w:rFonts w:ascii="仿宋_GB2312" w:hAnsi="仿宋_GB2312" w:cs="仿宋_GB2312" w:eastAsia="仿宋_GB2312"/>
        </w:rPr>
        <w:t>镇巴县2026年“千万工程”示范村及重点村招呼站项目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ZSJC-ZFCG-20260514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镇巴县2026年“千万工程”示范村及重点村招呼站项目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镇巴县2026年“千万工程”示范村及重点村招呼站项目，共计16个。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采购包1（镇巴县2026年“千万工程”示范村及重点村招呼站项目）：属于专门面向小微企业采购。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1、供应商主体资格：供应商为具有独⽴承担⺠事责任能⼒的企业法⼈、事业法⼈、其他组织，提供营业执照原件（事业单位须事业单位法⼈证、组织机构代码证等证明⽂件；其他组织应提供合法证明⽂件）；</w:t>
      </w:r>
    </w:p>
    <w:p>
      <w:pPr>
        <w:pStyle w:val="null3"/>
      </w:pPr>
      <w:r>
        <w:rPr>
          <w:rFonts w:ascii="仿宋_GB2312" w:hAnsi="仿宋_GB2312" w:cs="仿宋_GB2312" w:eastAsia="仿宋_GB2312"/>
        </w:rPr>
        <w:t>2、法定代表⼈或授权委托⼈⾝份证明：供应商应授权合法的在职⼈员参加投标，其中法定代表⼈直接参加的，须出具法定代表⼈⾝份证复印件，并与营业执照上信息⼀致；授权代表参加的，须出具法定代表⼈授权书及被授权⼈⾝份证复印件；</w:t>
      </w:r>
    </w:p>
    <w:p>
      <w:pPr>
        <w:pStyle w:val="null3"/>
      </w:pPr>
      <w:r>
        <w:rPr>
          <w:rFonts w:ascii="仿宋_GB2312" w:hAnsi="仿宋_GB2312" w:cs="仿宋_GB2312" w:eastAsia="仿宋_GB2312"/>
        </w:rPr>
        <w:t>3、供应商资格条件：供应商具备钢结构工程专业承包三级（含三级）及以上资质，具有有效的安全生产许可证；</w:t>
      </w:r>
    </w:p>
    <w:p>
      <w:pPr>
        <w:pStyle w:val="null3"/>
      </w:pPr>
      <w:r>
        <w:rPr>
          <w:rFonts w:ascii="仿宋_GB2312" w:hAnsi="仿宋_GB2312" w:cs="仿宋_GB2312" w:eastAsia="仿宋_GB2312"/>
        </w:rPr>
        <w:t>4、拟派项目负责人资格要求：拟派项目负责人须具有建筑工程专业注册建造师二级（含二级）及以上执业资格和安全生产考核合格B证，且无在建项目；</w:t>
      </w:r>
    </w:p>
    <w:p>
      <w:pPr>
        <w:pStyle w:val="null3"/>
      </w:pPr>
      <w:r>
        <w:rPr>
          <w:rFonts w:ascii="仿宋_GB2312" w:hAnsi="仿宋_GB2312" w:cs="仿宋_GB2312" w:eastAsia="仿宋_GB2312"/>
        </w:rPr>
        <w:t>5、供应商资格承诺：依据汉中市财政局汉财办采管【2024】20号⽂，供应商只需在资格审查环节提供满⾜相应条件的资格承诺函，投标⽂件不再提供以下证明资料：①符合国家规定的财务证明材料；②依法缴纳税收的证明材料：③依法缴纳社会保障⾦缴 纳的证明材料；④具备履⾏合同所必需的设备和专业技术能⼒的证明材料；⑤参加政府采购活动（以开启时间为准）前3年内，在经营活动中没有重⼤违法记录证明材料；供应商未提供资格承诺函的，应当按照《中华⼈⺠共和国政府采 购法》及其实施条例等法律法规提供相应的证明材料。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镇巴县交通运输事业发展中心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镇巴县交通运输事业发展中心经办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19894770611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中盛精诚工程项目管理有限公司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汉中市汉台区汉上第一街4号楼1603室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程胜建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13992659725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采购包1：978,498.08元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开户名称：中盛精诚工程项目管理有限公司汉中分公司</w:t>
            </w:r>
          </w:p>
          <w:p>
            <w:pPr>
              <w:pStyle w:val="null3"/>
            </w:pPr>
            <w:r>
              <w:rPr>
                <w:rFonts w:ascii="仿宋_GB2312" w:hAnsi="仿宋_GB2312" w:cs="仿宋_GB2312" w:eastAsia="仿宋_GB2312"/>
              </w:rPr>
              <w:t>开户银行：汉中市汉台区农村信用合作联社前进路分社</w:t>
            </w:r>
          </w:p>
          <w:p>
            <w:pPr>
              <w:pStyle w:val="null3"/>
            </w:pPr>
            <w:r>
              <w:rPr>
                <w:rFonts w:ascii="仿宋_GB2312" w:hAnsi="仿宋_GB2312" w:cs="仿宋_GB2312" w:eastAsia="仿宋_GB2312"/>
              </w:rPr>
              <w:t>银行账号：2706013101201000005709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代理服务费收费标准：按成交价1.0%计取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镇巴县交通运输事业发展中心</w:t>
      </w:r>
      <w:r>
        <w:rPr>
          <w:rFonts w:ascii="仿宋_GB2312" w:hAnsi="仿宋_GB2312" w:cs="仿宋_GB2312" w:eastAsia="仿宋_GB2312"/>
        </w:rPr>
        <w:t>和</w:t>
      </w:r>
      <w:r>
        <w:rPr>
          <w:rFonts w:ascii="仿宋_GB2312" w:hAnsi="仿宋_GB2312" w:cs="仿宋_GB2312" w:eastAsia="仿宋_GB2312"/>
        </w:rPr>
        <w:t>中盛精诚工程项目管理有限公司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镇巴县交通运输事业发展中心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中盛精诚工程项目管理有限公司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镇巴县交通运输事业发展中心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中盛精诚工程项目管理有限公司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验收标准：《城市公共设施设计规范》 《钢结构设计规范》（GB 50017） 《公路工程技术标准》 JTG B01-2014 《公路交通安全设施施工技术规范》JTG/T 3671-2021</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联系人：程胜建</w:t>
      </w:r>
    </w:p>
    <w:p>
      <w:pPr>
        <w:pStyle w:val="null3"/>
      </w:pPr>
      <w:r>
        <w:rPr>
          <w:rFonts w:ascii="仿宋_GB2312" w:hAnsi="仿宋_GB2312" w:cs="仿宋_GB2312" w:eastAsia="仿宋_GB2312"/>
        </w:rPr>
        <w:t>联系电话：13992659725</w:t>
      </w:r>
    </w:p>
    <w:p>
      <w:pPr>
        <w:pStyle w:val="null3"/>
      </w:pPr>
      <w:r>
        <w:rPr>
          <w:rFonts w:ascii="仿宋_GB2312" w:hAnsi="仿宋_GB2312" w:cs="仿宋_GB2312" w:eastAsia="仿宋_GB2312"/>
        </w:rPr>
        <w:t>地址：中盛精诚工程项目管理有限公司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978,498.08</w:t>
      </w:r>
    </w:p>
    <w:p>
      <w:pPr>
        <w:pStyle w:val="null3"/>
      </w:pPr>
      <w:r>
        <w:rPr>
          <w:rFonts w:ascii="仿宋_GB2312" w:hAnsi="仿宋_GB2312" w:cs="仿宋_GB2312" w:eastAsia="仿宋_GB2312"/>
        </w:rPr>
        <w:t>采购包最高限价（元）: 978,498.08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镇巴县2026年千万工程示范村及重点村招呼站</w:t>
            </w:r>
          </w:p>
        </w:tc>
        <w:tc>
          <w:tcPr>
            <w:tcW w:type="dxa" w:w="1384"/>
          </w:tcPr>
          <w:p>
            <w:pPr>
              <w:pStyle w:val="null3"/>
              <w:jc w:val="right"/>
            </w:pPr>
            <w:r>
              <w:rPr>
                <w:rFonts w:ascii="仿宋_GB2312" w:hAnsi="仿宋_GB2312" w:cs="仿宋_GB2312" w:eastAsia="仿宋_GB2312"/>
              </w:rPr>
              <w:t>16.00</w:t>
            </w:r>
          </w:p>
        </w:tc>
        <w:tc>
          <w:tcPr>
            <w:tcW w:type="dxa" w:w="1384"/>
          </w:tcPr>
          <w:p>
            <w:pPr>
              <w:pStyle w:val="null3"/>
              <w:jc w:val="right"/>
            </w:pPr>
            <w:r>
              <w:rPr>
                <w:rFonts w:ascii="仿宋_GB2312" w:hAnsi="仿宋_GB2312" w:cs="仿宋_GB2312" w:eastAsia="仿宋_GB2312"/>
              </w:rPr>
              <w:t>978,498.08</w:t>
            </w:r>
          </w:p>
        </w:tc>
        <w:tc>
          <w:tcPr>
            <w:tcW w:type="dxa" w:w="1384"/>
          </w:tcPr>
          <w:p>
            <w:pPr>
              <w:pStyle w:val="null3"/>
            </w:pPr>
            <w:r>
              <w:rPr>
                <w:rFonts w:ascii="仿宋_GB2312" w:hAnsi="仿宋_GB2312" w:cs="仿宋_GB2312" w:eastAsia="仿宋_GB2312"/>
              </w:rPr>
              <w:t>处</w:t>
            </w:r>
          </w:p>
        </w:tc>
        <w:tc>
          <w:tcPr>
            <w:tcW w:type="dxa" w:w="1384"/>
          </w:tcPr>
          <w:p>
            <w:pPr>
              <w:pStyle w:val="null3"/>
            </w:pPr>
            <w:r>
              <w:rPr>
                <w:rFonts w:ascii="仿宋_GB2312" w:hAnsi="仿宋_GB2312" w:cs="仿宋_GB2312" w:eastAsia="仿宋_GB2312"/>
              </w:rPr>
              <w:t>交通运输业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标的名称：镇巴县2026年千万工程示范村及重点村招呼站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一、整体规格：总高度3.08M（顶棚下沿）、顶棚尺寸长6.93M*宽1.8M、基础平面8.76M*3.80M*0.20M(长*宽*厚）基础20CM厚C25混凝土、规模单侧停靠，容纳10-12人、</w:t>
            </w:r>
            <w:r>
              <w:rPr>
                <w:rFonts w:ascii="仿宋_GB2312" w:hAnsi="仿宋_GB2312" w:cs="仿宋_GB2312" w:eastAsia="仿宋_GB2312"/>
                <w:sz w:val="21"/>
              </w:rPr>
              <w:t>外观颜色：整体咖啡色喷涂；</w:t>
            </w:r>
          </w:p>
          <w:p>
            <w:pPr>
              <w:pStyle w:val="null3"/>
            </w:pPr>
            <w:r>
              <w:rPr>
                <w:rFonts w:ascii="仿宋_GB2312" w:hAnsi="仿宋_GB2312" w:cs="仿宋_GB2312" w:eastAsia="仿宋_GB2312"/>
                <w:sz w:val="21"/>
              </w:rPr>
              <w:t>▲二、主体结构：1. 立柱：材质：Q235B 方钢管 120×120×4mm、数量：4 根 / 个（双侧支撑）、单根长度：3.0m、连接：底部设300×300×30mm 钢板底座+ 预埋螺栓；2. 顶棚骨架：主梁：50×50×3mm 方钢管；次梁：35×35×3mm 方钢管；连接：焊接 + 螺栓固定，节点防锈处理；3. 信息框 / 板报框 / 侧面结构：信息框柱：100×100mm 方钢；板报框柱：60×60mm 方钢；侧面立柱 / 横柱：203×50×35mm、96×50×35mm 方钢；板报框格：20×20mm 方钢；所有钢材厚度：≥3mm；</w:t>
            </w:r>
          </w:p>
          <w:p>
            <w:pPr>
              <w:pStyle w:val="null3"/>
            </w:pPr>
            <w:r>
              <w:rPr>
                <w:rFonts w:ascii="仿宋_GB2312" w:hAnsi="仿宋_GB2312" w:cs="仿宋_GB2312" w:eastAsia="仿宋_GB2312"/>
                <w:sz w:val="21"/>
              </w:rPr>
              <w:t>▲三、围护及面板参数:顶棚面板：2mm 厚镀铝锌压型钢板，受力钢材厚度≥3MM；</w:t>
            </w:r>
            <w:r>
              <w:rPr>
                <w:rFonts w:ascii="仿宋_GB2312" w:hAnsi="仿宋_GB2312" w:cs="仿宋_GB2312" w:eastAsia="仿宋_GB2312"/>
                <w:sz w:val="21"/>
              </w:rPr>
              <w:t>侧面盖板 / 信息栏板 / 板报后板：2mm 厚钢板、板报前玻璃：镜面安全玻璃，面积3.12㎡/ 个；</w:t>
            </w:r>
          </w:p>
          <w:p>
            <w:pPr>
              <w:pStyle w:val="null3"/>
            </w:pPr>
            <w:r>
              <w:rPr>
                <w:rFonts w:ascii="仿宋_GB2312" w:hAnsi="仿宋_GB2312" w:cs="仿宋_GB2312" w:eastAsia="仿宋_GB2312"/>
                <w:sz w:val="21"/>
              </w:rPr>
              <w:t>四、座椅参数：规格：1200mm×500mm×450mm 长条凳、数量：4 个 / 亭、固定：螺栓固定于地面，预埋M8 螺栓；</w:t>
            </w:r>
          </w:p>
          <w:p>
            <w:pPr>
              <w:pStyle w:val="null3"/>
            </w:pPr>
            <w:r>
              <w:rPr>
                <w:rFonts w:ascii="仿宋_GB2312" w:hAnsi="仿宋_GB2312" w:cs="仿宋_GB2312" w:eastAsia="仿宋_GB2312"/>
                <w:sz w:val="21"/>
              </w:rPr>
              <w:t>五、图文喷绘：板报喷绘：1560mm×1000mm，面积 3.12㎡、站台喷绘：1080mm×2120mm，面积 2.29㎡、站名大字：15# 字体，“××× 候车亭”（6 个字 / 个）、工艺：户外高清喷绘，防晒、防水、不褪色；</w:t>
            </w:r>
          </w:p>
          <w:p>
            <w:pPr>
              <w:pStyle w:val="null3"/>
            </w:pPr>
            <w:r>
              <w:rPr>
                <w:rFonts w:ascii="仿宋_GB2312" w:hAnsi="仿宋_GB2312" w:cs="仿宋_GB2312" w:eastAsia="仿宋_GB2312"/>
                <w:sz w:val="21"/>
              </w:rPr>
              <w:t>六、基础与安装参数：基础垫层：5cm 厚 C20 混凝土、基座硬化：20cm 厚 C25 混凝土；预埋件：16 根 M8 地脚螺栓 / 个、基础要求：开挖夯实后浇筑，预埋螺栓同步施工；</w:t>
            </w:r>
          </w:p>
          <w:p>
            <w:pPr>
              <w:pStyle w:val="null3"/>
            </w:pPr>
            <w:r>
              <w:rPr>
                <w:rFonts w:ascii="仿宋_GB2312" w:hAnsi="仿宋_GB2312" w:cs="仿宋_GB2312" w:eastAsia="仿宋_GB2312"/>
                <w:sz w:val="21"/>
              </w:rPr>
              <w:t>七、要求：恒荷载：结构自重+顶棚（约0.3KN/㎡）、活荷载：顶棚雪荷载按50年一遇标准（0.4kN/㎡），风荷载基本风压0.45 KN/㎡需验算抗倾覆，抗震设防烈度6度计、维护3年检查一次涂层及螺栓松动情况；</w:t>
            </w:r>
          </w:p>
          <w:p>
            <w:pPr>
              <w:pStyle w:val="null3"/>
            </w:pPr>
            <w:r>
              <w:rPr>
                <w:rFonts w:ascii="仿宋_GB2312" w:hAnsi="仿宋_GB2312" w:cs="仿宋_GB2312" w:eastAsia="仿宋_GB2312"/>
                <w:sz w:val="21"/>
              </w:rPr>
              <w:t>八、防腐要求：二选一满足：</w:t>
            </w:r>
            <w:r>
              <w:rPr>
                <w:rFonts w:ascii="仿宋_GB2312" w:hAnsi="仿宋_GB2312" w:cs="仿宋_GB2312" w:eastAsia="仿宋_GB2312"/>
                <w:sz w:val="21"/>
              </w:rPr>
              <w:t>热浸镀锌：锌层厚度 **≥60μm**；</w:t>
            </w:r>
            <w:r>
              <w:rPr>
                <w:rFonts w:ascii="仿宋_GB2312" w:hAnsi="仿宋_GB2312" w:cs="仿宋_GB2312" w:eastAsia="仿宋_GB2312"/>
                <w:sz w:val="21"/>
              </w:rPr>
              <w:t>或环氧富锌底漆 + 氟碳面漆：总涂层厚度 **≥120μm**；</w:t>
            </w:r>
          </w:p>
          <w:p>
            <w:pPr>
              <w:pStyle w:val="null3"/>
            </w:pPr>
            <w:r>
              <w:rPr>
                <w:rFonts w:ascii="仿宋_GB2312" w:hAnsi="仿宋_GB2312" w:cs="仿宋_GB2312" w:eastAsia="仿宋_GB2312"/>
                <w:sz w:val="21"/>
              </w:rPr>
              <w:t>九、安装精度：立柱安装垂直度偏差 **≤5mm**；焊接标准：符合GB 50661钢结构焊接规范，节点满焊、无虚焊；设计使用年限：8 -15年。</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1、《城市道路交通设施设计规范》(GB50688-2011) 2、《钢结构设计规范》(GB50017) 3、《公路工程技术标准》JTGB01-2014 4、《公路交通安全设施施工技术规范》JTG/T3671-2021</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尺寸偏差：≤±10mm，垂直度 ≤5mm； 焊接：外观合格、无损、无裂纹； 基础：混凝土密实、无裂缝、预埋件位置准确； 面板：平整、防水、喷绘清晰。</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 供货与安装要求 供应商须负责材料采购、生产制作、运输、装卸、现场安装、调试、验收、质保全过程服务。 安装前须对现场进行勘查，自行协调场地、水电、周边关系，费用包含在报价内。 施工期间须做好安全防护、文明施工，承担安全事故全部责任。 按采购人指定地点、数量、顺序分批安装到位。 2. 质量与质保要求 所有材料全新、合格、符合国标，提供材质证明、检测报告、合格证。 整体质保期不少于 ≥3 年，质保期内免费维修、更换、紧固、补漆。 接到故障通知后24 小时内响应，48 小时内到场处理。 3.本项目成交价为包干价，包含施工所有费用及工程保险、安全文明施工费规费等；供应商在施工前需为施工人员购买保险。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拒绝政府采购领域商业贿赂承诺</w:t>
            </w:r>
          </w:p>
        </w:tc>
        <w:tc>
          <w:tcPr>
            <w:tcW w:type="dxa" w:w="3322"/>
          </w:tcPr>
          <w:p>
            <w:pPr>
              <w:pStyle w:val="null3"/>
            </w:pPr>
            <w:r>
              <w:rPr>
                <w:rFonts w:ascii="仿宋_GB2312" w:hAnsi="仿宋_GB2312" w:cs="仿宋_GB2312" w:eastAsia="仿宋_GB2312"/>
              </w:rPr>
              <w:t>陕西省政府采购供应商拒绝政府采购领域商业 贿赂承诺书</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供应商需提供相应的证明材料并承诺，供应商需在项目电子化交易系统中按要求上传相应的证明文件并进行电子签章。</w:t>
            </w:r>
          </w:p>
        </w:tc>
        <w:tc>
          <w:tcPr>
            <w:tcW w:type="dxa" w:w="1661"/>
          </w:tcPr>
          <w:p>
            <w:pPr>
              <w:pStyle w:val="null3"/>
            </w:pPr>
            <w:r>
              <w:rPr>
                <w:rFonts w:ascii="仿宋_GB2312" w:hAnsi="仿宋_GB2312" w:cs="仿宋_GB2312" w:eastAsia="仿宋_GB2312"/>
              </w:rPr>
              <w:t>供应商应提交的相关资格证明材料 其他材料.docx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投标人已按招标文件规定的金额（不超过限价 2%）、有效形式、投标截止时间前到账 / 生效提交投标保证金；付款 / 申请人名称须与投标人名称一致，且保证金有效期满足招标文件要求；未按规定提交（金额不足、形式不符、未到账 / 未生效、逾期、名称不一致等），投标无效，不进入后续评审</w:t>
            </w:r>
          </w:p>
        </w:tc>
        <w:tc>
          <w:tcPr>
            <w:tcW w:type="dxa" w:w="1661"/>
          </w:tcPr>
          <w:p>
            <w:pPr>
              <w:pStyle w:val="null3"/>
            </w:pPr>
            <w:r>
              <w:rPr>
                <w:rFonts w:ascii="仿宋_GB2312" w:hAnsi="仿宋_GB2312" w:cs="仿宋_GB2312" w:eastAsia="仿宋_GB2312"/>
              </w:rPr>
              <w:t>其他材料.docx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供应商为具有独⽴承担⺠事责任能⼒的企业法⼈、事业法⼈、其他组织，提供营业执照原件（事业单位须事业单位法⼈证、组织机构代码证等证明⽂件；其他组织应提供合法证明⽂件）；</w:t>
            </w:r>
          </w:p>
        </w:tc>
        <w:tc>
          <w:tcPr>
            <w:tcW w:type="dxa" w:w="1661"/>
          </w:tcPr>
          <w:p>
            <w:pPr>
              <w:pStyle w:val="null3"/>
            </w:pPr>
            <w:r>
              <w:rPr>
                <w:rFonts w:ascii="仿宋_GB2312" w:hAnsi="仿宋_GB2312" w:cs="仿宋_GB2312" w:eastAsia="仿宋_GB2312"/>
              </w:rPr>
              <w:t>供应商应提交的相关资格证明材料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法定代表⼈或授权委托⼈⾝份证明</w:t>
            </w:r>
          </w:p>
        </w:tc>
        <w:tc>
          <w:tcPr>
            <w:tcW w:type="dxa" w:w="3322"/>
          </w:tcPr>
          <w:p>
            <w:pPr>
              <w:pStyle w:val="null3"/>
            </w:pPr>
            <w:r>
              <w:rPr>
                <w:rFonts w:ascii="仿宋_GB2312" w:hAnsi="仿宋_GB2312" w:cs="仿宋_GB2312" w:eastAsia="仿宋_GB2312"/>
              </w:rPr>
              <w:t>供应商应授权合法的在职⼈员参加投标，其中法定代表⼈直接参加的，须出具法定代表⼈⾝份证复印件，并与营业执照上信息⼀致；授权代表参加的，须出具法定代表⼈授权书及被授权⼈⾝份证复印件；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供应商资格条件</w:t>
            </w:r>
          </w:p>
        </w:tc>
        <w:tc>
          <w:tcPr>
            <w:tcW w:type="dxa" w:w="3322"/>
          </w:tcPr>
          <w:p>
            <w:pPr>
              <w:pStyle w:val="null3"/>
            </w:pPr>
            <w:r>
              <w:rPr>
                <w:rFonts w:ascii="仿宋_GB2312" w:hAnsi="仿宋_GB2312" w:cs="仿宋_GB2312" w:eastAsia="仿宋_GB2312"/>
              </w:rPr>
              <w:t>供应商具备钢结构工程专业承包三级（含三级）及以上资质，具有有效的安全生产许可证；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拟派项目负责人须具有建筑工程专业注册建造师二级（含二级）及以上执业资格和安全生产考核合格B证，且无在建项目；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w:t>
            </w:r>
          </w:p>
        </w:tc>
        <w:tc>
          <w:tcPr>
            <w:tcW w:type="dxa" w:w="3322"/>
          </w:tcPr>
          <w:p>
            <w:pPr>
              <w:pStyle w:val="null3"/>
            </w:pPr>
            <w:r>
              <w:rPr>
                <w:rFonts w:ascii="仿宋_GB2312" w:hAnsi="仿宋_GB2312" w:cs="仿宋_GB2312" w:eastAsia="仿宋_GB2312"/>
              </w:rPr>
              <w:t>依据汉中市财政局汉财办采管【2024】20号⽂，供应商只需在资格审查环节提供满⾜相应条件的资格承诺函，投标⽂件不再提供以下证明资料：①符合国家规定的财务证明材料；②依法缴纳税收的证明材料：③依法缴纳社会保障⾦缴 纳的证明材料；④具备履⾏合同所必需的设备和专业技术能⼒的证明材料；⑤参加政府采购活动（以开启时间为准）前3年内，在经营活动中没有重⼤违法记录证明材料；供应商未提供资格承诺函的，应当按照《中华⼈⺠共和国政府采 购法》及其实施条例等法律法规提供相应的证明材料。</w:t>
            </w:r>
          </w:p>
        </w:tc>
        <w:tc>
          <w:tcPr>
            <w:tcW w:type="dxa" w:w="1661"/>
          </w:tcPr>
          <w:p>
            <w:pPr>
              <w:pStyle w:val="null3"/>
            </w:pPr>
            <w:r>
              <w:rPr>
                <w:rFonts w:ascii="仿宋_GB2312" w:hAnsi="仿宋_GB2312" w:cs="仿宋_GB2312" w:eastAsia="仿宋_GB2312"/>
              </w:rPr>
              <w:t>供应商应提交的相关资格证明材料 其他材料.docx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响应文件上法定代表人或其委托代理人的签字齐全落款处加盖单位公章</w:t>
            </w:r>
          </w:p>
        </w:tc>
        <w:tc>
          <w:tcPr>
            <w:tcW w:type="dxa" w:w="1661"/>
          </w:tcPr>
          <w:p>
            <w:pPr>
              <w:pStyle w:val="null3"/>
            </w:pPr>
            <w:r>
              <w:rPr>
                <w:rFonts w:ascii="仿宋_GB2312" w:hAnsi="仿宋_GB2312" w:cs="仿宋_GB2312" w:eastAsia="仿宋_GB2312"/>
              </w:rPr>
              <w:t>中小企业声明函 技术服务合同条款及其他商务要求应答表 供应商应提交的相关资格证明材料 汉中市政府采购供应商资格承诺函.docx 响应文件封面 项目管理机构组成表 技术响应方案.docx 残疾人福利性单位声明函 报价函 标的清单 供应商类似项目业绩一览表 其他材料.docx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供应商应对采购需求中的技术参数指标进⾏逐项应答： （1）“▲”号条款（共2项）满分6分为重要参数，需提供第三⽅检测机构出具符合国家相关的安全技术和质量标准的检验报告，若未响应，每出现⼀项扣1分，扣完为⽌；（2）未标项（7项）满分3.5分，未响应每项扣0.5分，扣完为⽌；</w:t>
            </w:r>
          </w:p>
        </w:tc>
        <w:tc>
          <w:tcPr>
            <w:tcW w:type="dxa" w:w="831"/>
          </w:tcPr>
          <w:p>
            <w:pPr>
              <w:pStyle w:val="null3"/>
              <w:jc w:val="right"/>
            </w:pPr>
            <w:r>
              <w:rPr>
                <w:rFonts w:ascii="仿宋_GB2312" w:hAnsi="仿宋_GB2312" w:cs="仿宋_GB2312" w:eastAsia="仿宋_GB2312"/>
              </w:rPr>
              <w:t>9.5000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一、根据供应商提供的本项目施工方案①施工工艺②施工方法③技术措施④是否针对本项目实施提出重点、难点并给出相应的解决方案⑤影响正常施工外在因素分析及对应预案等进行综合打分，完全响应得15分 ； 二、评审标准： 1.完整性：方案必须全面，对评审内容中的各项要求有详细描述； 2.可实施性：切合本项目实际情况提出步骤清晰、合理的方案; 3.针对性：方案能够紧扣项目实际情况， 内容科学合理。 三、赋分依据：①施工工艺：满足一个评分标准得1分，共3分; ②施工方法:满足一个评分标准得1分，共3分; ③技术措施:满足一个评分标准得1分，共3分; ④是否针对本项目实施提出重点、难点并给出相应的解决方案:满足一个评分标准得1分，共3分; ⑤影响正常施工外在因素分析及对应预案等：满足一个评分标准得1分，共3分; 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一、供应商提供针对本项目的质量管理方案包含：①质量管理体系、②质量保证措施、③质量目标明确，措施科学、合理，完全响应得9分 ； 二、评审标准： 1.完整性：方案必须全面，对评审内容中的各项要求有详细描述； 2.可实施性：切合本项目实际情况提出步骤清晰、合理的方案; 3.针对性：方案能够紧扣项目实际情况， 内容科学合理。 三、赋分标准：①质量管理体系：满足一个评分标准得1分，共3分; ②质量保证措施：满足一个评分标准得1分，共3分; ③质量目标明确，措施科学、合理:满足一个评分标准得1分，共3分; 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一、供应商提供针对本项目的人员配备方案，包含①项目管理机构图及劳动力保障措施 ②人员组成结构、人员的相关证书、身份证③相应的管理制度及措施、合理性综合评审，完全响应得6分； 二、评审标准： 1.完整性：方案必须全面，对评审内容中的各项要求有详细描述； 2.可实施性：切合本项目实际情况提出步骤清晰、合理的方案; 3.针对性：方案能够紧扣项目实际情况， 内容科学合理。 三、赋分依据：①项目管理机构图及劳动力保障措施：满足一个评分标准得2分; ②人员组成结构、人员的相关证书、身份证:满足一个评分标准得2分; ③相应的管理制度及措施、合理性综合评审:满足一个评分标准得2分; 各项内容全面详尽、阐述条例清晰、符合本项目需求，方案中每有一项内容缺失扣2分，方案内容要素中每存在一处缺陷扣1分，该分项分值扣完为止。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一、根据供应商提供的①安全管理体系与措施②安全文明施工措施③安全教育及培训计划：完全响应得9分 ； 二、评审标准： 1.完整性：方案必须全面，对评审内容中的各项要求有详细描述； 2.可实施性：切合本项目实际情况提出步骤清晰、合理的方案; 3.针对性：方案能够紧扣项目实际情况， 内容科学合理。 三、赋分依据：①安全管理体系与措施：满足一个评分标准得1分，共3分; ②安全文明施工措施:满足一个评分标准得1分，共3分; ③安全教育及培训计划:满足一个评分标准得1分，共3分; 各项内容全面详尽、阐述条例清晰、符合本项目需求，方案中每有一项内容缺失扣3分，方案内容要素中每存在一处缺陷扣1分，该分项分值扣完为止。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一、供应商提供针对本项目的工期及进度安排计划包含：①保证项目工期实施措施，②施工进度表或施工网络节点表措施，③出现特殊情况的应急预案进行综合评审：完全响应得9分； 二、评审标准： 1.完整性：方案必须全面，对评审内容中的各项要求有详细描述； 2.可实施性：切合本项目实际情况提出步骤清晰、合理的方案; 3.针对性：方案能够紧扣项目实际情况， 内容科学合理。 三、赋分依据：①保证项目工期实施措施：满足一个评分标准得1分，共3分; ②施工进度表或施工网络节点表措施:满足一个评分标准得1分，共3分; ③出现特殊情况的应急预案进行综合评审:满足一个评分标准得1分，共3分; 各项内容全面详尽、阐述条例清晰、符合本项目需求，方案中每有一项内容缺失扣3分，方案内容要素中每存在一处缺陷扣1分，该分项分值扣完为止。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一、对供应商提供的售后服务方案，包括①承诺维修响应时间②售后人员配置③工程质保承诺方案等进行综合评定：完全响应得4.5分 ； 二、评审标准： 1.完整性：方案必须全面，对评审内容中的各项要求有详细描述； 2.可实施性：切合本项目实际情况提出步骤清晰、合理的方案; 3.针对性：方案能够紧扣项目实际情况， 内容科学合理。 三、赋分依据：①承诺维修响应时间：满足一个评分标准得0.5分，共1.5分; ②售后人员配置:满足一个评分标准得0.5分，共1.5分; ③工程质保承诺方案等进行综合评定:满足一个评分标准得0.5分，共1.5分; 各项内容全面详尽、阐述条例清晰、符合本项目需求，方案中每有一项内容缺失扣1.5分，方案内容要素中每存在一处缺陷扣0.5分，该分项分值扣完为止。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 月1日至今完成的类似业绩证明，每提供一份得1分，最高得3分； 注：提供中标通知书、协议书（合同）、完工证明或竣工验收证明或加盖公章的复印件等其他合法证明材料，否则不作为加分项。其次 , 项目经理业绩不能同时作为企业业绩重复使用，否则不得分。每提供一份得1分，不提供不得分；共计3分。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1、具备工程类高级及以上职称得2分，中级职称得1分； 评审依据： 以申请人职称证明材料为准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3、至少提供2023年1月1日至今类似业绩证明，得1分。 (注：业绩须是供应商项目经理完成的类似业绩，提供中标通知书、协议书（合同）完工证明或竣工验收证明或加盖公章的复印件等其他合法证明材料，否则不得分。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详见附件：建设项目工程总承包合同-范本.docx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