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88C9">
      <w:pPr>
        <w:rPr>
          <w:rFonts w:hint="eastAsia" w:ascii="宋体" w:hAnsi="宋体" w:eastAsia="宋体"/>
          <w:sz w:val="52"/>
          <w:szCs w:val="52"/>
        </w:rPr>
      </w:pPr>
      <w:bookmarkStart w:id="0" w:name="_GoBack"/>
      <w:bookmarkEnd w:id="0"/>
      <w:r>
        <w:rPr>
          <w:rFonts w:ascii="宋体" w:hAnsi="宋体" w:eastAsia="宋体"/>
          <w:sz w:val="52"/>
        </w:rPr>
        <mc:AlternateContent>
          <mc:Choice Requires="wps">
            <w:drawing>
              <wp:anchor distT="0" distB="0" distL="114300" distR="114300" simplePos="0" relativeHeight="251659264" behindDoc="0" locked="0" layoutInCell="1" allowOverlap="1">
                <wp:simplePos x="0" y="0"/>
                <wp:positionH relativeFrom="column">
                  <wp:posOffset>4443095</wp:posOffset>
                </wp:positionH>
                <wp:positionV relativeFrom="paragraph">
                  <wp:posOffset>69215</wp:posOffset>
                </wp:positionV>
                <wp:extent cx="1058545" cy="353060"/>
                <wp:effectExtent l="4445" t="4445" r="22860" b="23495"/>
                <wp:wrapNone/>
                <wp:docPr id="14335220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58545" cy="353060"/>
                        </a:xfrm>
                        <a:prstGeom prst="rect">
                          <a:avLst/>
                        </a:prstGeom>
                        <a:solidFill>
                          <a:srgbClr val="FFFFFF"/>
                        </a:solidFill>
                        <a:ln w="9525" cmpd="sng">
                          <a:solidFill>
                            <a:srgbClr val="000000"/>
                          </a:solidFill>
                          <a:miter lim="800000"/>
                        </a:ln>
                        <a:effectLst/>
                      </wps:spPr>
                      <wps:txbx>
                        <w:txbxContent>
                          <w:p w14:paraId="003937C9">
                            <w:pPr>
                              <w:ind w:firstLine="221" w:firstLineChars="100"/>
                              <w:rPr>
                                <w:b/>
                                <w:bCs/>
                                <w:sz w:val="22"/>
                                <w:szCs w:val="28"/>
                              </w:rPr>
                            </w:pPr>
                            <w:r>
                              <w:rPr>
                                <w:rFonts w:hint="eastAsia"/>
                                <w:b/>
                                <w:bCs/>
                                <w:sz w:val="22"/>
                                <w:szCs w:val="28"/>
                              </w:rPr>
                              <w:t>服务项目</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349.85pt;margin-top:5.45pt;height:27.8pt;width:83.35pt;z-index:251659264;mso-width-relative:page;mso-height-relative:page;" fillcolor="#FFFFFF" filled="t" stroked="t" coordsize="21600,21600" o:gfxdata="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HqlMdcAAAAJAQAA&#10;DwAAAAAAAAABACAAAAAiAAAAZHJzL2Rvd25yZXYueG1sUEsBAhQAFAAAAAgAh07iQIz8PlBTAgAA&#10;qAQAAA4AAAAAAAAAAQAgAAAAJgEAAGRycy9lMm9Eb2MueG1sUEsFBgAAAAAGAAYAWQEAAOsFAAAA&#10;AA==&#10;">
                <v:fill on="t" focussize="0,0"/>
                <v:stroke color="#000000" miterlimit="8" joinstyle="miter"/>
                <v:imagedata o:title=""/>
                <o:lock v:ext="edit" aspectratio="f"/>
                <v:textbox>
                  <w:txbxContent>
                    <w:p w14:paraId="003937C9">
                      <w:pPr>
                        <w:ind w:firstLine="221" w:firstLineChars="100"/>
                        <w:rPr>
                          <w:b/>
                          <w:bCs/>
                          <w:sz w:val="22"/>
                          <w:szCs w:val="28"/>
                        </w:rPr>
                      </w:pPr>
                      <w:r>
                        <w:rPr>
                          <w:rFonts w:hint="eastAsia"/>
                          <w:b/>
                          <w:bCs/>
                          <w:sz w:val="22"/>
                          <w:szCs w:val="28"/>
                        </w:rPr>
                        <w:t>服务项目</w:t>
                      </w:r>
                    </w:p>
                  </w:txbxContent>
                </v:textbox>
              </v:shape>
            </w:pict>
          </mc:Fallback>
        </mc:AlternateContent>
      </w:r>
      <w:r>
        <w:rPr>
          <w:rFonts w:ascii="宋体" w:hAnsi="宋体" w:eastAsia="宋体" w:cs="仿宋_GB2312"/>
          <w:sz w:val="24"/>
        </w:rPr>
        <w:br w:type="textWrapping"/>
      </w:r>
    </w:p>
    <w:p w14:paraId="40982155">
      <w:pPr>
        <w:ind w:firstLine="2120" w:firstLineChars="400"/>
        <w:rPr>
          <w:rFonts w:hint="eastAsia" w:ascii="宋体" w:hAnsi="宋体" w:eastAsia="宋体"/>
          <w:b/>
          <w:spacing w:val="4"/>
          <w:sz w:val="52"/>
          <w:szCs w:val="48"/>
        </w:rPr>
      </w:pPr>
      <w:r>
        <w:rPr>
          <w:rFonts w:hint="eastAsia" w:ascii="宋体" w:hAnsi="宋体" w:eastAsia="宋体"/>
          <w:b/>
          <w:spacing w:val="4"/>
          <w:sz w:val="52"/>
          <w:szCs w:val="48"/>
        </w:rPr>
        <w:t>西安市中心医院服务类</w:t>
      </w:r>
    </w:p>
    <w:p w14:paraId="1C72E2C6">
      <w:pPr>
        <w:ind w:firstLine="844" w:firstLineChars="350"/>
        <w:jc w:val="center"/>
        <w:rPr>
          <w:rFonts w:hint="eastAsia" w:ascii="宋体" w:hAnsi="宋体" w:eastAsia="宋体"/>
          <w:b/>
          <w:spacing w:val="-20"/>
          <w:sz w:val="28"/>
        </w:rPr>
      </w:pPr>
      <w:r>
        <w:rPr>
          <w:rFonts w:hint="eastAsia" w:ascii="宋体" w:hAnsi="宋体" w:eastAsia="宋体"/>
          <w:b/>
          <w:spacing w:val="-20"/>
          <w:sz w:val="28"/>
        </w:rPr>
        <w:t>（本合同只作为参考，最终以采购人所出具合同版本为准）</w:t>
      </w:r>
    </w:p>
    <w:p w14:paraId="53E21BEC">
      <w:pPr>
        <w:jc w:val="center"/>
        <w:rPr>
          <w:rFonts w:hint="eastAsia" w:ascii="宋体" w:hAnsi="宋体" w:eastAsia="宋体"/>
          <w:b/>
          <w:sz w:val="72"/>
          <w:szCs w:val="72"/>
        </w:rPr>
      </w:pPr>
    </w:p>
    <w:p w14:paraId="59ECECAA">
      <w:pPr>
        <w:jc w:val="center"/>
        <w:rPr>
          <w:rFonts w:hint="eastAsia" w:ascii="宋体" w:hAnsi="宋体" w:eastAsia="宋体"/>
          <w:b/>
          <w:sz w:val="72"/>
          <w:szCs w:val="72"/>
        </w:rPr>
      </w:pPr>
    </w:p>
    <w:p w14:paraId="60BD8685">
      <w:pPr>
        <w:jc w:val="center"/>
        <w:rPr>
          <w:rFonts w:hint="eastAsia" w:ascii="宋体" w:hAnsi="宋体" w:eastAsia="宋体"/>
          <w:b/>
          <w:sz w:val="72"/>
          <w:szCs w:val="72"/>
        </w:rPr>
      </w:pPr>
    </w:p>
    <w:p w14:paraId="1124CBCD">
      <w:pPr>
        <w:jc w:val="center"/>
        <w:rPr>
          <w:rFonts w:hint="eastAsia" w:ascii="宋体" w:hAnsi="宋体" w:eastAsia="宋体"/>
          <w:b/>
          <w:sz w:val="72"/>
          <w:szCs w:val="72"/>
        </w:rPr>
      </w:pPr>
      <w:r>
        <w:rPr>
          <w:rFonts w:hint="eastAsia" w:ascii="宋体" w:hAnsi="宋体" w:eastAsia="宋体"/>
          <w:b/>
          <w:sz w:val="72"/>
          <w:szCs w:val="72"/>
        </w:rPr>
        <w:t xml:space="preserve"> 合 同</w:t>
      </w:r>
    </w:p>
    <w:p w14:paraId="7E812B61">
      <w:pPr>
        <w:jc w:val="center"/>
        <w:rPr>
          <w:rFonts w:hint="eastAsia" w:ascii="宋体" w:hAnsi="宋体" w:eastAsia="宋体"/>
          <w:b/>
          <w:sz w:val="72"/>
          <w:szCs w:val="72"/>
        </w:rPr>
      </w:pPr>
    </w:p>
    <w:p w14:paraId="591F515C">
      <w:pPr>
        <w:ind w:firstLine="1120" w:firstLineChars="400"/>
        <w:rPr>
          <w:rFonts w:hint="eastAsia" w:ascii="宋体" w:hAnsi="宋体" w:eastAsia="宋体"/>
          <w:sz w:val="28"/>
          <w:szCs w:val="30"/>
          <w:u w:val="single"/>
        </w:rPr>
      </w:pPr>
      <w:r>
        <w:rPr>
          <w:rFonts w:hint="eastAsia" w:ascii="宋体" w:hAnsi="宋体" w:eastAsia="宋体"/>
          <w:sz w:val="28"/>
          <w:szCs w:val="30"/>
        </w:rPr>
        <w:t>项目名称：</w:t>
      </w:r>
      <w:r>
        <w:rPr>
          <w:rFonts w:hint="eastAsia" w:ascii="宋体" w:hAnsi="宋体" w:eastAsia="宋体"/>
          <w:sz w:val="28"/>
          <w:szCs w:val="30"/>
          <w:u w:val="single"/>
        </w:rPr>
        <w:t xml:space="preserve">标识导视一体化服务（创意设计、制作、安装、维保） </w:t>
      </w:r>
    </w:p>
    <w:p w14:paraId="689EAEFA">
      <w:pPr>
        <w:ind w:firstLine="1120" w:firstLineChars="400"/>
        <w:rPr>
          <w:rFonts w:hint="eastAsia" w:ascii="宋体" w:hAnsi="宋体" w:eastAsia="宋体"/>
          <w:sz w:val="28"/>
          <w:szCs w:val="30"/>
          <w:u w:val="single"/>
        </w:rPr>
      </w:pPr>
      <w:r>
        <w:rPr>
          <w:rFonts w:hint="eastAsia" w:ascii="宋体" w:hAnsi="宋体" w:eastAsia="宋体"/>
          <w:sz w:val="28"/>
          <w:szCs w:val="30"/>
        </w:rPr>
        <w:t>项目编号：</w:t>
      </w:r>
      <w:r>
        <w:rPr>
          <w:rFonts w:ascii="宋体" w:hAnsi="宋体" w:eastAsia="宋体"/>
          <w:sz w:val="28"/>
          <w:szCs w:val="30"/>
          <w:u w:val="single"/>
        </w:rPr>
        <w:t>JXRC-260727</w:t>
      </w:r>
      <w:r>
        <w:rPr>
          <w:rFonts w:hint="eastAsia" w:ascii="宋体" w:hAnsi="宋体" w:eastAsia="宋体"/>
          <w:sz w:val="28"/>
          <w:szCs w:val="30"/>
          <w:u w:val="single"/>
        </w:rPr>
        <w:t xml:space="preserve">                     </w:t>
      </w:r>
    </w:p>
    <w:p w14:paraId="25BBFED8">
      <w:pPr>
        <w:jc w:val="center"/>
        <w:rPr>
          <w:rFonts w:hint="eastAsia" w:ascii="宋体" w:hAnsi="宋体" w:eastAsia="宋体"/>
          <w:sz w:val="28"/>
          <w:szCs w:val="30"/>
        </w:rPr>
      </w:pPr>
    </w:p>
    <w:p w14:paraId="5512BD76">
      <w:pPr>
        <w:rPr>
          <w:rFonts w:hint="eastAsia" w:ascii="宋体" w:hAnsi="宋体" w:eastAsia="宋体"/>
          <w:sz w:val="28"/>
          <w:szCs w:val="30"/>
        </w:rPr>
      </w:pPr>
    </w:p>
    <w:p w14:paraId="621F30DA">
      <w:pPr>
        <w:ind w:firstLine="2700" w:firstLineChars="900"/>
        <w:jc w:val="left"/>
        <w:rPr>
          <w:rFonts w:hint="eastAsia" w:ascii="宋体" w:hAnsi="宋体" w:eastAsia="宋体"/>
          <w:sz w:val="30"/>
          <w:szCs w:val="30"/>
        </w:rPr>
      </w:pPr>
      <w:r>
        <w:rPr>
          <w:rFonts w:hint="eastAsia" w:ascii="宋体" w:hAnsi="宋体" w:eastAsia="宋体"/>
          <w:sz w:val="30"/>
          <w:szCs w:val="30"/>
        </w:rPr>
        <w:t>甲  方：西安市中心医院</w:t>
      </w:r>
    </w:p>
    <w:p w14:paraId="6C84CEC6">
      <w:pPr>
        <w:tabs>
          <w:tab w:val="left" w:pos="480"/>
        </w:tabs>
        <w:ind w:firstLine="2700" w:firstLineChars="900"/>
        <w:jc w:val="left"/>
        <w:rPr>
          <w:rFonts w:hint="eastAsia" w:ascii="宋体" w:hAnsi="宋体" w:eastAsia="宋体"/>
          <w:sz w:val="30"/>
          <w:szCs w:val="30"/>
        </w:rPr>
      </w:pPr>
      <w:r>
        <w:rPr>
          <w:rFonts w:hint="eastAsia" w:ascii="宋体" w:hAnsi="宋体" w:eastAsia="宋体"/>
          <w:sz w:val="30"/>
          <w:szCs w:val="30"/>
        </w:rPr>
        <w:t>乙  方：</w:t>
      </w:r>
    </w:p>
    <w:p w14:paraId="75A8AD95">
      <w:pPr>
        <w:ind w:firstLine="3520" w:firstLineChars="1100"/>
        <w:rPr>
          <w:rFonts w:hint="eastAsia" w:ascii="宋体" w:hAnsi="宋体" w:eastAsia="宋体"/>
          <w:sz w:val="32"/>
          <w:szCs w:val="32"/>
        </w:rPr>
      </w:pPr>
      <w:r>
        <w:rPr>
          <w:rFonts w:hint="eastAsia" w:ascii="宋体" w:hAnsi="宋体" w:eastAsia="宋体"/>
          <w:sz w:val="32"/>
          <w:szCs w:val="32"/>
        </w:rPr>
        <w:t>二O二六年  月</w:t>
      </w:r>
    </w:p>
    <w:p w14:paraId="517A3310">
      <w:pPr>
        <w:spacing w:line="360" w:lineRule="auto"/>
        <w:rPr>
          <w:rFonts w:hint="eastAsia" w:ascii="宋体" w:hAnsi="宋体" w:eastAsia="宋体"/>
          <w:sz w:val="24"/>
        </w:rPr>
      </w:pPr>
      <w:r>
        <w:rPr>
          <w:rFonts w:hint="eastAsia" w:ascii="宋体" w:hAnsi="宋体" w:eastAsia="宋体"/>
          <w:sz w:val="24"/>
        </w:rPr>
        <w:t xml:space="preserve">甲方：西安市中心医院 </w:t>
      </w:r>
    </w:p>
    <w:p w14:paraId="18ACFFC8">
      <w:pPr>
        <w:spacing w:line="360" w:lineRule="auto"/>
        <w:rPr>
          <w:rFonts w:hint="eastAsia" w:ascii="宋体" w:hAnsi="宋体" w:eastAsia="宋体"/>
          <w:sz w:val="24"/>
        </w:rPr>
      </w:pPr>
      <w:r>
        <w:rPr>
          <w:rFonts w:hint="eastAsia" w:ascii="宋体" w:hAnsi="宋体" w:eastAsia="宋体"/>
          <w:sz w:val="24"/>
        </w:rPr>
        <w:t>乙方：</w:t>
      </w:r>
    </w:p>
    <w:p w14:paraId="202C72E3">
      <w:pPr>
        <w:widowControl/>
        <w:adjustRightInd w:val="0"/>
        <w:snapToGrid w:val="0"/>
        <w:spacing w:after="120" w:line="360" w:lineRule="auto"/>
        <w:ind w:firstLine="480" w:firstLineChars="200"/>
        <w:jc w:val="left"/>
        <w:rPr>
          <w:rFonts w:hint="eastAsia" w:ascii="宋体" w:hAnsi="宋体" w:eastAsia="宋体" w:cs="Times New Roman"/>
          <w:sz w:val="24"/>
        </w:rPr>
      </w:pPr>
      <w:r>
        <w:rPr>
          <w:rFonts w:hint="eastAsia" w:ascii="宋体" w:hAnsi="宋体" w:eastAsia="宋体" w:cs="Times New Roman"/>
          <w:sz w:val="24"/>
        </w:rPr>
        <w:t>就甲方所需服务，按照政府采购程序，确定乙方</w:t>
      </w:r>
      <w:r>
        <w:rPr>
          <w:rFonts w:hint="eastAsia" w:ascii="宋体" w:hAnsi="宋体" w:eastAsia="宋体" w:cs="Times New Roman"/>
          <w:sz w:val="24"/>
          <w:u w:val="single"/>
        </w:rPr>
        <w:t xml:space="preserve">     </w:t>
      </w:r>
      <w:r>
        <w:rPr>
          <w:rFonts w:hint="eastAsia" w:ascii="宋体" w:hAnsi="宋体" w:eastAsia="宋体" w:cs="Times New Roman"/>
          <w:sz w:val="24"/>
        </w:rPr>
        <w:t>为西安市中心医院西安市中心医院标识导视一体化服务（创意设计、制作、安装、维保），采购包（ ）成交供应商。依据《中华人民共和国政府采购法》、《中华人民共和国民法典》,经甲、乙双方协商，达成如下条款。</w:t>
      </w:r>
    </w:p>
    <w:p w14:paraId="14A0A4AE">
      <w:pPr>
        <w:numPr>
          <w:ilvl w:val="0"/>
          <w:numId w:val="1"/>
        </w:numPr>
        <w:tabs>
          <w:tab w:val="left" w:pos="480"/>
        </w:tabs>
        <w:spacing w:line="360" w:lineRule="auto"/>
        <w:ind w:left="709"/>
        <w:rPr>
          <w:rFonts w:hint="eastAsia" w:ascii="宋体" w:hAnsi="宋体" w:eastAsia="宋体"/>
          <w:b/>
          <w:sz w:val="24"/>
        </w:rPr>
      </w:pPr>
      <w:r>
        <w:rPr>
          <w:rFonts w:hint="eastAsia" w:ascii="宋体" w:hAnsi="宋体" w:eastAsia="宋体"/>
          <w:b/>
          <w:sz w:val="24"/>
        </w:rPr>
        <w:t>服务内容及服务范围</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2272"/>
        <w:gridCol w:w="2644"/>
        <w:gridCol w:w="728"/>
        <w:gridCol w:w="982"/>
        <w:gridCol w:w="961"/>
        <w:gridCol w:w="467"/>
      </w:tblGrid>
      <w:tr w14:paraId="1B03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75" w:type="pct"/>
            <w:vAlign w:val="center"/>
          </w:tcPr>
          <w:p w14:paraId="0A71F7AD">
            <w:pPr>
              <w:tabs>
                <w:tab w:val="left" w:pos="480"/>
              </w:tabs>
              <w:spacing w:line="360" w:lineRule="auto"/>
              <w:jc w:val="center"/>
              <w:rPr>
                <w:rFonts w:hint="eastAsia" w:ascii="宋体" w:hAnsi="宋体" w:eastAsia="宋体"/>
                <w:sz w:val="24"/>
              </w:rPr>
            </w:pPr>
            <w:r>
              <w:rPr>
                <w:rFonts w:hint="eastAsia" w:ascii="宋体" w:hAnsi="宋体" w:eastAsia="宋体"/>
                <w:sz w:val="24"/>
              </w:rPr>
              <w:t>序号</w:t>
            </w:r>
          </w:p>
        </w:tc>
        <w:tc>
          <w:tcPr>
            <w:tcW w:w="1333" w:type="pct"/>
            <w:vAlign w:val="center"/>
          </w:tcPr>
          <w:p w14:paraId="2BFCC1EE">
            <w:pPr>
              <w:tabs>
                <w:tab w:val="left" w:pos="480"/>
              </w:tabs>
              <w:spacing w:line="360" w:lineRule="auto"/>
              <w:jc w:val="center"/>
              <w:rPr>
                <w:rFonts w:hint="eastAsia" w:ascii="宋体" w:hAnsi="宋体" w:eastAsia="宋体"/>
                <w:sz w:val="24"/>
              </w:rPr>
            </w:pPr>
            <w:r>
              <w:rPr>
                <w:rFonts w:hint="eastAsia" w:ascii="宋体" w:hAnsi="宋体" w:eastAsia="宋体"/>
                <w:sz w:val="24"/>
              </w:rPr>
              <w:t>服务项目名称</w:t>
            </w:r>
          </w:p>
        </w:tc>
        <w:tc>
          <w:tcPr>
            <w:tcW w:w="1551" w:type="pct"/>
            <w:vAlign w:val="center"/>
          </w:tcPr>
          <w:p w14:paraId="731CFE79">
            <w:pPr>
              <w:tabs>
                <w:tab w:val="left" w:pos="480"/>
              </w:tabs>
              <w:spacing w:line="360" w:lineRule="auto"/>
              <w:jc w:val="center"/>
              <w:rPr>
                <w:rFonts w:hint="eastAsia" w:ascii="宋体" w:hAnsi="宋体" w:eastAsia="宋体"/>
                <w:sz w:val="24"/>
              </w:rPr>
            </w:pPr>
            <w:r>
              <w:rPr>
                <w:rFonts w:hint="eastAsia" w:ascii="宋体" w:hAnsi="宋体" w:eastAsia="宋体"/>
                <w:sz w:val="24"/>
              </w:rPr>
              <w:t>服务范围</w:t>
            </w:r>
          </w:p>
        </w:tc>
        <w:tc>
          <w:tcPr>
            <w:tcW w:w="427" w:type="pct"/>
            <w:vAlign w:val="center"/>
          </w:tcPr>
          <w:p w14:paraId="2AFCE2EA">
            <w:pPr>
              <w:tabs>
                <w:tab w:val="left" w:pos="480"/>
              </w:tabs>
              <w:spacing w:line="360" w:lineRule="auto"/>
              <w:jc w:val="center"/>
              <w:rPr>
                <w:rFonts w:hint="eastAsia" w:ascii="宋体" w:hAnsi="宋体" w:eastAsia="宋体"/>
                <w:sz w:val="24"/>
              </w:rPr>
            </w:pPr>
            <w:r>
              <w:rPr>
                <w:rFonts w:hint="eastAsia" w:ascii="宋体" w:hAnsi="宋体" w:eastAsia="宋体"/>
                <w:sz w:val="24"/>
              </w:rPr>
              <w:t>数量</w:t>
            </w:r>
          </w:p>
        </w:tc>
        <w:tc>
          <w:tcPr>
            <w:tcW w:w="576" w:type="pct"/>
            <w:vAlign w:val="center"/>
          </w:tcPr>
          <w:p w14:paraId="06D28C60">
            <w:pPr>
              <w:tabs>
                <w:tab w:val="left" w:pos="480"/>
              </w:tabs>
              <w:spacing w:line="360" w:lineRule="auto"/>
              <w:jc w:val="center"/>
              <w:rPr>
                <w:rFonts w:hint="eastAsia" w:ascii="宋体" w:hAnsi="宋体" w:eastAsia="宋体"/>
                <w:sz w:val="24"/>
              </w:rPr>
            </w:pPr>
            <w:r>
              <w:rPr>
                <w:rFonts w:hint="eastAsia" w:ascii="宋体" w:hAnsi="宋体" w:eastAsia="宋体"/>
                <w:sz w:val="24"/>
              </w:rPr>
              <w:t>单价</w:t>
            </w:r>
          </w:p>
        </w:tc>
        <w:tc>
          <w:tcPr>
            <w:tcW w:w="564" w:type="pct"/>
            <w:vAlign w:val="center"/>
          </w:tcPr>
          <w:p w14:paraId="17DE7766">
            <w:pPr>
              <w:tabs>
                <w:tab w:val="left" w:pos="480"/>
              </w:tabs>
              <w:spacing w:line="360" w:lineRule="auto"/>
              <w:jc w:val="center"/>
              <w:rPr>
                <w:rFonts w:hint="eastAsia" w:ascii="宋体" w:hAnsi="宋体" w:eastAsia="宋体"/>
                <w:sz w:val="24"/>
              </w:rPr>
            </w:pPr>
            <w:r>
              <w:rPr>
                <w:rFonts w:hint="eastAsia" w:ascii="宋体" w:hAnsi="宋体" w:eastAsia="宋体"/>
                <w:sz w:val="24"/>
              </w:rPr>
              <w:t>总金额</w:t>
            </w:r>
          </w:p>
          <w:p w14:paraId="38CD26C9">
            <w:pPr>
              <w:tabs>
                <w:tab w:val="left" w:pos="480"/>
              </w:tabs>
              <w:spacing w:line="360" w:lineRule="auto"/>
              <w:jc w:val="center"/>
              <w:rPr>
                <w:rFonts w:hint="eastAsia" w:ascii="宋体" w:hAnsi="宋体" w:eastAsia="宋体"/>
                <w:sz w:val="24"/>
              </w:rPr>
            </w:pPr>
            <w:r>
              <w:rPr>
                <w:rFonts w:hint="eastAsia" w:ascii="宋体" w:hAnsi="宋体" w:eastAsia="宋体"/>
                <w:sz w:val="24"/>
              </w:rPr>
              <w:t>（元）</w:t>
            </w:r>
          </w:p>
        </w:tc>
        <w:tc>
          <w:tcPr>
            <w:tcW w:w="275" w:type="pct"/>
            <w:vAlign w:val="center"/>
          </w:tcPr>
          <w:p w14:paraId="2C08BFB0">
            <w:pPr>
              <w:tabs>
                <w:tab w:val="left" w:pos="480"/>
              </w:tabs>
              <w:spacing w:line="360" w:lineRule="auto"/>
              <w:jc w:val="center"/>
              <w:rPr>
                <w:rFonts w:hint="eastAsia" w:ascii="宋体" w:hAnsi="宋体" w:eastAsia="宋体"/>
                <w:sz w:val="24"/>
              </w:rPr>
            </w:pPr>
            <w:r>
              <w:rPr>
                <w:rFonts w:hint="eastAsia" w:ascii="宋体" w:hAnsi="宋体" w:eastAsia="宋体"/>
                <w:sz w:val="24"/>
              </w:rPr>
              <w:t>备注</w:t>
            </w:r>
          </w:p>
        </w:tc>
      </w:tr>
      <w:tr w14:paraId="62B2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1A5C66EF">
            <w:pPr>
              <w:tabs>
                <w:tab w:val="left" w:pos="480"/>
              </w:tabs>
              <w:spacing w:line="360" w:lineRule="auto"/>
              <w:jc w:val="center"/>
              <w:rPr>
                <w:rFonts w:hint="eastAsia" w:ascii="宋体" w:hAnsi="宋体" w:eastAsia="宋体"/>
                <w:sz w:val="24"/>
              </w:rPr>
            </w:pPr>
            <w:r>
              <w:rPr>
                <w:rFonts w:hint="eastAsia" w:ascii="宋体" w:hAnsi="宋体" w:eastAsia="宋体"/>
                <w:sz w:val="24"/>
              </w:rPr>
              <w:t>1</w:t>
            </w:r>
          </w:p>
        </w:tc>
        <w:tc>
          <w:tcPr>
            <w:tcW w:w="1333" w:type="pct"/>
            <w:vAlign w:val="center"/>
          </w:tcPr>
          <w:p w14:paraId="1F1E4397">
            <w:pPr>
              <w:tabs>
                <w:tab w:val="left" w:pos="480"/>
              </w:tabs>
              <w:spacing w:line="360" w:lineRule="auto"/>
              <w:jc w:val="center"/>
              <w:rPr>
                <w:rFonts w:hint="eastAsia" w:ascii="宋体" w:hAnsi="宋体" w:eastAsia="宋体"/>
                <w:sz w:val="24"/>
              </w:rPr>
            </w:pPr>
          </w:p>
        </w:tc>
        <w:tc>
          <w:tcPr>
            <w:tcW w:w="1551" w:type="pct"/>
            <w:vAlign w:val="center"/>
          </w:tcPr>
          <w:p w14:paraId="44BB87BA">
            <w:pPr>
              <w:tabs>
                <w:tab w:val="left" w:pos="480"/>
              </w:tabs>
              <w:spacing w:line="360" w:lineRule="auto"/>
              <w:jc w:val="center"/>
              <w:rPr>
                <w:rFonts w:hint="eastAsia" w:ascii="宋体" w:hAnsi="宋体" w:eastAsia="宋体"/>
                <w:sz w:val="24"/>
              </w:rPr>
            </w:pPr>
          </w:p>
        </w:tc>
        <w:tc>
          <w:tcPr>
            <w:tcW w:w="427" w:type="pct"/>
            <w:vAlign w:val="center"/>
          </w:tcPr>
          <w:p w14:paraId="49B95527">
            <w:pPr>
              <w:tabs>
                <w:tab w:val="left" w:pos="480"/>
              </w:tabs>
              <w:spacing w:line="360" w:lineRule="auto"/>
              <w:jc w:val="center"/>
              <w:rPr>
                <w:rFonts w:hint="eastAsia" w:ascii="宋体" w:hAnsi="宋体" w:eastAsia="宋体"/>
                <w:sz w:val="24"/>
              </w:rPr>
            </w:pPr>
          </w:p>
        </w:tc>
        <w:tc>
          <w:tcPr>
            <w:tcW w:w="576" w:type="pct"/>
            <w:vAlign w:val="center"/>
          </w:tcPr>
          <w:p w14:paraId="685D8914">
            <w:pPr>
              <w:tabs>
                <w:tab w:val="left" w:pos="480"/>
              </w:tabs>
              <w:spacing w:line="360" w:lineRule="auto"/>
              <w:jc w:val="center"/>
              <w:rPr>
                <w:rFonts w:hint="eastAsia" w:ascii="宋体" w:hAnsi="宋体" w:eastAsia="宋体"/>
                <w:sz w:val="24"/>
              </w:rPr>
            </w:pPr>
          </w:p>
        </w:tc>
        <w:tc>
          <w:tcPr>
            <w:tcW w:w="564" w:type="pct"/>
            <w:vAlign w:val="center"/>
          </w:tcPr>
          <w:p w14:paraId="30426CB0">
            <w:pPr>
              <w:tabs>
                <w:tab w:val="left" w:pos="480"/>
              </w:tabs>
              <w:spacing w:line="360" w:lineRule="auto"/>
              <w:jc w:val="center"/>
              <w:rPr>
                <w:rFonts w:hint="eastAsia" w:ascii="宋体" w:hAnsi="宋体" w:eastAsia="宋体"/>
                <w:sz w:val="24"/>
              </w:rPr>
            </w:pPr>
          </w:p>
        </w:tc>
        <w:tc>
          <w:tcPr>
            <w:tcW w:w="275" w:type="pct"/>
            <w:vAlign w:val="center"/>
          </w:tcPr>
          <w:p w14:paraId="3FF95AD3">
            <w:pPr>
              <w:tabs>
                <w:tab w:val="left" w:pos="480"/>
              </w:tabs>
              <w:spacing w:line="360" w:lineRule="auto"/>
              <w:jc w:val="center"/>
              <w:rPr>
                <w:rFonts w:hint="eastAsia" w:ascii="宋体" w:hAnsi="宋体" w:eastAsia="宋体"/>
                <w:sz w:val="24"/>
              </w:rPr>
            </w:pPr>
          </w:p>
        </w:tc>
      </w:tr>
      <w:tr w14:paraId="1BD9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 w:type="pct"/>
            <w:vAlign w:val="center"/>
          </w:tcPr>
          <w:p w14:paraId="56AA8CCD">
            <w:pPr>
              <w:tabs>
                <w:tab w:val="left" w:pos="480"/>
              </w:tabs>
              <w:spacing w:line="360" w:lineRule="auto"/>
              <w:rPr>
                <w:rFonts w:hint="eastAsia" w:ascii="宋体" w:hAnsi="宋体" w:eastAsia="宋体"/>
                <w:sz w:val="24"/>
              </w:rPr>
            </w:pPr>
            <w:r>
              <w:rPr>
                <w:rFonts w:ascii="宋体" w:hAnsi="宋体" w:eastAsia="宋体"/>
                <w:sz w:val="24"/>
              </w:rPr>
              <w:t>…</w:t>
            </w:r>
          </w:p>
        </w:tc>
        <w:tc>
          <w:tcPr>
            <w:tcW w:w="1333" w:type="pct"/>
            <w:vAlign w:val="center"/>
          </w:tcPr>
          <w:p w14:paraId="6732005A">
            <w:pPr>
              <w:tabs>
                <w:tab w:val="left" w:pos="480"/>
              </w:tabs>
              <w:spacing w:line="360" w:lineRule="auto"/>
              <w:jc w:val="center"/>
              <w:rPr>
                <w:rFonts w:hint="eastAsia" w:ascii="宋体" w:hAnsi="宋体" w:eastAsia="宋体"/>
                <w:sz w:val="24"/>
              </w:rPr>
            </w:pPr>
          </w:p>
        </w:tc>
        <w:tc>
          <w:tcPr>
            <w:tcW w:w="1551" w:type="pct"/>
            <w:vAlign w:val="center"/>
          </w:tcPr>
          <w:p w14:paraId="5E7F3F40">
            <w:pPr>
              <w:tabs>
                <w:tab w:val="left" w:pos="480"/>
              </w:tabs>
              <w:spacing w:line="360" w:lineRule="auto"/>
              <w:jc w:val="center"/>
              <w:rPr>
                <w:rFonts w:hint="eastAsia" w:ascii="宋体" w:hAnsi="宋体" w:eastAsia="宋体"/>
                <w:sz w:val="24"/>
              </w:rPr>
            </w:pPr>
          </w:p>
        </w:tc>
        <w:tc>
          <w:tcPr>
            <w:tcW w:w="427" w:type="pct"/>
            <w:vAlign w:val="center"/>
          </w:tcPr>
          <w:p w14:paraId="761CD7C6">
            <w:pPr>
              <w:tabs>
                <w:tab w:val="left" w:pos="480"/>
              </w:tabs>
              <w:spacing w:line="360" w:lineRule="auto"/>
              <w:jc w:val="center"/>
              <w:rPr>
                <w:rFonts w:hint="eastAsia" w:ascii="宋体" w:hAnsi="宋体" w:eastAsia="宋体"/>
                <w:sz w:val="24"/>
              </w:rPr>
            </w:pPr>
          </w:p>
        </w:tc>
        <w:tc>
          <w:tcPr>
            <w:tcW w:w="576" w:type="pct"/>
            <w:vAlign w:val="center"/>
          </w:tcPr>
          <w:p w14:paraId="30C002B7">
            <w:pPr>
              <w:tabs>
                <w:tab w:val="left" w:pos="480"/>
              </w:tabs>
              <w:spacing w:line="360" w:lineRule="auto"/>
              <w:jc w:val="center"/>
              <w:rPr>
                <w:rFonts w:hint="eastAsia" w:ascii="宋体" w:hAnsi="宋体" w:eastAsia="宋体"/>
                <w:sz w:val="24"/>
              </w:rPr>
            </w:pPr>
          </w:p>
        </w:tc>
        <w:tc>
          <w:tcPr>
            <w:tcW w:w="564" w:type="pct"/>
            <w:vAlign w:val="center"/>
          </w:tcPr>
          <w:p w14:paraId="4B32FBC3">
            <w:pPr>
              <w:tabs>
                <w:tab w:val="left" w:pos="480"/>
              </w:tabs>
              <w:spacing w:line="360" w:lineRule="auto"/>
              <w:jc w:val="center"/>
              <w:rPr>
                <w:rFonts w:hint="eastAsia" w:ascii="宋体" w:hAnsi="宋体" w:eastAsia="宋体"/>
                <w:sz w:val="24"/>
              </w:rPr>
            </w:pPr>
          </w:p>
        </w:tc>
        <w:tc>
          <w:tcPr>
            <w:tcW w:w="275" w:type="pct"/>
            <w:vAlign w:val="center"/>
          </w:tcPr>
          <w:p w14:paraId="1AD67BCF">
            <w:pPr>
              <w:tabs>
                <w:tab w:val="left" w:pos="480"/>
              </w:tabs>
              <w:spacing w:line="360" w:lineRule="auto"/>
              <w:jc w:val="center"/>
              <w:rPr>
                <w:rFonts w:hint="eastAsia" w:ascii="宋体" w:hAnsi="宋体" w:eastAsia="宋体"/>
                <w:sz w:val="24"/>
              </w:rPr>
            </w:pPr>
          </w:p>
        </w:tc>
      </w:tr>
      <w:tr w14:paraId="1BAF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vAlign w:val="center"/>
          </w:tcPr>
          <w:p w14:paraId="74795044">
            <w:pPr>
              <w:tabs>
                <w:tab w:val="left" w:pos="480"/>
              </w:tabs>
              <w:spacing w:line="360" w:lineRule="auto"/>
              <w:rPr>
                <w:rFonts w:hint="eastAsia" w:ascii="宋体" w:hAnsi="宋体" w:eastAsia="宋体"/>
                <w:sz w:val="24"/>
              </w:rPr>
            </w:pPr>
            <w:r>
              <w:rPr>
                <w:rFonts w:hint="eastAsia" w:ascii="宋体" w:hAnsi="宋体" w:eastAsia="宋体"/>
                <w:sz w:val="24"/>
              </w:rPr>
              <w:t>合计（人民币）大写：            整</w:t>
            </w:r>
          </w:p>
        </w:tc>
      </w:tr>
      <w:tr w14:paraId="4FE8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75" w:type="pct"/>
            <w:vAlign w:val="center"/>
          </w:tcPr>
          <w:p w14:paraId="65628E7A">
            <w:pPr>
              <w:tabs>
                <w:tab w:val="left" w:pos="480"/>
              </w:tabs>
              <w:spacing w:line="360" w:lineRule="auto"/>
              <w:jc w:val="center"/>
              <w:rPr>
                <w:rFonts w:hint="eastAsia" w:ascii="宋体" w:hAnsi="宋体" w:eastAsia="宋体"/>
                <w:sz w:val="24"/>
              </w:rPr>
            </w:pPr>
            <w:r>
              <w:rPr>
                <w:rFonts w:hint="eastAsia" w:ascii="宋体" w:hAnsi="宋体" w:eastAsia="宋体"/>
                <w:sz w:val="24"/>
              </w:rPr>
              <w:t>说明</w:t>
            </w:r>
          </w:p>
        </w:tc>
        <w:tc>
          <w:tcPr>
            <w:tcW w:w="4725" w:type="pct"/>
            <w:gridSpan w:val="6"/>
            <w:vAlign w:val="center"/>
          </w:tcPr>
          <w:p w14:paraId="3878538C">
            <w:pPr>
              <w:tabs>
                <w:tab w:val="left" w:pos="480"/>
              </w:tabs>
              <w:spacing w:line="360" w:lineRule="auto"/>
              <w:jc w:val="center"/>
              <w:rPr>
                <w:rFonts w:hint="eastAsia" w:ascii="宋体" w:hAnsi="宋体" w:eastAsia="宋体"/>
                <w:sz w:val="24"/>
              </w:rPr>
            </w:pPr>
          </w:p>
        </w:tc>
      </w:tr>
    </w:tbl>
    <w:p w14:paraId="67A1095F">
      <w:pPr>
        <w:adjustRightInd w:val="0"/>
        <w:snapToGrid w:val="0"/>
        <w:spacing w:line="384" w:lineRule="auto"/>
        <w:ind w:firstLine="482" w:firstLineChars="200"/>
        <w:rPr>
          <w:rFonts w:cs="仿宋_GB2312"/>
          <w:b/>
          <w:bCs/>
          <w:sz w:val="24"/>
        </w:rPr>
      </w:pPr>
      <w:r>
        <w:rPr>
          <w:rFonts w:hint="eastAsia" w:cs="仿宋_GB2312"/>
          <w:b/>
          <w:bCs/>
          <w:sz w:val="24"/>
        </w:rPr>
        <w:t>二、合同价款</w:t>
      </w:r>
    </w:p>
    <w:p w14:paraId="30128255">
      <w:pPr>
        <w:adjustRightInd w:val="0"/>
        <w:snapToGrid w:val="0"/>
        <w:spacing w:line="384" w:lineRule="auto"/>
        <w:ind w:firstLine="480" w:firstLineChars="200"/>
        <w:rPr>
          <w:rFonts w:cs="仿宋_GB2312"/>
          <w:bCs/>
          <w:sz w:val="24"/>
        </w:rPr>
      </w:pPr>
      <w:r>
        <w:rPr>
          <w:rFonts w:hint="eastAsia" w:cs="仿宋_GB2312"/>
          <w:bCs/>
          <w:sz w:val="24"/>
        </w:rPr>
        <w:t>（一）合同总价款大写：人民币</w:t>
      </w:r>
      <w:r>
        <w:rPr>
          <w:rFonts w:hint="eastAsia" w:cs="仿宋_GB2312"/>
          <w:bCs/>
          <w:sz w:val="24"/>
          <w:u w:val="single"/>
        </w:rPr>
        <w:t xml:space="preserve"> </w:t>
      </w:r>
      <w:r>
        <w:rPr>
          <w:rFonts w:cs="仿宋_GB2312"/>
          <w:bCs/>
          <w:sz w:val="24"/>
          <w:u w:val="single"/>
        </w:rPr>
        <w:t xml:space="preserve">             </w:t>
      </w:r>
      <w:r>
        <w:rPr>
          <w:rFonts w:hint="eastAsia" w:cs="仿宋_GB2312"/>
          <w:bCs/>
          <w:sz w:val="24"/>
        </w:rPr>
        <w:t>元整；小写：</w:t>
      </w:r>
      <w:r>
        <w:rPr>
          <w:rFonts w:hint="eastAsia" w:ascii="宋体" w:hAnsi="宋体" w:eastAsia="宋体" w:cs="仿宋_GB2312"/>
          <w:bCs/>
          <w:sz w:val="24"/>
          <w:u w:val="single"/>
        </w:rPr>
        <w:t>￥</w:t>
      </w:r>
      <w:r>
        <w:rPr>
          <w:rFonts w:cs="仿宋_GB2312"/>
          <w:bCs/>
          <w:sz w:val="24"/>
          <w:u w:val="single"/>
        </w:rPr>
        <w:t xml:space="preserve">             </w:t>
      </w:r>
    </w:p>
    <w:p w14:paraId="0D37AB75">
      <w:pPr>
        <w:adjustRightInd w:val="0"/>
        <w:snapToGrid w:val="0"/>
        <w:spacing w:line="384" w:lineRule="auto"/>
        <w:ind w:firstLine="480" w:firstLineChars="200"/>
        <w:rPr>
          <w:rFonts w:cs="仿宋_GB2312"/>
          <w:bCs/>
          <w:sz w:val="24"/>
        </w:rPr>
      </w:pPr>
      <w:r>
        <w:rPr>
          <w:rFonts w:hint="eastAsia" w:cs="仿宋_GB2312"/>
          <w:bCs/>
          <w:sz w:val="24"/>
        </w:rPr>
        <w:t>（二）合同价款包括：设计费、人工费、拍摄费、运输费、运维费、装卸费、安装费、利润、税金、保险的一切费用、税费风险、安装调试费等</w:t>
      </w:r>
      <w:r>
        <w:rPr>
          <w:rFonts w:hint="eastAsia" w:cs="仿宋_GB2312"/>
          <w:bCs/>
          <w:sz w:val="24"/>
          <w:lang w:val="en-US" w:eastAsia="zh-CN"/>
        </w:rPr>
        <w:t>履行本合同产生的全部费用</w:t>
      </w:r>
      <w:r>
        <w:rPr>
          <w:rFonts w:hint="eastAsia" w:cs="仿宋_GB2312"/>
          <w:bCs/>
          <w:sz w:val="24"/>
        </w:rPr>
        <w:t>，并按规定开具国家正式发票，如有遗漏视为已包含在内。</w:t>
      </w:r>
    </w:p>
    <w:p w14:paraId="15F0C419">
      <w:pPr>
        <w:adjustRightInd w:val="0"/>
        <w:snapToGrid w:val="0"/>
        <w:spacing w:line="384" w:lineRule="auto"/>
        <w:ind w:firstLine="482" w:firstLineChars="200"/>
        <w:rPr>
          <w:rFonts w:cs="仿宋_GB2312"/>
          <w:b/>
          <w:bCs/>
          <w:sz w:val="24"/>
        </w:rPr>
      </w:pPr>
      <w:r>
        <w:rPr>
          <w:rFonts w:hint="eastAsia" w:cs="仿宋_GB2312"/>
          <w:b/>
          <w:bCs/>
          <w:sz w:val="24"/>
        </w:rPr>
        <w:t>三、款项结算</w:t>
      </w:r>
    </w:p>
    <w:p w14:paraId="620F1A04">
      <w:pPr>
        <w:adjustRightInd w:val="0"/>
        <w:snapToGrid w:val="0"/>
        <w:spacing w:line="384" w:lineRule="auto"/>
        <w:ind w:firstLine="480" w:firstLineChars="200"/>
        <w:rPr>
          <w:rFonts w:cs="仿宋_GB2312"/>
          <w:bCs/>
          <w:sz w:val="24"/>
        </w:rPr>
      </w:pPr>
      <w:r>
        <w:rPr>
          <w:rFonts w:hint="eastAsia" w:cs="仿宋_GB2312"/>
          <w:bCs/>
          <w:sz w:val="24"/>
        </w:rPr>
        <w:t>（一）支付方式：银行转账</w:t>
      </w:r>
    </w:p>
    <w:p w14:paraId="4FF7BE0F">
      <w:pPr>
        <w:adjustRightInd w:val="0"/>
        <w:snapToGrid w:val="0"/>
        <w:spacing w:line="384" w:lineRule="auto"/>
        <w:ind w:firstLine="480" w:firstLineChars="200"/>
        <w:rPr>
          <w:rFonts w:cs="仿宋_GB2312"/>
          <w:bCs/>
          <w:sz w:val="24"/>
        </w:rPr>
      </w:pPr>
      <w:r>
        <w:rPr>
          <w:rFonts w:hint="eastAsia" w:cs="仿宋_GB2312"/>
          <w:bCs/>
          <w:sz w:val="24"/>
        </w:rPr>
        <w:t>（二）结算方式：合同签订后，每月据实结算，每月制作的标识标牌安装至甲方指定地点并验收合格后，支付当月货物费用，年度采购不超过预算最高限价（北大街院区30万元；经开院区20万元）。</w:t>
      </w:r>
    </w:p>
    <w:p w14:paraId="2AD25E83">
      <w:pPr>
        <w:adjustRightInd w:val="0"/>
        <w:snapToGrid w:val="0"/>
        <w:spacing w:line="384" w:lineRule="auto"/>
        <w:ind w:firstLine="480" w:firstLineChars="200"/>
        <w:rPr>
          <w:rFonts w:cs="仿宋_GB2312"/>
          <w:bCs/>
          <w:sz w:val="24"/>
        </w:rPr>
      </w:pPr>
      <w:r>
        <w:rPr>
          <w:rFonts w:hint="eastAsia" w:cs="仿宋_GB2312"/>
          <w:bCs/>
          <w:sz w:val="24"/>
        </w:rPr>
        <w:t>（三）乙方应于甲方每次付款前持验收合格书、合规发票（按本次结算总价开给甲方）、成交通知书、服务合同、付款申请与甲方结算。如乙方未提供上述任何材料之一的，甲方有权拒付合同款项，且无需承担任何责任。</w:t>
      </w:r>
    </w:p>
    <w:p w14:paraId="603E3F55">
      <w:pPr>
        <w:adjustRightInd w:val="0"/>
        <w:snapToGrid w:val="0"/>
        <w:spacing w:line="384" w:lineRule="auto"/>
        <w:ind w:firstLine="480" w:firstLineChars="200"/>
        <w:rPr>
          <w:rFonts w:cs="仿宋_GB2312"/>
          <w:bCs/>
          <w:sz w:val="24"/>
        </w:rPr>
      </w:pPr>
      <w:r>
        <w:rPr>
          <w:rFonts w:hint="eastAsia" w:cs="仿宋_GB2312"/>
          <w:bCs/>
          <w:sz w:val="24"/>
        </w:rPr>
        <w:t>（四）支付方式：银行转帐。乙方保证其提供的账号准确无误，若在合同履行期间发生变更，乙方需及时书面通知甲方，否则由此产生的后果由乙方承担。</w:t>
      </w:r>
    </w:p>
    <w:p w14:paraId="2C2F556A">
      <w:pPr>
        <w:adjustRightInd w:val="0"/>
        <w:snapToGrid w:val="0"/>
        <w:spacing w:line="384" w:lineRule="auto"/>
        <w:ind w:firstLine="482" w:firstLineChars="200"/>
        <w:rPr>
          <w:rFonts w:cs="仿宋_GB2312"/>
          <w:bCs/>
          <w:sz w:val="24"/>
        </w:rPr>
      </w:pPr>
      <w:r>
        <w:rPr>
          <w:rFonts w:hint="eastAsia" w:cs="仿宋_GB2312"/>
          <w:b/>
          <w:sz w:val="24"/>
        </w:rPr>
        <w:t>四、服务地点、服务期限</w:t>
      </w:r>
    </w:p>
    <w:p w14:paraId="30C36071">
      <w:pPr>
        <w:adjustRightInd w:val="0"/>
        <w:snapToGrid w:val="0"/>
        <w:spacing w:line="384" w:lineRule="auto"/>
        <w:ind w:firstLine="480" w:firstLineChars="200"/>
        <w:rPr>
          <w:rFonts w:cs="仿宋_GB2312"/>
          <w:bCs/>
          <w:sz w:val="24"/>
        </w:rPr>
      </w:pPr>
      <w:r>
        <w:rPr>
          <w:rFonts w:hint="eastAsia" w:cs="仿宋_GB2312"/>
          <w:bCs/>
          <w:sz w:val="24"/>
        </w:rPr>
        <w:t>（一）服务地点：甲方指定地点。</w:t>
      </w:r>
    </w:p>
    <w:p w14:paraId="0E1FF461">
      <w:pPr>
        <w:adjustRightInd w:val="0"/>
        <w:snapToGrid w:val="0"/>
        <w:spacing w:line="384" w:lineRule="auto"/>
        <w:ind w:firstLine="480" w:firstLineChars="200"/>
        <w:rPr>
          <w:rFonts w:cs="仿宋_GB2312"/>
          <w:bCs/>
          <w:sz w:val="24"/>
        </w:rPr>
      </w:pPr>
      <w:r>
        <w:rPr>
          <w:rFonts w:hint="eastAsia" w:cs="仿宋_GB2312"/>
          <w:bCs/>
          <w:sz w:val="24"/>
        </w:rPr>
        <w:t>（二）服务期限：</w:t>
      </w:r>
      <w:r>
        <w:rPr>
          <w:rFonts w:hint="eastAsia" w:cs="仿宋_GB2312"/>
          <w:bCs/>
          <w:sz w:val="24"/>
          <w:u w:val="single"/>
        </w:rPr>
        <w:t xml:space="preserve">  年  月  日至  年  月  日止</w:t>
      </w:r>
      <w:r>
        <w:rPr>
          <w:rFonts w:hint="eastAsia" w:cs="仿宋_GB2312"/>
          <w:bCs/>
          <w:sz w:val="24"/>
        </w:rPr>
        <w:t>，在此期间甲方所需产品，乙方必须在接到产品需求后5天内送到甲方指定地点并完成产品的安装、调试、验收合格并正常使用，每延迟一天按500元向甲方支付违约金，延迟超过【2】天视为乙方根本违约，甲方有权单方解除本合同，自解除通知书送达乙方时本合同解除，同时按照本合同第九条第（二）款之约定追究乙方的违约责任。</w:t>
      </w:r>
    </w:p>
    <w:p w14:paraId="70141D62">
      <w:pPr>
        <w:adjustRightInd w:val="0"/>
        <w:snapToGrid w:val="0"/>
        <w:spacing w:line="384" w:lineRule="auto"/>
        <w:ind w:firstLine="482" w:firstLineChars="200"/>
        <w:rPr>
          <w:rFonts w:cs="仿宋_GB2312"/>
          <w:b/>
          <w:sz w:val="24"/>
        </w:rPr>
      </w:pPr>
      <w:r>
        <w:rPr>
          <w:rFonts w:hint="eastAsia" w:cs="仿宋_GB2312"/>
          <w:b/>
          <w:sz w:val="24"/>
        </w:rPr>
        <w:t>五、验收</w:t>
      </w:r>
    </w:p>
    <w:p w14:paraId="43EBDE7A">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（一）产品到达甲方指定地点后，甲方根据招标文件及合同要求，对产品进行外观、规格、型号、材质和数量进行验收。对于不符合合同约定的产品，甲方可以拒收，且交货期不顺延。</w:t>
      </w:r>
    </w:p>
    <w:p w14:paraId="5AC60A8C">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（二）验收依据：</w:t>
      </w:r>
    </w:p>
    <w:p w14:paraId="5A14B8AB">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1.竞争性磋商文件、竞争性磋商响应文件；</w:t>
      </w:r>
    </w:p>
    <w:p w14:paraId="137705BB">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2.本合同及附件文本；</w:t>
      </w:r>
    </w:p>
    <w:p w14:paraId="5998A68C">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3.合同签订时国家及行业现行的标准和技术规范。</w:t>
      </w:r>
    </w:p>
    <w:p w14:paraId="74C9A79B">
      <w:pPr>
        <w:adjustRightInd w:val="0"/>
        <w:snapToGrid w:val="0"/>
        <w:spacing w:line="384" w:lineRule="auto"/>
        <w:ind w:firstLine="482" w:firstLineChars="200"/>
        <w:rPr>
          <w:rFonts w:cs="仿宋_GB2312"/>
          <w:b/>
          <w:bCs/>
          <w:sz w:val="24"/>
        </w:rPr>
      </w:pPr>
      <w:r>
        <w:rPr>
          <w:rFonts w:hint="eastAsia" w:cs="仿宋_GB2312"/>
          <w:b/>
          <w:bCs/>
          <w:sz w:val="24"/>
        </w:rPr>
        <w:t>六、双方的权利和义务</w:t>
      </w:r>
    </w:p>
    <w:p w14:paraId="2A0E9678">
      <w:pPr>
        <w:adjustRightInd w:val="0"/>
        <w:snapToGrid w:val="0"/>
        <w:spacing w:line="384" w:lineRule="auto"/>
        <w:ind w:firstLine="480" w:firstLineChars="200"/>
        <w:rPr>
          <w:rFonts w:cs="仿宋_GB2312"/>
          <w:bCs/>
          <w:sz w:val="24"/>
        </w:rPr>
      </w:pPr>
      <w:r>
        <w:rPr>
          <w:rFonts w:hint="eastAsia" w:cs="仿宋_GB2312"/>
          <w:bCs/>
          <w:sz w:val="24"/>
        </w:rPr>
        <w:t>（一）甲方的权利和义务</w:t>
      </w:r>
    </w:p>
    <w:p w14:paraId="238D7B75">
      <w:pPr>
        <w:adjustRightInd w:val="0"/>
        <w:snapToGrid w:val="0"/>
        <w:spacing w:line="384" w:lineRule="auto"/>
        <w:ind w:firstLine="480" w:firstLineChars="200"/>
        <w:rPr>
          <w:rFonts w:cs="仿宋_GB2312"/>
          <w:bCs/>
          <w:sz w:val="24"/>
        </w:rPr>
      </w:pPr>
      <w:r>
        <w:rPr>
          <w:rFonts w:hint="eastAsia" w:cs="仿宋_GB2312"/>
          <w:bCs/>
          <w:sz w:val="24"/>
        </w:rPr>
        <w:t>1、甲方有义务配合乙方收货。有权对乙方的设计提出建议和修改意见。甲方认为制作标识标牌不达标的，乙方应配合免费重新制作。</w:t>
      </w:r>
    </w:p>
    <w:p w14:paraId="00E3578F">
      <w:pPr>
        <w:adjustRightInd w:val="0"/>
        <w:snapToGrid w:val="0"/>
        <w:spacing w:line="384" w:lineRule="auto"/>
        <w:ind w:firstLine="480" w:firstLineChars="200"/>
        <w:rPr>
          <w:rFonts w:cs="仿宋_GB2312"/>
          <w:bCs/>
          <w:sz w:val="24"/>
        </w:rPr>
      </w:pPr>
      <w:r>
        <w:rPr>
          <w:rFonts w:hint="eastAsia" w:cs="仿宋_GB2312"/>
          <w:bCs/>
          <w:sz w:val="24"/>
        </w:rPr>
        <w:t>2、甲方在使用时若发现有质量不合格或数量不符的，甲方有权选择退回乙方货物或要求乙方补足短缺数量，其间所产生的费用（包括但不限于运输、安装、维修等）由乙方承担。</w:t>
      </w:r>
    </w:p>
    <w:p w14:paraId="25DFB273">
      <w:pPr>
        <w:adjustRightInd w:val="0"/>
        <w:snapToGrid w:val="0"/>
        <w:spacing w:line="384" w:lineRule="auto"/>
        <w:ind w:firstLine="480" w:firstLineChars="200"/>
        <w:rPr>
          <w:rFonts w:cs="仿宋_GB2312"/>
          <w:bCs/>
          <w:sz w:val="24"/>
        </w:rPr>
      </w:pPr>
      <w:r>
        <w:rPr>
          <w:rFonts w:hint="eastAsia" w:cs="仿宋_GB2312"/>
          <w:bCs/>
          <w:sz w:val="24"/>
        </w:rPr>
        <w:t>（二）乙方的权利和义务</w:t>
      </w:r>
    </w:p>
    <w:p w14:paraId="2C570427">
      <w:pPr>
        <w:adjustRightInd w:val="0"/>
        <w:snapToGrid w:val="0"/>
        <w:spacing w:line="384" w:lineRule="auto"/>
        <w:ind w:firstLine="480" w:firstLineChars="200"/>
        <w:rPr>
          <w:rFonts w:cs="仿宋_GB2312"/>
          <w:bCs/>
          <w:sz w:val="24"/>
        </w:rPr>
      </w:pPr>
      <w:r>
        <w:rPr>
          <w:rFonts w:hint="eastAsia" w:cs="仿宋_GB2312"/>
          <w:bCs/>
          <w:sz w:val="24"/>
        </w:rPr>
        <w:t>1、乙方的服务应及时有效，不得影响甲方日常生活及工作；乙方应全力配合甲方的工作。为便于乙方掌握甲方制作要求，乙方应安排专门人员与甲方的项目主管人员对接、沟通相关内容，并由该专门人员负责为甲方提供服务联系等。如有更换，乙方须以书面形式通知甲方。</w:t>
      </w:r>
    </w:p>
    <w:p w14:paraId="41412448">
      <w:pPr>
        <w:adjustRightInd w:val="0"/>
        <w:snapToGrid w:val="0"/>
        <w:spacing w:line="384" w:lineRule="auto"/>
        <w:ind w:firstLine="480" w:firstLineChars="200"/>
        <w:rPr>
          <w:rFonts w:cs="仿宋_GB2312"/>
          <w:bCs/>
          <w:sz w:val="24"/>
        </w:rPr>
      </w:pPr>
      <w:r>
        <w:rPr>
          <w:rFonts w:hint="eastAsia" w:cs="仿宋_GB2312"/>
          <w:bCs/>
          <w:sz w:val="24"/>
        </w:rPr>
        <w:t>2、乙方有义务根据合同要求保质保量按时供货。甲方需求制作的各类标识导视设计、制作等，乙方应按照甲方要求（包括但不限于设计、材质、时间、安装方式、修复要求等）提供安装、拆卸等服务。</w:t>
      </w:r>
    </w:p>
    <w:p w14:paraId="6C6E2C1F">
      <w:pPr>
        <w:adjustRightInd w:val="0"/>
        <w:snapToGrid w:val="0"/>
        <w:spacing w:line="384" w:lineRule="auto"/>
        <w:ind w:firstLine="480" w:firstLineChars="200"/>
        <w:rPr>
          <w:rFonts w:cs="仿宋_GB2312"/>
          <w:bCs/>
          <w:sz w:val="24"/>
        </w:rPr>
      </w:pPr>
      <w:r>
        <w:rPr>
          <w:rFonts w:hint="eastAsia" w:cs="仿宋_GB2312"/>
          <w:bCs/>
          <w:sz w:val="24"/>
        </w:rPr>
        <w:t>3、乙方在接到甲方的制作需求后，并将设计发送甲方修改、审定，经甲方确认后，方可进行制作。乙方须按照甲方要求地点进行安装。标识标牌安装、调试时的工作人员人身安全由乙方承担。</w:t>
      </w:r>
    </w:p>
    <w:p w14:paraId="37123687">
      <w:pPr>
        <w:adjustRightInd w:val="0"/>
        <w:snapToGrid w:val="0"/>
        <w:spacing w:line="384" w:lineRule="auto"/>
        <w:ind w:firstLine="480" w:firstLineChars="200"/>
        <w:rPr>
          <w:rFonts w:cs="仿宋_GB2312"/>
          <w:bCs/>
          <w:sz w:val="24"/>
        </w:rPr>
      </w:pPr>
      <w:r>
        <w:rPr>
          <w:rFonts w:hint="eastAsia" w:cs="仿宋_GB2312"/>
          <w:bCs/>
          <w:sz w:val="24"/>
        </w:rPr>
        <w:t>4、乙方有义务为甲方提供优质产品和售后服务，并按约定送货等。乙方有权拒绝甲方在供货过程中的任何非法要求。由于乙方在供货过程中引发的一切事故，乙方应承担由此造成的一切人身或财产损失，给甲方造成损失的，甲方有权向乙方进行追偿（包括但不限于甲方为此支付的律师费、保全费、差旅费、财产保全保险费等费用）。</w:t>
      </w:r>
    </w:p>
    <w:p w14:paraId="6138D98B">
      <w:pPr>
        <w:adjustRightInd w:val="0"/>
        <w:snapToGrid w:val="0"/>
        <w:spacing w:line="384" w:lineRule="auto"/>
        <w:ind w:firstLine="482" w:firstLineChars="200"/>
        <w:rPr>
          <w:rFonts w:cs="仿宋_GB2312"/>
          <w:b/>
          <w:bCs/>
          <w:sz w:val="24"/>
        </w:rPr>
      </w:pPr>
      <w:r>
        <w:rPr>
          <w:rFonts w:hint="eastAsia" w:cs="仿宋_GB2312"/>
          <w:b/>
          <w:bCs/>
          <w:sz w:val="24"/>
        </w:rPr>
        <w:t>七、质量保证</w:t>
      </w:r>
    </w:p>
    <w:p w14:paraId="385C4481">
      <w:pPr>
        <w:adjustRightInd w:val="0"/>
        <w:snapToGrid w:val="0"/>
        <w:spacing w:line="384" w:lineRule="auto"/>
        <w:ind w:firstLine="480" w:firstLineChars="200"/>
        <w:rPr>
          <w:rFonts w:cs="仿宋_GB2312"/>
          <w:bCs/>
          <w:sz w:val="24"/>
        </w:rPr>
      </w:pPr>
      <w:r>
        <w:rPr>
          <w:rFonts w:hint="eastAsia" w:cs="仿宋_GB2312"/>
          <w:bCs/>
          <w:sz w:val="24"/>
        </w:rPr>
        <w:t>乙方所供货物必须执行下列条款：</w:t>
      </w:r>
    </w:p>
    <w:p w14:paraId="6B3A62D0">
      <w:pPr>
        <w:adjustRightInd w:val="0"/>
        <w:snapToGrid w:val="0"/>
        <w:spacing w:line="384" w:lineRule="auto"/>
        <w:rPr>
          <w:rFonts w:cs="仿宋_GB2312"/>
          <w:bCs/>
          <w:sz w:val="24"/>
        </w:rPr>
      </w:pPr>
      <w:r>
        <w:rPr>
          <w:rFonts w:hint="eastAsia" w:cs="仿宋_GB2312"/>
          <w:bCs/>
          <w:sz w:val="24"/>
        </w:rPr>
        <w:t>（一）品质要求</w:t>
      </w:r>
    </w:p>
    <w:p w14:paraId="239C477A">
      <w:pPr>
        <w:adjustRightInd w:val="0"/>
        <w:snapToGrid w:val="0"/>
        <w:spacing w:line="384" w:lineRule="auto"/>
        <w:ind w:firstLine="480" w:firstLineChars="200"/>
        <w:rPr>
          <w:rFonts w:cs="仿宋_GB2312"/>
          <w:bCs/>
          <w:sz w:val="24"/>
        </w:rPr>
      </w:pPr>
      <w:r>
        <w:rPr>
          <w:rFonts w:hint="eastAsia" w:cs="仿宋_GB2312"/>
          <w:bCs/>
          <w:sz w:val="24"/>
        </w:rPr>
        <w:t>标识标牌等产品表面应平整光滑，无裂缝、变形、毛刺、划痕等明显瑕疵。颜色均匀，无气泡等现象，制作的产品需自然美观。</w:t>
      </w:r>
    </w:p>
    <w:p w14:paraId="323BEB6F">
      <w:pPr>
        <w:adjustRightInd w:val="0"/>
        <w:snapToGrid w:val="0"/>
        <w:spacing w:line="384" w:lineRule="auto"/>
        <w:rPr>
          <w:rFonts w:cs="仿宋_GB2312"/>
          <w:bCs/>
          <w:sz w:val="24"/>
        </w:rPr>
      </w:pPr>
      <w:r>
        <w:rPr>
          <w:rFonts w:hint="eastAsia" w:cs="仿宋_GB2312"/>
          <w:bCs/>
          <w:sz w:val="24"/>
        </w:rPr>
        <w:t>（二）物理性能</w:t>
      </w:r>
    </w:p>
    <w:p w14:paraId="286DF606">
      <w:pPr>
        <w:adjustRightInd w:val="0"/>
        <w:snapToGrid w:val="0"/>
        <w:spacing w:line="384" w:lineRule="auto"/>
        <w:ind w:firstLine="480" w:firstLineChars="200"/>
        <w:rPr>
          <w:rFonts w:cs="仿宋_GB2312"/>
          <w:bCs/>
          <w:sz w:val="24"/>
        </w:rPr>
      </w:pPr>
      <w:r>
        <w:rPr>
          <w:rFonts w:hint="eastAsia" w:cs="仿宋_GB2312"/>
          <w:bCs/>
          <w:sz w:val="24"/>
        </w:rPr>
        <w:t>标识标牌等产品应具有较好的强度、稳定性和耐久性。</w:t>
      </w:r>
    </w:p>
    <w:p w14:paraId="2890AFCF">
      <w:pPr>
        <w:adjustRightInd w:val="0"/>
        <w:snapToGrid w:val="0"/>
        <w:spacing w:line="384" w:lineRule="auto"/>
        <w:rPr>
          <w:rFonts w:cs="仿宋_GB2312"/>
          <w:bCs/>
          <w:sz w:val="24"/>
        </w:rPr>
      </w:pPr>
      <w:r>
        <w:rPr>
          <w:rFonts w:hint="eastAsia" w:cs="仿宋_GB2312"/>
          <w:bCs/>
          <w:sz w:val="24"/>
        </w:rPr>
        <w:t>（三）化学性能</w:t>
      </w:r>
    </w:p>
    <w:p w14:paraId="7F6DB568">
      <w:pPr>
        <w:adjustRightInd w:val="0"/>
        <w:snapToGrid w:val="0"/>
        <w:spacing w:line="384" w:lineRule="auto"/>
        <w:ind w:firstLine="480" w:firstLineChars="200"/>
        <w:rPr>
          <w:rFonts w:cs="仿宋_GB2312"/>
          <w:bCs/>
          <w:sz w:val="24"/>
        </w:rPr>
      </w:pPr>
      <w:r>
        <w:rPr>
          <w:rFonts w:hint="eastAsia" w:cs="仿宋_GB2312"/>
          <w:bCs/>
          <w:sz w:val="24"/>
        </w:rPr>
        <w:t>标识标牌等产品应具有环保性和耐腐蚀性。</w:t>
      </w:r>
    </w:p>
    <w:p w14:paraId="575C4FAE">
      <w:pPr>
        <w:adjustRightInd w:val="0"/>
        <w:snapToGrid w:val="0"/>
        <w:spacing w:line="384" w:lineRule="auto"/>
        <w:rPr>
          <w:rFonts w:cs="仿宋_GB2312"/>
          <w:bCs/>
          <w:sz w:val="24"/>
        </w:rPr>
      </w:pPr>
      <w:r>
        <w:rPr>
          <w:rFonts w:hint="eastAsia" w:cs="仿宋_GB2312"/>
          <w:bCs/>
          <w:sz w:val="24"/>
        </w:rPr>
        <w:t>（四）组成成分</w:t>
      </w:r>
    </w:p>
    <w:p w14:paraId="452D5947">
      <w:pPr>
        <w:adjustRightInd w:val="0"/>
        <w:snapToGrid w:val="0"/>
        <w:spacing w:line="384" w:lineRule="auto"/>
        <w:ind w:firstLine="480" w:firstLineChars="200"/>
        <w:rPr>
          <w:rFonts w:cs="仿宋_GB2312"/>
          <w:bCs/>
          <w:sz w:val="24"/>
        </w:rPr>
      </w:pPr>
      <w:r>
        <w:rPr>
          <w:rFonts w:hint="eastAsia" w:cs="仿宋_GB2312"/>
          <w:bCs/>
          <w:sz w:val="24"/>
        </w:rPr>
        <w:t>1.主体材料：保证强度和美观；符合环保标准。</w:t>
      </w:r>
    </w:p>
    <w:p w14:paraId="7AC75B3E">
      <w:pPr>
        <w:adjustRightInd w:val="0"/>
        <w:snapToGrid w:val="0"/>
        <w:spacing w:line="384" w:lineRule="auto"/>
        <w:ind w:firstLine="480" w:firstLineChars="200"/>
        <w:rPr>
          <w:rFonts w:cs="仿宋_GB2312"/>
          <w:bCs/>
          <w:sz w:val="24"/>
        </w:rPr>
      </w:pPr>
      <w:r>
        <w:rPr>
          <w:rFonts w:hint="eastAsia" w:cs="仿宋_GB2312"/>
          <w:bCs/>
          <w:sz w:val="24"/>
        </w:rPr>
        <w:t>2.辅助材料：胶水应环保、粘性好；配件要质量上乘，材质为不易生锈、腐蚀、褪色等材料。</w:t>
      </w:r>
    </w:p>
    <w:p w14:paraId="4D3E3E4E">
      <w:pPr>
        <w:adjustRightInd w:val="0"/>
        <w:snapToGrid w:val="0"/>
        <w:spacing w:line="384" w:lineRule="auto"/>
        <w:ind w:firstLine="482" w:firstLineChars="200"/>
        <w:rPr>
          <w:rFonts w:cs="仿宋_GB2312"/>
          <w:b/>
          <w:bCs/>
          <w:sz w:val="24"/>
        </w:rPr>
      </w:pPr>
      <w:r>
        <w:rPr>
          <w:rFonts w:hint="eastAsia" w:cs="仿宋_GB2312"/>
          <w:b/>
          <w:bCs/>
          <w:sz w:val="24"/>
        </w:rPr>
        <w:t>八、售后服务</w:t>
      </w:r>
    </w:p>
    <w:p w14:paraId="72144762">
      <w:pPr>
        <w:adjustRightInd w:val="0"/>
        <w:snapToGrid w:val="0"/>
        <w:spacing w:line="384" w:lineRule="auto"/>
        <w:ind w:firstLine="480" w:firstLineChars="200"/>
        <w:rPr>
          <w:rFonts w:cs="仿宋_GB2312"/>
          <w:bCs/>
          <w:sz w:val="24"/>
        </w:rPr>
      </w:pPr>
      <w:r>
        <w:rPr>
          <w:rFonts w:hint="eastAsia" w:cs="仿宋_GB2312"/>
          <w:bCs/>
          <w:sz w:val="24"/>
        </w:rPr>
        <w:t>乙方提供以下售后服务：</w:t>
      </w:r>
    </w:p>
    <w:p w14:paraId="13E64369">
      <w:pPr>
        <w:adjustRightInd w:val="0"/>
        <w:snapToGrid w:val="0"/>
        <w:spacing w:line="384" w:lineRule="auto"/>
        <w:ind w:firstLine="480" w:firstLineChars="200"/>
        <w:rPr>
          <w:rFonts w:cs="仿宋_GB2312"/>
          <w:bCs/>
          <w:sz w:val="24"/>
        </w:rPr>
      </w:pPr>
      <w:r>
        <w:rPr>
          <w:rFonts w:hint="eastAsia" w:cs="仿宋_GB2312"/>
          <w:bCs/>
          <w:sz w:val="24"/>
        </w:rPr>
        <w:t>（一）乙方必须根据甲方要求制作标识标牌等产品，所有产品必须符合国家相关法律或行业标准的相关规定，所有产品的做工、材质要与甲方要求相一致，大小规格要严格按行业规范标准执行，存在争议时甲方享有最高解释权。</w:t>
      </w:r>
    </w:p>
    <w:p w14:paraId="17127E65">
      <w:pPr>
        <w:adjustRightInd w:val="0"/>
        <w:snapToGrid w:val="0"/>
        <w:spacing w:line="384" w:lineRule="auto"/>
        <w:ind w:firstLine="480" w:firstLineChars="200"/>
        <w:rPr>
          <w:rFonts w:cs="仿宋_GB2312"/>
          <w:bCs/>
          <w:sz w:val="24"/>
        </w:rPr>
      </w:pPr>
      <w:r>
        <w:rPr>
          <w:rFonts w:hint="eastAsia" w:cs="仿宋_GB2312"/>
          <w:bCs/>
          <w:sz w:val="24"/>
        </w:rPr>
        <w:t>（二）乙方须按甲方的要求在规定的时间内送货上门到指定地点。在质保期内发生质量问题的产品，供应商须在接到通知后48小时以内进行更换或退换，确保所提供的产品合格率达到100%，并对造成的损失承担赔偿责任。</w:t>
      </w:r>
    </w:p>
    <w:p w14:paraId="5C3076A2">
      <w:pPr>
        <w:adjustRightInd w:val="0"/>
        <w:snapToGrid w:val="0"/>
        <w:spacing w:line="384" w:lineRule="auto"/>
        <w:ind w:firstLine="480" w:firstLineChars="200"/>
        <w:rPr>
          <w:rFonts w:cs="仿宋_GB2312"/>
          <w:bCs/>
          <w:sz w:val="24"/>
        </w:rPr>
      </w:pPr>
      <w:r>
        <w:rPr>
          <w:rFonts w:hint="eastAsia" w:cs="仿宋_GB2312"/>
          <w:bCs/>
          <w:sz w:val="24"/>
        </w:rPr>
        <w:t>（三）乙方必须制定安全、有效的特殊情况应急预案，以确保产品的供给。乙方须设有固定的经营场所，具有足够服务人员数量、仓储及配送能力，进行本地化相关服务。</w:t>
      </w:r>
    </w:p>
    <w:p w14:paraId="593B8556">
      <w:pPr>
        <w:adjustRightInd w:val="0"/>
        <w:snapToGrid w:val="0"/>
        <w:spacing w:line="384" w:lineRule="auto"/>
        <w:ind w:firstLine="480" w:firstLineChars="200"/>
        <w:rPr>
          <w:rFonts w:cs="仿宋_GB2312"/>
          <w:bCs/>
          <w:sz w:val="24"/>
        </w:rPr>
      </w:pPr>
      <w:r>
        <w:rPr>
          <w:rFonts w:hint="eastAsia" w:cs="仿宋_GB2312"/>
          <w:bCs/>
          <w:sz w:val="24"/>
        </w:rPr>
        <w:t>（四）产品质保期：自验收合格之日起1年质保。</w:t>
      </w:r>
    </w:p>
    <w:p w14:paraId="7C657125">
      <w:pPr>
        <w:adjustRightInd w:val="0"/>
        <w:snapToGrid w:val="0"/>
        <w:spacing w:line="384" w:lineRule="auto"/>
        <w:ind w:firstLine="480" w:firstLineChars="200"/>
      </w:pPr>
      <w:r>
        <w:rPr>
          <w:rFonts w:hint="eastAsia" w:cs="仿宋_GB2312"/>
          <w:bCs/>
          <w:sz w:val="24"/>
        </w:rPr>
        <w:t>（五）服务承诺：以投标文件、澄清表（函）、合同和随货物的相关文件为准。</w:t>
      </w:r>
    </w:p>
    <w:p w14:paraId="089B7C89">
      <w:pPr>
        <w:adjustRightInd w:val="0"/>
        <w:snapToGrid w:val="0"/>
        <w:spacing w:line="384" w:lineRule="auto"/>
        <w:ind w:firstLine="482" w:firstLineChars="200"/>
        <w:rPr>
          <w:rFonts w:cs="仿宋_GB2312"/>
          <w:bCs/>
          <w:sz w:val="24"/>
        </w:rPr>
      </w:pPr>
      <w:r>
        <w:rPr>
          <w:rFonts w:hint="eastAsia" w:cs="仿宋_GB2312"/>
          <w:b/>
          <w:sz w:val="24"/>
        </w:rPr>
        <w:t>九、违约责任</w:t>
      </w:r>
    </w:p>
    <w:p w14:paraId="3CA28CF5">
      <w:pPr>
        <w:adjustRightInd w:val="0"/>
        <w:snapToGrid w:val="0"/>
        <w:spacing w:line="384" w:lineRule="auto"/>
        <w:ind w:firstLine="480" w:firstLineChars="200"/>
        <w:rPr>
          <w:rFonts w:cs="仿宋_GB2312"/>
          <w:bCs/>
          <w:sz w:val="24"/>
        </w:rPr>
      </w:pPr>
      <w:r>
        <w:rPr>
          <w:rFonts w:hint="eastAsia" w:cs="仿宋_GB2312"/>
          <w:bCs/>
          <w:sz w:val="24"/>
        </w:rPr>
        <w:t>（一）按《中华人民共和国民法典》中的相关条款执行。</w:t>
      </w:r>
    </w:p>
    <w:p w14:paraId="5D6FCC25">
      <w:pPr>
        <w:adjustRightInd w:val="0"/>
        <w:snapToGrid w:val="0"/>
        <w:spacing w:line="384" w:lineRule="auto"/>
        <w:ind w:firstLine="480" w:firstLineChars="200"/>
        <w:rPr>
          <w:rFonts w:cs="仿宋_GB2312"/>
          <w:bCs/>
          <w:sz w:val="24"/>
        </w:rPr>
      </w:pPr>
      <w:r>
        <w:rPr>
          <w:rFonts w:hint="eastAsia" w:cs="仿宋_GB2312"/>
          <w:bCs/>
          <w:sz w:val="24"/>
        </w:rPr>
        <w:t>（二）未按合同要求提供服务或服务质量不能满足本次采购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449A5845">
      <w:pPr>
        <w:adjustRightInd w:val="0"/>
        <w:snapToGrid w:val="0"/>
        <w:spacing w:line="384" w:lineRule="auto"/>
        <w:ind w:firstLine="480" w:firstLineChars="200"/>
        <w:rPr>
          <w:rFonts w:cs="仿宋_GB2312"/>
          <w:bCs/>
          <w:sz w:val="24"/>
        </w:rPr>
      </w:pPr>
      <w:r>
        <w:rPr>
          <w:rFonts w:hint="eastAsia" w:cs="仿宋_GB2312"/>
          <w:bCs/>
          <w:sz w:val="24"/>
        </w:rPr>
        <w:t>1、乙方赔偿甲方解除合同的全部损失（包括但不限于重新采购产生的费用、合同未履行导致货物不能按规划交付使用可能产生的租赁费用及其它由此造成的甲方对第三方的违约损失）；</w:t>
      </w:r>
    </w:p>
    <w:p w14:paraId="2E416D5E">
      <w:pPr>
        <w:adjustRightInd w:val="0"/>
        <w:snapToGrid w:val="0"/>
        <w:spacing w:line="384" w:lineRule="auto"/>
        <w:ind w:firstLine="480" w:firstLineChars="200"/>
        <w:rPr>
          <w:rFonts w:hint="eastAsia" w:ascii="宋体" w:hAnsi="宋体" w:eastAsia="宋体" w:cs="宋体"/>
          <w:bCs/>
          <w:sz w:val="24"/>
        </w:rPr>
      </w:pPr>
      <w:r>
        <w:rPr>
          <w:rFonts w:hint="eastAsia" w:ascii="宋体" w:hAnsi="宋体" w:eastAsia="宋体" w:cs="宋体"/>
          <w:bCs/>
          <w:sz w:val="24"/>
        </w:rPr>
        <w:t>2、乙方支付甲方违约金，违约金计算方法：以甲方已支付货款为基数，支付30%为违约金。</w:t>
      </w:r>
    </w:p>
    <w:p w14:paraId="7BF6434F">
      <w:pPr>
        <w:adjustRightInd w:val="0"/>
        <w:snapToGrid w:val="0"/>
        <w:spacing w:line="384" w:lineRule="auto"/>
        <w:ind w:firstLine="482" w:firstLineChars="200"/>
        <w:rPr>
          <w:rFonts w:cs="仿宋_GB2312"/>
          <w:b/>
          <w:sz w:val="24"/>
        </w:rPr>
      </w:pPr>
      <w:r>
        <w:rPr>
          <w:rFonts w:hint="eastAsia" w:cs="仿宋_GB2312"/>
          <w:b/>
          <w:sz w:val="24"/>
        </w:rPr>
        <w:t>十、其他事项</w:t>
      </w:r>
    </w:p>
    <w:p w14:paraId="23B8CC44">
      <w:pPr>
        <w:adjustRightInd w:val="0"/>
        <w:snapToGrid w:val="0"/>
        <w:spacing w:line="384" w:lineRule="auto"/>
        <w:ind w:firstLine="480" w:firstLineChars="200"/>
        <w:rPr>
          <w:rFonts w:cs="仿宋_GB2312"/>
          <w:sz w:val="24"/>
        </w:rPr>
      </w:pPr>
      <w:r>
        <w:rPr>
          <w:rFonts w:hint="eastAsia" w:cs="仿宋_GB2312"/>
          <w:sz w:val="24"/>
        </w:rPr>
        <w:t>（一）乙方不得转让、分包给其它单位或个人；</w:t>
      </w:r>
    </w:p>
    <w:p w14:paraId="5E6F6314">
      <w:pPr>
        <w:adjustRightInd w:val="0"/>
        <w:snapToGrid w:val="0"/>
        <w:spacing w:line="384" w:lineRule="auto"/>
        <w:ind w:firstLine="480" w:firstLineChars="200"/>
        <w:rPr>
          <w:rFonts w:cs="仿宋_GB2312"/>
          <w:sz w:val="24"/>
        </w:rPr>
      </w:pPr>
      <w:r>
        <w:rPr>
          <w:rFonts w:hint="eastAsia" w:cs="仿宋_GB2312"/>
          <w:sz w:val="24"/>
        </w:rPr>
        <w:t>（二）乙方的竞争性磋商响应文件和承诺等内容将列入合同。</w:t>
      </w:r>
    </w:p>
    <w:p w14:paraId="001A02B3">
      <w:pPr>
        <w:adjustRightInd w:val="0"/>
        <w:snapToGrid w:val="0"/>
        <w:spacing w:line="384" w:lineRule="auto"/>
        <w:ind w:firstLine="482" w:firstLineChars="200"/>
        <w:rPr>
          <w:rFonts w:cs="仿宋_GB2312"/>
          <w:b/>
          <w:sz w:val="24"/>
        </w:rPr>
      </w:pPr>
      <w:r>
        <w:rPr>
          <w:rFonts w:hint="eastAsia" w:cs="仿宋_GB2312"/>
          <w:b/>
          <w:sz w:val="24"/>
        </w:rPr>
        <w:t>十一、合同争议解决的方式</w:t>
      </w:r>
    </w:p>
    <w:p w14:paraId="3329CBA1">
      <w:pPr>
        <w:adjustRightInd w:val="0"/>
        <w:snapToGrid w:val="0"/>
        <w:spacing w:line="384" w:lineRule="auto"/>
        <w:ind w:firstLine="480" w:firstLineChars="200"/>
        <w:rPr>
          <w:sz w:val="24"/>
        </w:rPr>
      </w:pPr>
      <w:r>
        <w:rPr>
          <w:rFonts w:hint="eastAsia" w:cs="仿宋_GB2312"/>
          <w:bCs/>
          <w:sz w:val="24"/>
        </w:rPr>
        <w:t>本合同在履行过程中发生的争议，由甲、乙双方当事人协商解决。协商不成的依法向甲方所在地人民法院提起诉讼。</w:t>
      </w:r>
    </w:p>
    <w:p w14:paraId="5092989E">
      <w:pPr>
        <w:adjustRightInd w:val="0"/>
        <w:snapToGrid w:val="0"/>
        <w:spacing w:line="384" w:lineRule="auto"/>
        <w:ind w:firstLine="482" w:firstLineChars="200"/>
        <w:rPr>
          <w:rFonts w:cs="仿宋_GB2312"/>
          <w:bCs/>
          <w:sz w:val="24"/>
        </w:rPr>
      </w:pPr>
      <w:r>
        <w:rPr>
          <w:rFonts w:hint="eastAsia" w:cs="仿宋_GB2312"/>
          <w:b/>
          <w:sz w:val="24"/>
        </w:rPr>
        <w:t>十二、合同生效</w:t>
      </w:r>
    </w:p>
    <w:p w14:paraId="0E6FD555">
      <w:pPr>
        <w:adjustRightInd w:val="0"/>
        <w:snapToGrid w:val="0"/>
        <w:spacing w:line="384" w:lineRule="auto"/>
        <w:ind w:firstLine="480" w:firstLineChars="200"/>
        <w:rPr>
          <w:rFonts w:cs="仿宋_GB2312"/>
          <w:bCs/>
          <w:sz w:val="24"/>
        </w:rPr>
      </w:pPr>
      <w:r>
        <w:rPr>
          <w:rFonts w:cs="仿宋_GB2312"/>
          <w:bCs/>
          <w:sz w:val="24"/>
        </w:rPr>
        <w:t>1</w:t>
      </w:r>
      <w:r>
        <w:rPr>
          <w:rFonts w:hint="eastAsia" w:cs="仿宋_GB2312"/>
          <w:bCs/>
          <w:sz w:val="24"/>
        </w:rPr>
        <w:t>、本合同经双方签字盖章后生效。</w:t>
      </w:r>
    </w:p>
    <w:p w14:paraId="6C98CB5E">
      <w:pPr>
        <w:adjustRightInd w:val="0"/>
        <w:snapToGrid w:val="0"/>
        <w:spacing w:line="384" w:lineRule="auto"/>
        <w:ind w:firstLine="480" w:firstLineChars="200"/>
        <w:rPr>
          <w:rFonts w:cs="仿宋_GB2312"/>
          <w:bCs/>
          <w:sz w:val="24"/>
        </w:rPr>
      </w:pPr>
      <w:r>
        <w:rPr>
          <w:rFonts w:cs="仿宋_GB2312"/>
          <w:bCs/>
          <w:sz w:val="24"/>
        </w:rPr>
        <w:t>2</w:t>
      </w:r>
      <w:r>
        <w:rPr>
          <w:rFonts w:hint="eastAsia" w:cs="仿宋_GB2312"/>
          <w:bCs/>
          <w:sz w:val="24"/>
        </w:rPr>
        <w:t>、本合同须经甲、乙双方的法定代表人（或负责人）（授权代理人）在合同书上签字并加盖本单位公章后正实生效。合同执行完毕后，自动终止（合同的服务承诺则长期有效）。</w:t>
      </w:r>
    </w:p>
    <w:p w14:paraId="0E77629D">
      <w:pPr>
        <w:adjustRightInd w:val="0"/>
        <w:snapToGrid w:val="0"/>
        <w:spacing w:line="384" w:lineRule="auto"/>
        <w:ind w:firstLine="480" w:firstLineChars="200"/>
        <w:rPr>
          <w:rFonts w:cs="仿宋_GB2312"/>
          <w:bCs/>
          <w:sz w:val="24"/>
        </w:rPr>
      </w:pPr>
      <w:r>
        <w:rPr>
          <w:rFonts w:cs="仿宋_GB2312"/>
          <w:bCs/>
          <w:sz w:val="24"/>
        </w:rPr>
        <w:t>3</w:t>
      </w:r>
      <w:r>
        <w:rPr>
          <w:rFonts w:hint="eastAsia" w:cs="仿宋_GB2312"/>
          <w:bCs/>
          <w:sz w:val="24"/>
        </w:rPr>
        <w:t>、合同生效后，甲、乙双方须严格执行本合同条款的规定，全面履行合同，违者按《中华人民共和国民法典》的有关规定承担相应责任。</w:t>
      </w:r>
    </w:p>
    <w:p w14:paraId="17A555B7">
      <w:pPr>
        <w:adjustRightInd w:val="0"/>
        <w:snapToGrid w:val="0"/>
        <w:spacing w:line="384" w:lineRule="auto"/>
        <w:ind w:firstLine="480" w:firstLineChars="200"/>
        <w:rPr>
          <w:rFonts w:cs="仿宋_GB2312"/>
          <w:bCs/>
          <w:sz w:val="24"/>
        </w:rPr>
      </w:pPr>
      <w:r>
        <w:rPr>
          <w:rFonts w:hint="eastAsia" w:cs="仿宋_GB2312"/>
          <w:bCs/>
          <w:sz w:val="24"/>
        </w:rPr>
        <w:t>4、本合同一式</w:t>
      </w:r>
      <w:r>
        <w:rPr>
          <w:rFonts w:hint="eastAsia" w:cs="仿宋_GB2312"/>
          <w:bCs/>
          <w:sz w:val="24"/>
          <w:u w:val="single"/>
        </w:rPr>
        <w:t>陆</w:t>
      </w:r>
      <w:r>
        <w:rPr>
          <w:rFonts w:hint="eastAsia" w:cs="仿宋_GB2312"/>
          <w:bCs/>
          <w:sz w:val="24"/>
        </w:rPr>
        <w:t>份，具有同等法律效力，甲方执</w:t>
      </w:r>
      <w:r>
        <w:rPr>
          <w:rFonts w:hint="eastAsia" w:cs="仿宋_GB2312"/>
          <w:bCs/>
          <w:sz w:val="24"/>
          <w:u w:val="single"/>
        </w:rPr>
        <w:t>肆</w:t>
      </w:r>
      <w:r>
        <w:rPr>
          <w:rFonts w:hint="eastAsia" w:cs="仿宋_GB2312"/>
          <w:bCs/>
          <w:sz w:val="24"/>
        </w:rPr>
        <w:t>份，乙方执</w:t>
      </w:r>
      <w:r>
        <w:rPr>
          <w:rFonts w:hint="eastAsia" w:cs="仿宋_GB2312"/>
          <w:bCs/>
          <w:sz w:val="24"/>
          <w:u w:val="single"/>
        </w:rPr>
        <w:t>贰</w:t>
      </w:r>
      <w:r>
        <w:rPr>
          <w:rFonts w:hint="eastAsia" w:cs="仿宋_GB2312"/>
          <w:bCs/>
          <w:sz w:val="24"/>
        </w:rPr>
        <w:t>份。</w:t>
      </w:r>
      <w:r>
        <w:rPr>
          <w:rFonts w:cs="仿宋_GB2312"/>
          <w:bCs/>
          <w:sz w:val="24"/>
        </w:rPr>
        <w:t>5</w:t>
      </w:r>
      <w:r>
        <w:rPr>
          <w:rFonts w:hint="eastAsia" w:cs="仿宋_GB2312"/>
          <w:bCs/>
          <w:sz w:val="24"/>
        </w:rPr>
        <w:t>、本合同如有未尽事宜，甲、乙双方协商解决。</w:t>
      </w:r>
    </w:p>
    <w:p w14:paraId="1E45556D">
      <w:pPr>
        <w:ind w:firstLine="480" w:firstLineChars="200"/>
        <w:rPr>
          <w:rFonts w:hint="eastAsia" w:asciiTheme="minorEastAsia" w:hAnsiTheme="minorEastAsia" w:cstheme="minorEastAsia"/>
          <w:sz w:val="24"/>
        </w:rPr>
      </w:pPr>
      <w:r>
        <w:rPr>
          <w:rFonts w:hint="eastAsia" w:cs="仿宋_GB2312"/>
          <w:bCs/>
          <w:sz w:val="24"/>
        </w:rPr>
        <w:t>6、</w:t>
      </w:r>
      <w:r>
        <w:rPr>
          <w:rFonts w:hint="eastAsia" w:asciiTheme="minorEastAsia" w:hAnsiTheme="minorEastAsia" w:cstheme="minorEastAsia"/>
          <w:spacing w:val="1"/>
          <w:sz w:val="24"/>
        </w:rPr>
        <w:t>合同在执行过程中如有未尽事宜，经双方协商，可签订补充合同，补充合同具</w:t>
      </w:r>
      <w:r>
        <w:rPr>
          <w:rFonts w:hint="eastAsia" w:asciiTheme="minorEastAsia" w:hAnsiTheme="minorEastAsia" w:cstheme="minorEastAsia"/>
          <w:spacing w:val="13"/>
          <w:sz w:val="24"/>
        </w:rPr>
        <w:t xml:space="preserve"> </w:t>
      </w:r>
      <w:r>
        <w:rPr>
          <w:rFonts w:hint="eastAsia" w:asciiTheme="minorEastAsia" w:hAnsiTheme="minorEastAsia" w:cstheme="minorEastAsia"/>
          <w:spacing w:val="9"/>
          <w:sz w:val="24"/>
        </w:rPr>
        <w:t>有同等法律效力。</w:t>
      </w:r>
    </w:p>
    <w:p w14:paraId="5C953CF4">
      <w:pPr>
        <w:pStyle w:val="4"/>
        <w:ind w:firstLine="480" w:firstLineChars="200"/>
        <w:rPr>
          <w:sz w:val="24"/>
        </w:rPr>
      </w:pPr>
    </w:p>
    <w:p w14:paraId="38734AB3">
      <w:pPr>
        <w:adjustRightInd w:val="0"/>
        <w:spacing w:line="360" w:lineRule="auto"/>
        <w:rPr>
          <w:rFonts w:cs="仿宋_GB2312"/>
          <w:bCs/>
          <w:sz w:val="24"/>
        </w:rPr>
      </w:pPr>
    </w:p>
    <w:tbl>
      <w:tblPr>
        <w:tblStyle w:val="6"/>
        <w:tblW w:w="8403" w:type="dxa"/>
        <w:jc w:val="center"/>
        <w:tblLayout w:type="fixed"/>
        <w:tblCellMar>
          <w:top w:w="0" w:type="dxa"/>
          <w:left w:w="108" w:type="dxa"/>
          <w:bottom w:w="0" w:type="dxa"/>
          <w:right w:w="108" w:type="dxa"/>
        </w:tblCellMar>
      </w:tblPr>
      <w:tblGrid>
        <w:gridCol w:w="4201"/>
        <w:gridCol w:w="4202"/>
      </w:tblGrid>
      <w:tr w14:paraId="28131B54">
        <w:tblPrEx>
          <w:tblCellMar>
            <w:top w:w="0" w:type="dxa"/>
            <w:left w:w="108" w:type="dxa"/>
            <w:bottom w:w="0" w:type="dxa"/>
            <w:right w:w="108" w:type="dxa"/>
          </w:tblCellMar>
        </w:tblPrEx>
        <w:trPr>
          <w:trHeight w:val="567" w:hRule="exact"/>
          <w:jc w:val="center"/>
        </w:trPr>
        <w:tc>
          <w:tcPr>
            <w:tcW w:w="4201" w:type="dxa"/>
            <w:vAlign w:val="center"/>
          </w:tcPr>
          <w:p w14:paraId="76860731">
            <w:pPr>
              <w:adjustRightInd w:val="0"/>
              <w:snapToGrid w:val="0"/>
              <w:spacing w:line="372" w:lineRule="auto"/>
              <w:rPr>
                <w:rFonts w:cs="仿宋_GB2312"/>
                <w:bCs/>
                <w:sz w:val="24"/>
              </w:rPr>
            </w:pPr>
            <w:r>
              <w:rPr>
                <w:rFonts w:hint="eastAsia" w:cs="仿宋_GB2312"/>
                <w:bCs/>
                <w:sz w:val="24"/>
              </w:rPr>
              <w:t>甲  方</w:t>
            </w:r>
          </w:p>
        </w:tc>
        <w:tc>
          <w:tcPr>
            <w:tcW w:w="4202" w:type="dxa"/>
            <w:vAlign w:val="center"/>
          </w:tcPr>
          <w:p w14:paraId="297E5498">
            <w:pPr>
              <w:adjustRightInd w:val="0"/>
              <w:snapToGrid w:val="0"/>
              <w:spacing w:line="372" w:lineRule="auto"/>
              <w:rPr>
                <w:rFonts w:cs="仿宋_GB2312"/>
                <w:bCs/>
                <w:sz w:val="24"/>
              </w:rPr>
            </w:pPr>
            <w:r>
              <w:rPr>
                <w:rFonts w:hint="eastAsia" w:cs="仿宋_GB2312"/>
                <w:bCs/>
                <w:sz w:val="24"/>
              </w:rPr>
              <w:t>乙  方</w:t>
            </w:r>
          </w:p>
        </w:tc>
      </w:tr>
      <w:tr w14:paraId="0F0D3BC3">
        <w:tblPrEx>
          <w:tblCellMar>
            <w:top w:w="0" w:type="dxa"/>
            <w:left w:w="108" w:type="dxa"/>
            <w:bottom w:w="0" w:type="dxa"/>
            <w:right w:w="108" w:type="dxa"/>
          </w:tblCellMar>
        </w:tblPrEx>
        <w:trPr>
          <w:trHeight w:val="567" w:hRule="exact"/>
          <w:jc w:val="center"/>
        </w:trPr>
        <w:tc>
          <w:tcPr>
            <w:tcW w:w="4201" w:type="dxa"/>
            <w:vAlign w:val="center"/>
          </w:tcPr>
          <w:p w14:paraId="357E7D85">
            <w:pPr>
              <w:adjustRightInd w:val="0"/>
              <w:snapToGrid w:val="0"/>
              <w:spacing w:line="372" w:lineRule="auto"/>
              <w:rPr>
                <w:rFonts w:cs="仿宋_GB2312"/>
                <w:bCs/>
                <w:sz w:val="24"/>
              </w:rPr>
            </w:pPr>
            <w:r>
              <w:rPr>
                <w:rFonts w:hint="eastAsia" w:cs="仿宋_GB2312"/>
                <w:bCs/>
                <w:sz w:val="24"/>
              </w:rPr>
              <w:t>（盖章）</w:t>
            </w:r>
          </w:p>
        </w:tc>
        <w:tc>
          <w:tcPr>
            <w:tcW w:w="4202" w:type="dxa"/>
            <w:vAlign w:val="center"/>
          </w:tcPr>
          <w:p w14:paraId="62AAF2A4">
            <w:pPr>
              <w:adjustRightInd w:val="0"/>
              <w:snapToGrid w:val="0"/>
              <w:spacing w:line="372" w:lineRule="auto"/>
              <w:rPr>
                <w:rFonts w:cs="仿宋_GB2312"/>
                <w:bCs/>
                <w:sz w:val="24"/>
              </w:rPr>
            </w:pPr>
            <w:r>
              <w:rPr>
                <w:rFonts w:hint="eastAsia" w:cs="仿宋_GB2312"/>
                <w:bCs/>
                <w:sz w:val="24"/>
              </w:rPr>
              <w:t>（盖章）</w:t>
            </w:r>
          </w:p>
        </w:tc>
      </w:tr>
      <w:tr w14:paraId="44CCD995">
        <w:tblPrEx>
          <w:tblCellMar>
            <w:top w:w="0" w:type="dxa"/>
            <w:left w:w="108" w:type="dxa"/>
            <w:bottom w:w="0" w:type="dxa"/>
            <w:right w:w="108" w:type="dxa"/>
          </w:tblCellMar>
        </w:tblPrEx>
        <w:trPr>
          <w:trHeight w:val="567" w:hRule="exact"/>
          <w:jc w:val="center"/>
        </w:trPr>
        <w:tc>
          <w:tcPr>
            <w:tcW w:w="4201" w:type="dxa"/>
            <w:vAlign w:val="center"/>
          </w:tcPr>
          <w:p w14:paraId="3AFD5EB6">
            <w:pPr>
              <w:adjustRightInd w:val="0"/>
              <w:snapToGrid w:val="0"/>
              <w:spacing w:line="372" w:lineRule="auto"/>
              <w:rPr>
                <w:rFonts w:cs="仿宋_GB2312"/>
                <w:bCs/>
                <w:sz w:val="24"/>
              </w:rPr>
            </w:pPr>
            <w:r>
              <w:rPr>
                <w:rFonts w:hint="eastAsia" w:cs="仿宋_GB2312"/>
                <w:bCs/>
                <w:sz w:val="24"/>
              </w:rPr>
              <w:t xml:space="preserve">地址： </w:t>
            </w:r>
          </w:p>
        </w:tc>
        <w:tc>
          <w:tcPr>
            <w:tcW w:w="4202" w:type="dxa"/>
            <w:vAlign w:val="center"/>
          </w:tcPr>
          <w:p w14:paraId="67B80ABD">
            <w:pPr>
              <w:adjustRightInd w:val="0"/>
              <w:snapToGrid w:val="0"/>
              <w:spacing w:line="372" w:lineRule="auto"/>
              <w:rPr>
                <w:rFonts w:cs="仿宋_GB2312"/>
                <w:bCs/>
                <w:sz w:val="24"/>
              </w:rPr>
            </w:pPr>
            <w:r>
              <w:rPr>
                <w:rFonts w:hint="eastAsia" w:cs="仿宋_GB2312"/>
                <w:bCs/>
                <w:sz w:val="24"/>
              </w:rPr>
              <w:t>地址：</w:t>
            </w:r>
          </w:p>
        </w:tc>
      </w:tr>
      <w:tr w14:paraId="702E9948">
        <w:tblPrEx>
          <w:tblCellMar>
            <w:top w:w="0" w:type="dxa"/>
            <w:left w:w="108" w:type="dxa"/>
            <w:bottom w:w="0" w:type="dxa"/>
            <w:right w:w="108" w:type="dxa"/>
          </w:tblCellMar>
        </w:tblPrEx>
        <w:trPr>
          <w:trHeight w:val="567" w:hRule="exact"/>
          <w:jc w:val="center"/>
        </w:trPr>
        <w:tc>
          <w:tcPr>
            <w:tcW w:w="4201" w:type="dxa"/>
            <w:vAlign w:val="center"/>
          </w:tcPr>
          <w:p w14:paraId="39A9AD3C">
            <w:pPr>
              <w:adjustRightInd w:val="0"/>
              <w:snapToGrid w:val="0"/>
              <w:spacing w:line="372" w:lineRule="auto"/>
              <w:rPr>
                <w:rFonts w:cs="仿宋_GB2312"/>
                <w:bCs/>
                <w:sz w:val="24"/>
              </w:rPr>
            </w:pPr>
            <w:r>
              <w:rPr>
                <w:rFonts w:hint="eastAsia" w:cs="仿宋_GB2312"/>
                <w:bCs/>
                <w:sz w:val="24"/>
              </w:rPr>
              <w:t>邮编：</w:t>
            </w:r>
          </w:p>
        </w:tc>
        <w:tc>
          <w:tcPr>
            <w:tcW w:w="4202" w:type="dxa"/>
            <w:vAlign w:val="center"/>
          </w:tcPr>
          <w:p w14:paraId="01F1E116">
            <w:pPr>
              <w:adjustRightInd w:val="0"/>
              <w:snapToGrid w:val="0"/>
              <w:spacing w:line="372" w:lineRule="auto"/>
              <w:rPr>
                <w:rFonts w:cs="仿宋_GB2312"/>
                <w:bCs/>
                <w:sz w:val="24"/>
              </w:rPr>
            </w:pPr>
            <w:r>
              <w:rPr>
                <w:rFonts w:hint="eastAsia" w:cs="仿宋_GB2312"/>
                <w:bCs/>
                <w:sz w:val="24"/>
              </w:rPr>
              <w:t>邮编：</w:t>
            </w:r>
          </w:p>
        </w:tc>
      </w:tr>
      <w:tr w14:paraId="0886D323">
        <w:tblPrEx>
          <w:tblCellMar>
            <w:top w:w="0" w:type="dxa"/>
            <w:left w:w="108" w:type="dxa"/>
            <w:bottom w:w="0" w:type="dxa"/>
            <w:right w:w="108" w:type="dxa"/>
          </w:tblCellMar>
        </w:tblPrEx>
        <w:trPr>
          <w:trHeight w:val="567" w:hRule="exact"/>
          <w:jc w:val="center"/>
        </w:trPr>
        <w:tc>
          <w:tcPr>
            <w:tcW w:w="4201" w:type="dxa"/>
            <w:vAlign w:val="center"/>
          </w:tcPr>
          <w:p w14:paraId="2CEA1FC4">
            <w:pPr>
              <w:adjustRightInd w:val="0"/>
              <w:snapToGrid w:val="0"/>
              <w:spacing w:line="372" w:lineRule="auto"/>
              <w:rPr>
                <w:rFonts w:cs="仿宋_GB2312"/>
                <w:bCs/>
                <w:sz w:val="24"/>
              </w:rPr>
            </w:pPr>
            <w:r>
              <w:rPr>
                <w:rFonts w:hint="eastAsia" w:cs="仿宋_GB2312"/>
                <w:bCs/>
                <w:sz w:val="24"/>
              </w:rPr>
              <w:t xml:space="preserve">法定代表人： </w:t>
            </w:r>
          </w:p>
        </w:tc>
        <w:tc>
          <w:tcPr>
            <w:tcW w:w="4202" w:type="dxa"/>
            <w:vAlign w:val="center"/>
          </w:tcPr>
          <w:p w14:paraId="036F5166">
            <w:pPr>
              <w:adjustRightInd w:val="0"/>
              <w:snapToGrid w:val="0"/>
              <w:spacing w:line="372" w:lineRule="auto"/>
              <w:rPr>
                <w:rFonts w:cs="仿宋_GB2312"/>
                <w:bCs/>
                <w:sz w:val="24"/>
              </w:rPr>
            </w:pPr>
            <w:r>
              <w:rPr>
                <w:rFonts w:hint="eastAsia" w:cs="仿宋_GB2312"/>
                <w:bCs/>
                <w:sz w:val="24"/>
              </w:rPr>
              <w:t>法定代表人（或负责人）：</w:t>
            </w:r>
          </w:p>
        </w:tc>
      </w:tr>
      <w:tr w14:paraId="565ECBC3">
        <w:tblPrEx>
          <w:tblCellMar>
            <w:top w:w="0" w:type="dxa"/>
            <w:left w:w="108" w:type="dxa"/>
            <w:bottom w:w="0" w:type="dxa"/>
            <w:right w:w="108" w:type="dxa"/>
          </w:tblCellMar>
        </w:tblPrEx>
        <w:trPr>
          <w:trHeight w:val="567" w:hRule="exact"/>
          <w:jc w:val="center"/>
        </w:trPr>
        <w:tc>
          <w:tcPr>
            <w:tcW w:w="4201" w:type="dxa"/>
            <w:vAlign w:val="center"/>
          </w:tcPr>
          <w:p w14:paraId="5BFA6C73">
            <w:pPr>
              <w:adjustRightInd w:val="0"/>
              <w:snapToGrid w:val="0"/>
              <w:spacing w:line="372" w:lineRule="auto"/>
              <w:rPr>
                <w:rFonts w:cs="仿宋_GB2312"/>
                <w:bCs/>
                <w:sz w:val="24"/>
              </w:rPr>
            </w:pPr>
            <w:r>
              <w:rPr>
                <w:rFonts w:hint="eastAsia" w:cs="仿宋_GB2312"/>
                <w:bCs/>
                <w:sz w:val="24"/>
              </w:rPr>
              <w:t>项目负责人：</w:t>
            </w:r>
          </w:p>
        </w:tc>
        <w:tc>
          <w:tcPr>
            <w:tcW w:w="4202" w:type="dxa"/>
            <w:vAlign w:val="center"/>
          </w:tcPr>
          <w:p w14:paraId="00332A2F">
            <w:pPr>
              <w:adjustRightInd w:val="0"/>
              <w:snapToGrid w:val="0"/>
              <w:spacing w:line="372" w:lineRule="auto"/>
              <w:rPr>
                <w:rFonts w:cs="仿宋_GB2312"/>
                <w:bCs/>
                <w:sz w:val="24"/>
              </w:rPr>
            </w:pPr>
            <w:r>
              <w:rPr>
                <w:rFonts w:hint="eastAsia" w:cs="仿宋_GB2312"/>
                <w:bCs/>
                <w:sz w:val="24"/>
              </w:rPr>
              <w:t>项目负责人：</w:t>
            </w:r>
          </w:p>
        </w:tc>
      </w:tr>
      <w:tr w14:paraId="2C3DB86D">
        <w:tblPrEx>
          <w:tblCellMar>
            <w:top w:w="0" w:type="dxa"/>
            <w:left w:w="108" w:type="dxa"/>
            <w:bottom w:w="0" w:type="dxa"/>
            <w:right w:w="108" w:type="dxa"/>
          </w:tblCellMar>
        </w:tblPrEx>
        <w:trPr>
          <w:trHeight w:val="567" w:hRule="exact"/>
          <w:jc w:val="center"/>
        </w:trPr>
        <w:tc>
          <w:tcPr>
            <w:tcW w:w="4201" w:type="dxa"/>
            <w:vAlign w:val="center"/>
          </w:tcPr>
          <w:p w14:paraId="7C3189B0">
            <w:pPr>
              <w:adjustRightInd w:val="0"/>
              <w:snapToGrid w:val="0"/>
              <w:spacing w:line="372" w:lineRule="auto"/>
              <w:rPr>
                <w:rFonts w:cs="仿宋_GB2312"/>
                <w:bCs/>
                <w:sz w:val="24"/>
              </w:rPr>
            </w:pPr>
            <w:r>
              <w:rPr>
                <w:rFonts w:hint="eastAsia" w:cs="仿宋_GB2312"/>
                <w:bCs/>
                <w:sz w:val="24"/>
              </w:rPr>
              <w:t>电话：</w:t>
            </w:r>
          </w:p>
        </w:tc>
        <w:tc>
          <w:tcPr>
            <w:tcW w:w="4202" w:type="dxa"/>
            <w:vAlign w:val="center"/>
          </w:tcPr>
          <w:p w14:paraId="24CFBB81">
            <w:pPr>
              <w:adjustRightInd w:val="0"/>
              <w:snapToGrid w:val="0"/>
              <w:spacing w:line="372" w:lineRule="auto"/>
              <w:rPr>
                <w:rFonts w:cs="仿宋_GB2312"/>
                <w:bCs/>
                <w:sz w:val="24"/>
              </w:rPr>
            </w:pPr>
            <w:r>
              <w:rPr>
                <w:rFonts w:hint="eastAsia" w:cs="仿宋_GB2312"/>
                <w:bCs/>
                <w:sz w:val="24"/>
              </w:rPr>
              <w:t>电话：</w:t>
            </w:r>
          </w:p>
        </w:tc>
      </w:tr>
    </w:tbl>
    <w:p w14:paraId="38940938">
      <w:pPr>
        <w:pStyle w:val="9"/>
        <w:spacing w:line="360" w:lineRule="auto"/>
        <w:rPr>
          <w:rFonts w:ascii="宋体" w:hAnsi="宋体" w:eastAsia="宋体"/>
          <w:sz w:val="24"/>
          <w:szCs w:val="24"/>
          <w:lang w:eastAsia="zh-CN"/>
        </w:rPr>
      </w:pPr>
    </w:p>
    <w:p w14:paraId="303AC4C1"/>
    <w:p w14:paraId="62FE896E"/>
    <w:p w14:paraId="200C5840">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64CF"/>
    <w:multiLevelType w:val="multilevel"/>
    <w:tmpl w:val="16F264CF"/>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15853"/>
    <w:rsid w:val="05C15853"/>
    <w:rsid w:val="0B526E67"/>
    <w:rsid w:val="0D234420"/>
    <w:rsid w:val="15C266B1"/>
    <w:rsid w:val="28DA340F"/>
    <w:rsid w:val="2C085C64"/>
    <w:rsid w:val="33893916"/>
    <w:rsid w:val="3C100008"/>
    <w:rsid w:val="536061D9"/>
    <w:rsid w:val="53DE6F7D"/>
    <w:rsid w:val="5677476A"/>
    <w:rsid w:val="63453950"/>
    <w:rsid w:val="63EE1720"/>
    <w:rsid w:val="67FF33DC"/>
    <w:rsid w:val="6F840F5B"/>
    <w:rsid w:val="701A7D97"/>
    <w:rsid w:val="7289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eastAsia="宋体" w:cs="Times New Roman"/>
      <w:szCs w:val="20"/>
    </w:rPr>
  </w:style>
  <w:style w:type="paragraph" w:styleId="4">
    <w:name w:val="Body Text"/>
    <w:basedOn w:val="1"/>
    <w:next w:val="3"/>
    <w:qFormat/>
    <w:uiPriority w:val="0"/>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2026-08-13T06:33:00Z</dcterms:created>
  <dc:creator>86759</dc:creator>
  <cp:lastModifiedBy>86759</cp:lastModifiedBy>
  <dcterms:modified xsi:type="dcterms:W3CDTF">2026-08-13T06:42:15Z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716D362938114E4BA4E5E57353FD5BDD_13</vt:lpwstr>
  </property>
</Properties>
</file>