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版本号：ZXGJXM2026-ZC-GK00220260525001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铜川公路管理局除雪保畅应急设备采购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ZXGJXM2026-ZC-GK002</w:t>
      </w:r>
      <w:r>
        <w:br/>
      </w:r>
      <w:r>
        <w:br/>
      </w:r>
      <w:r>
        <w:br/>
      </w:r>
    </w:p>
    <w:p>
      <w:pPr>
        <w:pStyle w:val="null3"/>
        <w:jc w:val="center"/>
        <w:outlineLvl w:val="2"/>
      </w:pPr>
      <w:r>
        <w:rPr>
          <w:rFonts w:ascii="仿宋_GB2312" w:hAnsi="仿宋_GB2312" w:cs="仿宋_GB2312" w:eastAsia="仿宋_GB2312"/>
          <w:sz w:val="28"/>
          <w:b/>
        </w:rPr>
        <w:t>陕西省铜川公路管理局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陕西省铜川公路管理局</w:t>
      </w:r>
      <w:r>
        <w:rPr>
          <w:rFonts w:ascii="仿宋_GB2312" w:hAnsi="仿宋_GB2312" w:cs="仿宋_GB2312" w:eastAsia="仿宋_GB2312"/>
        </w:rPr>
        <w:t>委托，拟对</w:t>
      </w:r>
      <w:r>
        <w:rPr>
          <w:rFonts w:ascii="仿宋_GB2312" w:hAnsi="仿宋_GB2312" w:cs="仿宋_GB2312" w:eastAsia="仿宋_GB2312"/>
        </w:rPr>
        <w:t>铜川公路管理局除雪保畅应急设备采购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ZXGJXM2026-ZC-GK002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铜川公路管理局除雪保畅应急设备采购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铜川公路管理局除雪保畅应急设备采购，详见采购需求。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1、提供独立法人或其他组织的相应证明文件：具有独立承担民事责任能力的法人、其他组织或自然人，并出具合法有效的营业执照或事业单位法人证书等国家规定的相关证明，自然人参与的提供其身份证明；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2、财务状况报告：提供2025年度经审计的财务审计报告(2026年新成立的公司提供成立后企业的资产负债表和利润表），或提供近一年内基本存款账户开户银行开具的资信证明；</w:t>
      </w:r>
    </w:p>
    <w:p>
      <w:pPr>
        <w:pStyle w:val="null3"/>
      </w:pPr>
      <w:r>
        <w:rPr>
          <w:rFonts w:ascii="仿宋_GB2312" w:hAnsi="仿宋_GB2312" w:cs="仿宋_GB2312" w:eastAsia="仿宋_GB2312"/>
        </w:rPr>
        <w:t>3、税收缴纳证明：提供投标截止日前六个月内任意一个月依法缴纳税收的证明材料，依法免税的单位应提供相关证明材料；</w:t>
      </w:r>
    </w:p>
    <w:p>
      <w:pPr>
        <w:pStyle w:val="null3"/>
      </w:pPr>
      <w:r>
        <w:rPr>
          <w:rFonts w:ascii="仿宋_GB2312" w:hAnsi="仿宋_GB2312" w:cs="仿宋_GB2312" w:eastAsia="仿宋_GB2312"/>
        </w:rPr>
        <w:t>4、社会保障资金缴纳证明：提供投标截止日前六个月内任意一个月依法缴纳社会保障资金的证明材料（依法不需要缴纳社会保障资金的单位应提供相关证明材料）；</w:t>
      </w:r>
    </w:p>
    <w:p>
      <w:pPr>
        <w:pStyle w:val="null3"/>
      </w:pPr>
      <w:r>
        <w:rPr>
          <w:rFonts w:ascii="仿宋_GB2312" w:hAnsi="仿宋_GB2312" w:cs="仿宋_GB2312" w:eastAsia="仿宋_GB2312"/>
        </w:rPr>
        <w:t>5、信用信息查询：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6、具备履行合同的能力承诺：具备履行合同所必需的设备和专业技术能力（提供承诺函）；</w:t>
      </w:r>
    </w:p>
    <w:p>
      <w:pPr>
        <w:pStyle w:val="null3"/>
      </w:pPr>
      <w:r>
        <w:rPr>
          <w:rFonts w:ascii="仿宋_GB2312" w:hAnsi="仿宋_GB2312" w:cs="仿宋_GB2312" w:eastAsia="仿宋_GB2312"/>
        </w:rPr>
        <w:t>7、无重大违法记录声明：参加政府采购活动前3年内，在经营活动中没有重大违法记录（提供书面声明函）；</w:t>
      </w:r>
    </w:p>
    <w:p>
      <w:pPr>
        <w:pStyle w:val="null3"/>
      </w:pPr>
      <w:r>
        <w:rPr>
          <w:rFonts w:ascii="仿宋_GB2312" w:hAnsi="仿宋_GB2312" w:cs="仿宋_GB2312" w:eastAsia="仿宋_GB2312"/>
        </w:rPr>
        <w:t>8、关联关系：单位负责人为同一人或者存在直接控股、管理关系的不同供应商不得同时参加本项目投标；</w:t>
      </w:r>
    </w:p>
    <w:p>
      <w:pPr>
        <w:pStyle w:val="null3"/>
      </w:pPr>
      <w:r>
        <w:rPr>
          <w:rFonts w:ascii="仿宋_GB2312" w:hAnsi="仿宋_GB2312" w:cs="仿宋_GB2312" w:eastAsia="仿宋_GB2312"/>
        </w:rPr>
        <w:t>9、法定代表人授权委托书或法定代表人身份证明：法定代表人授权委托书（附法定代表人及被授权人身份证复印件）（如法定代表人参加投标只需提交法定代表人身份证明并附身份证复印件）；</w:t>
      </w:r>
    </w:p>
    <w:p>
      <w:pPr>
        <w:pStyle w:val="null3"/>
      </w:pPr>
      <w:r>
        <w:rPr>
          <w:rFonts w:ascii="仿宋_GB2312" w:hAnsi="仿宋_GB2312" w:cs="仿宋_GB2312" w:eastAsia="仿宋_GB2312"/>
        </w:rPr>
        <w:t>10、联合体要求：本项目不接受联合体投标（提供承诺书）。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陕西省铜川公路管理局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铜川市新区铁诺南路1号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陕西省铜川公路管理局经办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0919-3385116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029-86116776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人以中标（成交）金额为基数，参照国家计委颁发的《招标代理服务收费管理暂行办法》（计价格【2002】1980号）和国家发展改革委办公厅关于招标代理服务收费有关问题的通知（发改办价格【2003】857号）的有关规定下浮20%向采购代理机构一次付清招标代理服务费。注：转账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陕西省铜川公路管理局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陕西省铜川公路管理局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陕西省铜川公路管理局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按招标文件、投标响应文件等技术指标进行验收。各项指标均应符合验收标准及要求。验收合格后，填写验收单，双方签字生效。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w:t>
      </w:r>
    </w:p>
    <w:p>
      <w:pPr>
        <w:pStyle w:val="null3"/>
      </w:pPr>
      <w:r>
        <w:rPr>
          <w:rFonts w:ascii="仿宋_GB2312" w:hAnsi="仿宋_GB2312" w:cs="仿宋_GB2312" w:eastAsia="仿宋_GB2312"/>
        </w:rPr>
        <w:t>联系电话：029-86116776</w:t>
      </w:r>
    </w:p>
    <w:p>
      <w:pPr>
        <w:pStyle w:val="null3"/>
      </w:pPr>
      <w:r>
        <w:rPr>
          <w:rFonts w:ascii="仿宋_GB2312" w:hAnsi="仿宋_GB2312" w:cs="仿宋_GB2312" w:eastAsia="仿宋_GB2312"/>
        </w:rPr>
        <w:t>地址：西安市经济技术开发区凤城十二路首创禧悦里25栋A座16层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购置3辆自卸工具车和一辆自卸工具车配套一台融雪剂撒布机，主要用于公路日常养护作业及应急保畅等。具体详见采购需求。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605,000.00</w:t>
      </w:r>
    </w:p>
    <w:p>
      <w:pPr>
        <w:pStyle w:val="null3"/>
      </w:pPr>
      <w:r>
        <w:rPr>
          <w:rFonts w:ascii="仿宋_GB2312" w:hAnsi="仿宋_GB2312" w:cs="仿宋_GB2312" w:eastAsia="仿宋_GB2312"/>
        </w:rPr>
        <w:t>采购包最高限价（元）: 605,000.00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其他专用车俩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交通运输业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标的名称：其他专用车俩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89"/>
              <w:gridCol w:w="818"/>
              <w:gridCol w:w="671"/>
              <w:gridCol w:w="521"/>
              <w:gridCol w:w="240"/>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商品名称</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计量单位</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铜川公路管理局除雪保畅应急设备采购</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自卸车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18"/>
                  <w:vMerge/>
                  <w:tcBorders>
                    <w:top w:val="none" w:color="000000" w:sz="4"/>
                    <w:left w:val="single" w:color="000000" w:sz="4"/>
                    <w:bottom w:val="single" w:color="000000" w:sz="4"/>
                    <w:right w:val="single" w:color="000000" w:sz="4"/>
                  </w:tcBorders>
                </w:tcP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融雪剂撒布机</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left"/>
            </w:pPr>
            <w:r>
              <w:rPr>
                <w:rFonts w:ascii="仿宋_GB2312" w:hAnsi="仿宋_GB2312" w:cs="仿宋_GB2312" w:eastAsia="仿宋_GB2312"/>
                <w:sz w:val="28"/>
                <w:b/>
              </w:rPr>
              <w:t>1.采购内容</w:t>
            </w:r>
          </w:p>
          <w:p>
            <w:pPr>
              <w:pStyle w:val="null3"/>
              <w:jc w:val="left"/>
            </w:pPr>
            <w:r>
              <w:rPr>
                <w:rFonts w:ascii="仿宋_GB2312" w:hAnsi="仿宋_GB2312" w:cs="仿宋_GB2312" w:eastAsia="仿宋_GB2312"/>
                <w:sz w:val="28"/>
                <w:b/>
              </w:rPr>
              <w:t>2.技术参数要求</w:t>
            </w:r>
          </w:p>
          <w:p>
            <w:pPr>
              <w:pStyle w:val="null3"/>
              <w:jc w:val="left"/>
            </w:pP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自卸</w:t>
            </w:r>
            <w:r>
              <w:rPr>
                <w:rFonts w:ascii="仿宋_GB2312" w:hAnsi="仿宋_GB2312" w:cs="仿宋_GB2312" w:eastAsia="仿宋_GB2312"/>
                <w:sz w:val="28"/>
                <w:b/>
              </w:rPr>
              <w:t>车</w:t>
            </w:r>
            <w:r>
              <w:rPr>
                <w:rFonts w:ascii="仿宋_GB2312" w:hAnsi="仿宋_GB2312" w:cs="仿宋_GB2312" w:eastAsia="仿宋_GB2312"/>
                <w:sz w:val="28"/>
                <w:b/>
              </w:rPr>
              <w:t>-技术要求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.★底盘：</w:t>
            </w:r>
            <w:r>
              <w:rPr>
                <w:rFonts w:ascii="仿宋_GB2312" w:hAnsi="仿宋_GB2312" w:cs="仿宋_GB2312" w:eastAsia="仿宋_GB2312"/>
                <w:sz w:val="24"/>
              </w:rPr>
              <w:t>双排座</w:t>
            </w:r>
            <w:r>
              <w:rPr>
                <w:rFonts w:ascii="仿宋_GB2312" w:hAnsi="仿宋_GB2312" w:cs="仿宋_GB2312" w:eastAsia="仿宋_GB2312"/>
                <w:sz w:val="24"/>
              </w:rPr>
              <w:t>后双胎</w:t>
            </w:r>
            <w:r>
              <w:rPr>
                <w:rFonts w:ascii="仿宋_GB2312" w:hAnsi="仿宋_GB2312" w:cs="仿宋_GB2312" w:eastAsia="仿宋_GB2312"/>
                <w:sz w:val="24"/>
              </w:rPr>
              <w:t>（</w:t>
            </w:r>
            <w:r>
              <w:rPr>
                <w:rFonts w:ascii="仿宋_GB2312" w:hAnsi="仿宋_GB2312" w:cs="仿宋_GB2312" w:eastAsia="仿宋_GB2312"/>
                <w:sz w:val="24"/>
              </w:rPr>
              <w:t>黄牌</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2.★额定功率（kw）/马力（ps）≥</w:t>
            </w:r>
            <w:r>
              <w:rPr>
                <w:rFonts w:ascii="仿宋_GB2312" w:hAnsi="仿宋_GB2312" w:cs="仿宋_GB2312" w:eastAsia="仿宋_GB2312"/>
                <w:sz w:val="24"/>
              </w:rPr>
              <w:t>95</w:t>
            </w:r>
            <w:r>
              <w:rPr>
                <w:rFonts w:ascii="仿宋_GB2312" w:hAnsi="仿宋_GB2312" w:cs="仿宋_GB2312" w:eastAsia="仿宋_GB2312"/>
                <w:sz w:val="24"/>
              </w:rPr>
              <w:t>/13</w:t>
            </w:r>
            <w:r>
              <w:rPr>
                <w:rFonts w:ascii="仿宋_GB2312" w:hAnsi="仿宋_GB2312" w:cs="仿宋_GB2312" w:eastAsia="仿宋_GB2312"/>
                <w:sz w:val="24"/>
              </w:rPr>
              <w:t>0</w:t>
            </w:r>
          </w:p>
          <w:p>
            <w:pPr>
              <w:pStyle w:val="null3"/>
              <w:jc w:val="both"/>
            </w:pPr>
            <w:r>
              <w:rPr>
                <w:rFonts w:ascii="仿宋_GB2312" w:hAnsi="仿宋_GB2312" w:cs="仿宋_GB2312" w:eastAsia="仿宋_GB2312"/>
                <w:sz w:val="24"/>
              </w:rPr>
              <w:t>3.底盘发动机排量(ml)≥2498</w:t>
            </w:r>
          </w:p>
          <w:p>
            <w:pPr>
              <w:pStyle w:val="null3"/>
              <w:jc w:val="both"/>
            </w:pPr>
            <w:r>
              <w:rPr>
                <w:rFonts w:ascii="仿宋_GB2312" w:hAnsi="仿宋_GB2312" w:cs="仿宋_GB2312" w:eastAsia="仿宋_GB2312"/>
                <w:sz w:val="24"/>
              </w:rPr>
              <w:t>4.燃料种类：柴油</w:t>
            </w:r>
          </w:p>
          <w:p>
            <w:pPr>
              <w:pStyle w:val="null3"/>
              <w:jc w:val="both"/>
            </w:pPr>
            <w:r>
              <w:rPr>
                <w:rFonts w:ascii="仿宋_GB2312" w:hAnsi="仿宋_GB2312" w:cs="仿宋_GB2312" w:eastAsia="仿宋_GB2312"/>
                <w:sz w:val="24"/>
              </w:rPr>
              <w:t>5.★驾驶室准乘人数：5人</w:t>
            </w:r>
          </w:p>
          <w:p>
            <w:pPr>
              <w:pStyle w:val="null3"/>
              <w:jc w:val="both"/>
            </w:pPr>
            <w:r>
              <w:rPr>
                <w:rFonts w:ascii="仿宋_GB2312" w:hAnsi="仿宋_GB2312" w:cs="仿宋_GB2312" w:eastAsia="仿宋_GB2312"/>
                <w:sz w:val="24"/>
              </w:rPr>
              <w:t>6.★轮胎数：6个</w:t>
            </w:r>
          </w:p>
          <w:p>
            <w:pPr>
              <w:pStyle w:val="null3"/>
              <w:jc w:val="both"/>
            </w:pPr>
            <w:r>
              <w:rPr>
                <w:rFonts w:ascii="仿宋_GB2312" w:hAnsi="仿宋_GB2312" w:cs="仿宋_GB2312" w:eastAsia="仿宋_GB2312"/>
                <w:sz w:val="24"/>
              </w:rPr>
              <w:t>7.★轮胎规</w:t>
            </w:r>
            <w:r>
              <w:rPr>
                <w:rFonts w:ascii="仿宋_GB2312" w:hAnsi="仿宋_GB2312" w:cs="仿宋_GB2312" w:eastAsia="仿宋_GB2312"/>
                <w:sz w:val="24"/>
              </w:rPr>
              <w:t>格</w:t>
            </w:r>
            <w:r>
              <w:rPr>
                <w:rFonts w:ascii="仿宋_GB2312" w:hAnsi="仿宋_GB2312" w:cs="仿宋_GB2312" w:eastAsia="仿宋_GB2312"/>
                <w:sz w:val="24"/>
              </w:rPr>
              <w:t>≥</w:t>
            </w:r>
            <w:r>
              <w:rPr>
                <w:rFonts w:ascii="仿宋_GB2312" w:hAnsi="仿宋_GB2312" w:cs="仿宋_GB2312" w:eastAsia="仿宋_GB2312"/>
                <w:sz w:val="24"/>
              </w:rPr>
              <w:t>7.00R16LT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8.额定载质量</w:t>
            </w:r>
            <w:r>
              <w:rPr>
                <w:rFonts w:ascii="仿宋_GB2312" w:hAnsi="仿宋_GB2312" w:cs="仿宋_GB2312" w:eastAsia="仿宋_GB2312"/>
                <w:sz w:val="24"/>
              </w:rPr>
              <w:t>（</w:t>
            </w:r>
            <w:r>
              <w:rPr>
                <w:rFonts w:ascii="仿宋_GB2312" w:hAnsi="仿宋_GB2312" w:cs="仿宋_GB2312" w:eastAsia="仿宋_GB2312"/>
                <w:sz w:val="24"/>
              </w:rPr>
              <w:t>kg</w:t>
            </w:r>
            <w:r>
              <w:rPr>
                <w:rFonts w:ascii="仿宋_GB2312" w:hAnsi="仿宋_GB2312" w:cs="仿宋_GB2312" w:eastAsia="仿宋_GB2312"/>
                <w:sz w:val="24"/>
              </w:rPr>
              <w:t>）</w:t>
            </w:r>
            <w:r>
              <w:rPr>
                <w:rFonts w:ascii="仿宋_GB2312" w:hAnsi="仿宋_GB2312" w:cs="仿宋_GB2312" w:eastAsia="仿宋_GB2312"/>
                <w:sz w:val="24"/>
              </w:rPr>
              <w:t>≥2790</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.★车辆轴距(mm) ≥33</w:t>
            </w:r>
            <w:r>
              <w:rPr>
                <w:rFonts w:ascii="仿宋_GB2312" w:hAnsi="仿宋_GB2312" w:cs="仿宋_GB2312" w:eastAsia="仿宋_GB2312"/>
                <w:sz w:val="24"/>
              </w:rPr>
              <w:t>00</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.货厢内部尺寸</w:t>
            </w:r>
            <w:r>
              <w:rPr>
                <w:rFonts w:ascii="仿宋_GB2312" w:hAnsi="仿宋_GB2312" w:cs="仿宋_GB2312" w:eastAsia="仿宋_GB2312"/>
                <w:sz w:val="24"/>
              </w:rPr>
              <w:t xml:space="preserve">(mm) </w:t>
            </w: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00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800×</w:t>
            </w:r>
            <w:r>
              <w:rPr>
                <w:rFonts w:ascii="仿宋_GB2312" w:hAnsi="仿宋_GB2312" w:cs="仿宋_GB2312" w:eastAsia="仿宋_GB2312"/>
                <w:sz w:val="24"/>
              </w:rPr>
              <w:t>380</w:t>
            </w:r>
          </w:p>
          <w:p>
            <w:pPr>
              <w:pStyle w:val="null3"/>
              <w:jc w:val="both"/>
            </w:pPr>
            <w:r>
              <w:rPr>
                <w:rFonts w:ascii="仿宋_GB2312" w:hAnsi="仿宋_GB2312" w:cs="仿宋_GB2312" w:eastAsia="仿宋_GB2312"/>
                <w:sz w:val="24"/>
              </w:rPr>
              <w:t>11.工信部油耗（L/100Km）：10.1-15.5</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.★上装要求：举升机构采用前置式单液压缸直推式结</w:t>
            </w:r>
            <w:r>
              <w:rPr>
                <w:rFonts w:ascii="仿宋_GB2312" w:hAnsi="仿宋_GB2312" w:cs="仿宋_GB2312" w:eastAsia="仿宋_GB2312"/>
                <w:sz w:val="24"/>
              </w:rPr>
              <w:t>构</w:t>
            </w:r>
            <w:r>
              <w:rPr>
                <w:rFonts w:ascii="仿宋_GB2312" w:hAnsi="仿宋_GB2312" w:cs="仿宋_GB2312" w:eastAsia="仿宋_GB2312"/>
                <w:sz w:val="24"/>
              </w:rPr>
              <w:t>或</w:t>
            </w:r>
            <w:r>
              <w:rPr>
                <w:rFonts w:ascii="仿宋_GB2312" w:hAnsi="仿宋_GB2312" w:cs="仿宋_GB2312" w:eastAsia="仿宋_GB2312"/>
                <w:sz w:val="24"/>
              </w:rPr>
              <w:t>中</w:t>
            </w:r>
            <w:r>
              <w:rPr>
                <w:rFonts w:ascii="仿宋_GB2312" w:hAnsi="仿宋_GB2312" w:cs="仿宋_GB2312" w:eastAsia="仿宋_GB2312"/>
                <w:sz w:val="24"/>
              </w:rPr>
              <w:t>置式双缸液压直推式结构；取力机构采用变速箱上取力，直接传给液压泵，使油缸产生推力举升车厢；安全可靠：配备感应报警装置，金属钩链，保护支撑杆，更安全更稳定</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．其他安全配置：感应报警器、保护支撑杆装置、金属勾链等；</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需提供国家工信部的《车辆公告》目录文件，原厂原配，全国联保整车售后；</w:t>
            </w:r>
          </w:p>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color w:val="000000"/>
              </w:rPr>
              <w:t>带</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（星号）的为重要技术参数和技术性能要求。</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2）撒布机</w:t>
            </w:r>
            <w:r>
              <w:rPr>
                <w:rFonts w:ascii="仿宋_GB2312" w:hAnsi="仿宋_GB2312" w:cs="仿宋_GB2312" w:eastAsia="仿宋_GB2312"/>
                <w:sz w:val="28"/>
                <w:b/>
              </w:rPr>
              <w:t>--技术要求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color w:val="000000"/>
              </w:rPr>
              <w:t>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3m³</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撒播宽度：</w:t>
            </w:r>
            <w:r>
              <w:rPr>
                <w:rFonts w:ascii="仿宋_GB2312" w:hAnsi="仿宋_GB2312" w:cs="仿宋_GB2312" w:eastAsia="仿宋_GB2312"/>
                <w:sz w:val="24"/>
              </w:rPr>
              <w:t>1-</w:t>
            </w:r>
            <w:r>
              <w:rPr>
                <w:rFonts w:ascii="仿宋_GB2312" w:hAnsi="仿宋_GB2312" w:cs="仿宋_GB2312" w:eastAsia="仿宋_GB2312"/>
                <w:sz w:val="24"/>
              </w:rPr>
              <w:t>12</w:t>
            </w:r>
            <w:r>
              <w:rPr>
                <w:rFonts w:ascii="仿宋_GB2312" w:hAnsi="仿宋_GB2312" w:cs="仿宋_GB2312" w:eastAsia="仿宋_GB2312"/>
                <w:sz w:val="24"/>
              </w:rPr>
              <w:t>m</w:t>
            </w:r>
            <w:r>
              <w:rPr>
                <w:rFonts w:ascii="仿宋_GB2312" w:hAnsi="仿宋_GB2312" w:cs="仿宋_GB2312" w:eastAsia="仿宋_GB2312"/>
                <w:sz w:val="24"/>
              </w:rPr>
              <w:t>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撒布机动力采用的是电机驱动（接车载</w:t>
            </w:r>
            <w:r>
              <w:rPr>
                <w:rFonts w:ascii="仿宋_GB2312" w:hAnsi="仿宋_GB2312" w:cs="仿宋_GB2312" w:eastAsia="仿宋_GB2312"/>
                <w:sz w:val="24"/>
              </w:rPr>
              <w:t>12V或24V电源）；</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盐仓</w:t>
            </w:r>
            <w:r>
              <w:rPr>
                <w:rFonts w:ascii="仿宋_GB2312" w:hAnsi="仿宋_GB2312" w:cs="仿宋_GB2312" w:eastAsia="仿宋_GB2312"/>
                <w:sz w:val="24"/>
              </w:rPr>
              <w:t>主体</w:t>
            </w:r>
            <w:r>
              <w:rPr>
                <w:rFonts w:ascii="仿宋_GB2312" w:hAnsi="仿宋_GB2312" w:cs="仿宋_GB2312" w:eastAsia="仿宋_GB2312"/>
                <w:sz w:val="24"/>
              </w:rPr>
              <w:t>材质</w:t>
            </w:r>
            <w:r>
              <w:rPr>
                <w:rFonts w:ascii="仿宋_GB2312" w:hAnsi="仿宋_GB2312" w:cs="仿宋_GB2312" w:eastAsia="仿宋_GB2312"/>
                <w:sz w:val="24"/>
              </w:rPr>
              <w:t>须采用</w:t>
            </w:r>
            <w:r>
              <w:rPr>
                <w:rFonts w:ascii="仿宋_GB2312" w:hAnsi="仿宋_GB2312" w:cs="仿宋_GB2312" w:eastAsia="仿宋_GB2312"/>
                <w:sz w:val="24"/>
              </w:rPr>
              <w:t>高强度耐腐蚀聚乙烯材料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5.撒布机</w:t>
            </w:r>
            <w:r>
              <w:rPr>
                <w:rFonts w:ascii="仿宋_GB2312" w:hAnsi="仿宋_GB2312" w:cs="仿宋_GB2312" w:eastAsia="仿宋_GB2312"/>
                <w:sz w:val="24"/>
              </w:rPr>
              <w:t>输送方式</w:t>
            </w:r>
            <w:r>
              <w:rPr>
                <w:rFonts w:ascii="仿宋_GB2312" w:hAnsi="仿宋_GB2312" w:cs="仿宋_GB2312" w:eastAsia="仿宋_GB2312"/>
                <w:sz w:val="24"/>
              </w:rPr>
              <w:t>须采用</w:t>
            </w:r>
            <w:r>
              <w:rPr>
                <w:rFonts w:ascii="仿宋_GB2312" w:hAnsi="仿宋_GB2312" w:cs="仿宋_GB2312" w:eastAsia="仿宋_GB2312"/>
                <w:sz w:val="24"/>
              </w:rPr>
              <w:t>绞龙式输送，</w:t>
            </w:r>
            <w:r>
              <w:rPr>
                <w:rFonts w:ascii="仿宋_GB2312" w:hAnsi="仿宋_GB2312" w:cs="仿宋_GB2312" w:eastAsia="仿宋_GB2312"/>
                <w:sz w:val="24"/>
              </w:rPr>
              <w:t>增加出料量</w:t>
            </w:r>
            <w:r>
              <w:rPr>
                <w:rFonts w:ascii="仿宋_GB2312" w:hAnsi="仿宋_GB2312" w:cs="仿宋_GB2312" w:eastAsia="仿宋_GB2312"/>
                <w:sz w:val="24"/>
              </w:rPr>
              <w:t>，输送系统更稳定；</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.撒布机</w:t>
            </w:r>
            <w:r>
              <w:rPr>
                <w:rFonts w:ascii="仿宋_GB2312" w:hAnsi="仿宋_GB2312" w:cs="仿宋_GB2312" w:eastAsia="仿宋_GB2312"/>
                <w:sz w:val="24"/>
              </w:rPr>
              <w:t>控制系统</w:t>
            </w:r>
            <w:r>
              <w:rPr>
                <w:rFonts w:ascii="仿宋_GB2312" w:hAnsi="仿宋_GB2312" w:cs="仿宋_GB2312" w:eastAsia="仿宋_GB2312"/>
                <w:sz w:val="24"/>
              </w:rPr>
              <w:t>须</w:t>
            </w:r>
            <w:r>
              <w:rPr>
                <w:rFonts w:ascii="仿宋_GB2312" w:hAnsi="仿宋_GB2312" w:cs="仿宋_GB2312" w:eastAsia="仿宋_GB2312"/>
                <w:sz w:val="24"/>
              </w:rPr>
              <w:t>配置智能控制器，绞龙和播撒盘</w:t>
            </w:r>
            <w:r>
              <w:rPr>
                <w:rFonts w:ascii="仿宋_GB2312" w:hAnsi="仿宋_GB2312" w:cs="仿宋_GB2312" w:eastAsia="仿宋_GB2312"/>
                <w:sz w:val="24"/>
              </w:rPr>
              <w:t>电机转速由两个旋钮独立控制，可自由调节物料输送量及播撒宽度</w:t>
            </w:r>
            <w:r>
              <w:rPr>
                <w:rFonts w:ascii="仿宋_GB2312" w:hAnsi="仿宋_GB2312" w:cs="仿宋_GB2312" w:eastAsia="仿宋_GB2312"/>
                <w:sz w:val="24"/>
              </w:rPr>
              <w:t>；</w:t>
            </w:r>
            <w:r>
              <w:rPr>
                <w:rFonts w:ascii="仿宋_GB2312" w:hAnsi="仿宋_GB2312" w:cs="仿宋_GB2312" w:eastAsia="仿宋_GB2312"/>
                <w:sz w:val="24"/>
              </w:rPr>
              <w:t>系统带有自诊断功能，对于电机过载、电压过低、保险丝熔断、短路等故障可通过故障报警指示灯进行提示；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撒布机须配置有</w:t>
            </w:r>
            <w:r>
              <w:rPr>
                <w:rFonts w:ascii="仿宋_GB2312" w:hAnsi="仿宋_GB2312" w:cs="仿宋_GB2312" w:eastAsia="仿宋_GB2312"/>
                <w:sz w:val="24"/>
              </w:rPr>
              <w:t>2</w:t>
            </w:r>
            <w:r>
              <w:rPr>
                <w:rFonts w:ascii="仿宋_GB2312" w:hAnsi="仿宋_GB2312" w:cs="仿宋_GB2312" w:eastAsia="仿宋_GB2312"/>
                <w:sz w:val="24"/>
              </w:rPr>
              <w:t>个振动马达，防止物料堵塞，</w:t>
            </w:r>
            <w:r>
              <w:rPr>
                <w:rFonts w:ascii="仿宋_GB2312" w:hAnsi="仿宋_GB2312" w:cs="仿宋_GB2312" w:eastAsia="仿宋_GB2312"/>
                <w:sz w:val="24"/>
              </w:rPr>
              <w:t>由控制器上独立开关控制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撒布机</w:t>
            </w:r>
            <w:r>
              <w:rPr>
                <w:rFonts w:ascii="仿宋_GB2312" w:hAnsi="仿宋_GB2312" w:cs="仿宋_GB2312" w:eastAsia="仿宋_GB2312"/>
                <w:sz w:val="24"/>
              </w:rPr>
              <w:t>须</w:t>
            </w:r>
            <w:r>
              <w:rPr>
                <w:rFonts w:ascii="仿宋_GB2312" w:hAnsi="仿宋_GB2312" w:cs="仿宋_GB2312" w:eastAsia="仿宋_GB2312"/>
                <w:sz w:val="24"/>
              </w:rPr>
              <w:t>配上网罩，防止大型物料或异物进入料仓，保证物料输送顺畅。</w:t>
            </w:r>
          </w:p>
          <w:p>
            <w:pPr>
              <w:pStyle w:val="null3"/>
              <w:jc w:val="both"/>
            </w:pPr>
            <w:r>
              <w:rPr>
                <w:rFonts w:ascii="仿宋_GB2312" w:hAnsi="仿宋_GB2312" w:cs="仿宋_GB2312" w:eastAsia="仿宋_GB2312"/>
                <w:sz w:val="24"/>
              </w:rPr>
              <w:t>9.撒布机可安装5吨及以上自卸车上</w:t>
            </w:r>
            <w:r>
              <w:rPr>
                <w:rFonts w:ascii="仿宋_GB2312" w:hAnsi="仿宋_GB2312" w:cs="仿宋_GB2312" w:eastAsia="仿宋_GB2312"/>
                <w:sz w:val="24"/>
              </w:rPr>
              <w:t>。</w:t>
            </w:r>
          </w:p>
          <w:p>
            <w:pPr>
              <w:pStyle w:val="null3"/>
              <w:jc w:val="left"/>
            </w:pPr>
            <w:r>
              <w:rPr>
                <w:rFonts w:ascii="仿宋_GB2312" w:hAnsi="仿宋_GB2312" w:cs="仿宋_GB2312" w:eastAsia="仿宋_GB2312"/>
                <w:sz w:val="28"/>
                <w:b/>
              </w:rPr>
              <w:t>3</w:t>
            </w:r>
            <w:r>
              <w:rPr>
                <w:rFonts w:ascii="仿宋_GB2312" w:hAnsi="仿宋_GB2312" w:cs="仿宋_GB2312" w:eastAsia="仿宋_GB2312"/>
                <w:sz w:val="28"/>
                <w:b/>
              </w:rPr>
              <w:t>、质量保证</w:t>
            </w:r>
          </w:p>
          <w:p>
            <w:pPr>
              <w:pStyle w:val="null3"/>
              <w:jc w:val="both"/>
            </w:pPr>
            <w:r>
              <w:rPr>
                <w:rFonts w:ascii="仿宋_GB2312" w:hAnsi="仿宋_GB2312" w:cs="仿宋_GB2312" w:eastAsia="仿宋_GB2312"/>
                <w:sz w:val="24"/>
              </w:rPr>
              <w:t>1、质保期为自验收合格交付使用后24个月，成交供应商承诺的质保时间超过招标文件要求的，按其承诺时间质保。</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承诺的质保期起始时间为终验合格之日。</w:t>
            </w:r>
          </w:p>
          <w:p>
            <w:pPr>
              <w:pStyle w:val="null3"/>
              <w:jc w:val="both"/>
            </w:pPr>
            <w:r>
              <w:rPr>
                <w:rFonts w:ascii="仿宋_GB2312" w:hAnsi="仿宋_GB2312" w:cs="仿宋_GB2312" w:eastAsia="仿宋_GB2312"/>
                <w:sz w:val="24"/>
              </w:rPr>
              <w:t>3、所有货物及辅材必须是未使用过的新货物，质量优良、渠道正当，配置合理。</w:t>
            </w:r>
          </w:p>
          <w:p>
            <w:pPr>
              <w:pStyle w:val="null3"/>
              <w:jc w:val="both"/>
            </w:pPr>
            <w:r>
              <w:rPr>
                <w:rFonts w:ascii="仿宋_GB2312" w:hAnsi="仿宋_GB2312" w:cs="仿宋_GB2312" w:eastAsia="仿宋_GB2312"/>
                <w:sz w:val="24"/>
              </w:rPr>
              <w:t>4、质保期出现的质量问题由成交供应商负责解决并承担所有费用。质保期后如需更换零部件，</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应以成本价提供。</w:t>
            </w:r>
          </w:p>
          <w:p>
            <w:pPr>
              <w:pStyle w:val="null3"/>
              <w:jc w:val="both"/>
            </w:pPr>
            <w:r>
              <w:rPr>
                <w:rFonts w:ascii="仿宋_GB2312" w:hAnsi="仿宋_GB2312" w:cs="仿宋_GB2312" w:eastAsia="仿宋_GB2312"/>
                <w:sz w:val="24"/>
              </w:rPr>
              <w:t>5、所供货物是经过国家法定、准许市场销售的合法产品。</w:t>
            </w:r>
          </w:p>
          <w:p>
            <w:pPr>
              <w:pStyle w:val="null3"/>
              <w:jc w:val="both"/>
            </w:pPr>
            <w:r>
              <w:rPr>
                <w:rFonts w:ascii="仿宋_GB2312" w:hAnsi="仿宋_GB2312" w:cs="仿宋_GB2312" w:eastAsia="仿宋_GB2312"/>
                <w:sz w:val="24"/>
              </w:rPr>
              <w:t>6、货物性能稳定、具有较好的使用效果，质量保证措施完善，符合国家相关标准。</w:t>
            </w:r>
          </w:p>
          <w:p>
            <w:pPr>
              <w:pStyle w:val="null3"/>
              <w:jc w:val="both"/>
            </w:pPr>
            <w:r>
              <w:rPr>
                <w:rFonts w:ascii="仿宋_GB2312" w:hAnsi="仿宋_GB2312" w:cs="仿宋_GB2312" w:eastAsia="仿宋_GB2312"/>
                <w:sz w:val="24"/>
              </w:rPr>
              <w:t>7、货物的质保期按照“三包”原则执行。</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车辆调试</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调试</w:t>
            </w:r>
            <w:r>
              <w:rPr>
                <w:rFonts w:ascii="仿宋_GB2312" w:hAnsi="仿宋_GB2312" w:cs="仿宋_GB2312" w:eastAsia="仿宋_GB2312"/>
                <w:sz w:val="24"/>
              </w:rPr>
              <w:t>过程中不损坏原物品，如有损坏供应商需承担相应责任。</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须按要求负责完成对本项目</w:t>
            </w:r>
            <w:r>
              <w:rPr>
                <w:rFonts w:ascii="仿宋_GB2312" w:hAnsi="仿宋_GB2312" w:cs="仿宋_GB2312" w:eastAsia="仿宋_GB2312"/>
                <w:sz w:val="24"/>
              </w:rPr>
              <w:t>车辆</w:t>
            </w:r>
            <w:r>
              <w:rPr>
                <w:rFonts w:ascii="仿宋_GB2312" w:hAnsi="仿宋_GB2312" w:cs="仿宋_GB2312" w:eastAsia="仿宋_GB2312"/>
                <w:sz w:val="24"/>
              </w:rPr>
              <w:t>的调试、测试等工作。</w:t>
            </w:r>
          </w:p>
          <w:p>
            <w:pPr>
              <w:pStyle w:val="null3"/>
              <w:jc w:val="both"/>
            </w:pPr>
            <w:r>
              <w:rPr>
                <w:rFonts w:ascii="仿宋_GB2312" w:hAnsi="仿宋_GB2312" w:cs="仿宋_GB2312" w:eastAsia="仿宋_GB2312"/>
                <w:sz w:val="24"/>
              </w:rPr>
              <w:t>3、项目实施完成后，应向采购人提供详尽的文档资料（包括配置文档、使用手册等相关技术资料）。</w:t>
            </w:r>
          </w:p>
          <w:p>
            <w:pPr>
              <w:pStyle w:val="null3"/>
              <w:jc w:val="left"/>
            </w:pPr>
            <w:r>
              <w:rPr>
                <w:rFonts w:ascii="仿宋_GB2312" w:hAnsi="仿宋_GB2312" w:cs="仿宋_GB2312" w:eastAsia="仿宋_GB2312"/>
                <w:sz w:val="28"/>
                <w:b/>
              </w:rPr>
              <w:t>4</w:t>
            </w:r>
            <w:r>
              <w:rPr>
                <w:rFonts w:ascii="仿宋_GB2312" w:hAnsi="仿宋_GB2312" w:cs="仿宋_GB2312" w:eastAsia="仿宋_GB2312"/>
                <w:sz w:val="28"/>
                <w:b/>
              </w:rPr>
              <w:t>、商务要求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4"/>
              </w:rPr>
              <w:t>交货期：合同签订之日</w:t>
            </w:r>
            <w:r>
              <w:rPr>
                <w:rFonts w:ascii="仿宋_GB2312" w:hAnsi="仿宋_GB2312" w:cs="仿宋_GB2312" w:eastAsia="仿宋_GB2312"/>
                <w:sz w:val="24"/>
              </w:rPr>
              <w:t>起</w:t>
            </w:r>
            <w:r>
              <w:rPr>
                <w:rFonts w:ascii="仿宋_GB2312" w:hAnsi="仿宋_GB2312" w:cs="仿宋_GB2312" w:eastAsia="仿宋_GB2312"/>
                <w:sz w:val="24"/>
              </w:rPr>
              <w:t>30日</w:t>
            </w:r>
            <w:r>
              <w:rPr>
                <w:rFonts w:ascii="仿宋_GB2312" w:hAnsi="仿宋_GB2312" w:cs="仿宋_GB2312" w:eastAsia="仿宋_GB2312"/>
                <w:sz w:val="24"/>
              </w:rPr>
              <w:t>历天。</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2、交货地点：按照采购人指定地点。</w:t>
            </w:r>
          </w:p>
          <w:p>
            <w:pPr>
              <w:pStyle w:val="null3"/>
              <w:jc w:val="both"/>
            </w:pPr>
            <w:r>
              <w:rPr>
                <w:rFonts w:ascii="仿宋_GB2312" w:hAnsi="仿宋_GB2312" w:cs="仿宋_GB2312" w:eastAsia="仿宋_GB2312"/>
                <w:sz w:val="24"/>
              </w:rPr>
              <w:t>3、质保期：验收合格之日起24个月。</w:t>
            </w:r>
          </w:p>
          <w:p>
            <w:pPr>
              <w:pStyle w:val="null3"/>
              <w:jc w:val="both"/>
            </w:pPr>
            <w:r>
              <w:rPr>
                <w:rFonts w:ascii="仿宋_GB2312" w:hAnsi="仿宋_GB2312" w:cs="仿宋_GB2312" w:eastAsia="仿宋_GB2312"/>
                <w:sz w:val="24"/>
              </w:rPr>
              <w:t>4、付款方式：合同签订后，甲方向乙方支付30%合同货款；设备验收合格且完成车辆挂牌手续后 10 日内，甲方一次性付清剩余 70% 合同货款。</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5、包装、运输要求：</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1"/>
              </w:rPr>
              <w:t xml:space="preserve"> </w:t>
            </w:r>
            <w:r>
              <w:rPr>
                <w:rFonts w:ascii="仿宋_GB2312" w:hAnsi="仿宋_GB2312" w:cs="仿宋_GB2312" w:eastAsia="仿宋_GB2312"/>
                <w:sz w:val="24"/>
              </w:rPr>
              <w:t>包装：应采取防潮、防晒、防腐蚀、防震动及防止其它损坏的必要措施。</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应承担由于其包装或防护措施不妥而引起的货物锈蚀、损坏和丢失等任何损失造成的责任或费用。</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1"/>
              </w:rPr>
              <w:t xml:space="preserve"> </w:t>
            </w:r>
            <w:r>
              <w:rPr>
                <w:rFonts w:ascii="仿宋_GB2312" w:hAnsi="仿宋_GB2312" w:cs="仿宋_GB2312" w:eastAsia="仿宋_GB2312"/>
                <w:sz w:val="24"/>
              </w:rPr>
              <w:t>运输：选择运输风险小、运费低、距离短的运输路线。运杂费全部包在总价内，包括生产到交货验收现场所需的装卸、运输（含保险费）、现场保管费、二次倒运费等费用。</w:t>
            </w:r>
          </w:p>
          <w:p>
            <w:pPr>
              <w:pStyle w:val="null3"/>
              <w:jc w:val="both"/>
            </w:pPr>
            <w:r>
              <w:rPr>
                <w:rFonts w:ascii="仿宋_GB2312" w:hAnsi="仿宋_GB2312" w:cs="仿宋_GB2312" w:eastAsia="仿宋_GB2312"/>
                <w:sz w:val="24"/>
              </w:rPr>
              <w:t>6、验收</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1"/>
              </w:rPr>
              <w:t xml:space="preserve"> </w:t>
            </w:r>
            <w:r>
              <w:rPr>
                <w:rFonts w:ascii="仿宋_GB2312" w:hAnsi="仿宋_GB2312" w:cs="仿宋_GB2312" w:eastAsia="仿宋_GB2312"/>
                <w:sz w:val="24"/>
              </w:rPr>
              <w:t>由采购人和</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共同对设备整体进行验收。其内容包括确认产品的产地、规格、型号和数量，对其产品技术指标、采购要求及性能参数是否达到现行国家有关验收规范</w:t>
            </w:r>
            <w:r>
              <w:rPr>
                <w:rFonts w:ascii="仿宋_GB2312" w:hAnsi="仿宋_GB2312" w:cs="仿宋_GB2312" w:eastAsia="仿宋_GB2312"/>
                <w:sz w:val="24"/>
              </w:rPr>
              <w:t>“</w:t>
            </w:r>
            <w:r>
              <w:rPr>
                <w:rFonts w:ascii="仿宋_GB2312" w:hAnsi="仿宋_GB2312" w:cs="仿宋_GB2312" w:eastAsia="仿宋_GB2312"/>
                <w:sz w:val="24"/>
              </w:rPr>
              <w:t>合格</w:t>
            </w:r>
            <w:r>
              <w:rPr>
                <w:rFonts w:ascii="仿宋_GB2312" w:hAnsi="仿宋_GB2312" w:cs="仿宋_GB2312" w:eastAsia="仿宋_GB2312"/>
                <w:sz w:val="24"/>
              </w:rPr>
              <w:t>”</w:t>
            </w:r>
            <w:r>
              <w:rPr>
                <w:rFonts w:ascii="仿宋_GB2312" w:hAnsi="仿宋_GB2312" w:cs="仿宋_GB2312" w:eastAsia="仿宋_GB2312"/>
                <w:sz w:val="24"/>
              </w:rPr>
              <w:t>标准进行逐项检查。</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1"/>
              </w:rPr>
              <w:t xml:space="preserve"> </w:t>
            </w:r>
            <w:r>
              <w:rPr>
                <w:rFonts w:ascii="仿宋_GB2312" w:hAnsi="仿宋_GB2312" w:cs="仿宋_GB2312" w:eastAsia="仿宋_GB2312"/>
                <w:sz w:val="24"/>
              </w:rPr>
              <w:t>所验产品的指标、性能参数通过验收达不到招标文件要求和投标文件承诺的，或在使用中发现采购人不能容忍的缺陷等，将视为产品验收不合格，供应商应无条件免费更换或退货。</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1"/>
              </w:rPr>
              <w:t xml:space="preserve"> </w:t>
            </w:r>
            <w:r>
              <w:rPr>
                <w:rFonts w:ascii="仿宋_GB2312" w:hAnsi="仿宋_GB2312" w:cs="仿宋_GB2312" w:eastAsia="仿宋_GB2312"/>
                <w:sz w:val="24"/>
              </w:rPr>
              <w:t>若发现供应商有弄虚作假的，在投标阶段故意或随意夸大产品技术性能，供应商应无条件退货，并赔偿采购人相应的损失。</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1"/>
              </w:rPr>
              <w:t xml:space="preserve"> </w:t>
            </w:r>
            <w:r>
              <w:rPr>
                <w:rFonts w:ascii="仿宋_GB2312" w:hAnsi="仿宋_GB2312" w:cs="仿宋_GB2312" w:eastAsia="仿宋_GB2312"/>
                <w:sz w:val="24"/>
              </w:rPr>
              <w:t>验收标准：按招标文件、投标</w:t>
            </w:r>
            <w:r>
              <w:rPr>
                <w:rFonts w:ascii="仿宋_GB2312" w:hAnsi="仿宋_GB2312" w:cs="仿宋_GB2312" w:eastAsia="仿宋_GB2312"/>
                <w:sz w:val="24"/>
              </w:rPr>
              <w:t>响应</w:t>
            </w:r>
            <w:r>
              <w:rPr>
                <w:rFonts w:ascii="仿宋_GB2312" w:hAnsi="仿宋_GB2312" w:cs="仿宋_GB2312" w:eastAsia="仿宋_GB2312"/>
                <w:sz w:val="24"/>
              </w:rPr>
              <w:t>文件等技术指标进行验收。各项指标均应符合验收标准及要求。</w:t>
            </w:r>
          </w:p>
          <w:p>
            <w:pPr>
              <w:pStyle w:val="null3"/>
              <w:jc w:val="both"/>
            </w:pPr>
            <w:r>
              <w:rPr>
                <w:rFonts w:ascii="仿宋_GB2312" w:hAnsi="仿宋_GB2312" w:cs="仿宋_GB2312" w:eastAsia="仿宋_GB2312"/>
                <w:sz w:val="24"/>
              </w:rPr>
              <w:t>⑤</w:t>
            </w:r>
            <w:r>
              <w:rPr>
                <w:rFonts w:ascii="仿宋_GB2312" w:hAnsi="仿宋_GB2312" w:cs="仿宋_GB2312" w:eastAsia="仿宋_GB2312"/>
                <w:sz w:val="21"/>
              </w:rPr>
              <w:t xml:space="preserve"> </w:t>
            </w:r>
            <w:r>
              <w:rPr>
                <w:rFonts w:ascii="仿宋_GB2312" w:hAnsi="仿宋_GB2312" w:cs="仿宋_GB2312" w:eastAsia="仿宋_GB2312"/>
                <w:sz w:val="24"/>
              </w:rPr>
              <w:t>验收合格后，填写验收单，双方签字生效。</w:t>
            </w:r>
          </w:p>
          <w:p>
            <w:pPr>
              <w:pStyle w:val="null3"/>
              <w:jc w:val="both"/>
            </w:pPr>
            <w:r>
              <w:rPr>
                <w:rFonts w:ascii="仿宋_GB2312" w:hAnsi="仿宋_GB2312" w:cs="仿宋_GB2312" w:eastAsia="仿宋_GB2312"/>
                <w:sz w:val="24"/>
              </w:rPr>
              <w:t>⑥</w:t>
            </w:r>
            <w:r>
              <w:rPr>
                <w:rFonts w:ascii="仿宋_GB2312" w:hAnsi="仿宋_GB2312" w:cs="仿宋_GB2312" w:eastAsia="仿宋_GB2312"/>
                <w:sz w:val="21"/>
              </w:rPr>
              <w:t xml:space="preserve"> </w:t>
            </w:r>
            <w:r>
              <w:rPr>
                <w:rFonts w:ascii="仿宋_GB2312" w:hAnsi="仿宋_GB2312" w:cs="仿宋_GB2312" w:eastAsia="仿宋_GB2312"/>
                <w:sz w:val="24"/>
              </w:rPr>
              <w:t>验收依据：</w:t>
            </w:r>
          </w:p>
          <w:p>
            <w:pPr>
              <w:pStyle w:val="null3"/>
              <w:jc w:val="both"/>
            </w:pPr>
            <w:r>
              <w:rPr>
                <w:rFonts w:ascii="仿宋_GB2312" w:hAnsi="仿宋_GB2312" w:cs="仿宋_GB2312" w:eastAsia="仿宋_GB2312"/>
                <w:sz w:val="24"/>
              </w:rPr>
              <w:t>a)合同文本；</w:t>
            </w:r>
          </w:p>
          <w:p>
            <w:pPr>
              <w:pStyle w:val="null3"/>
              <w:jc w:val="both"/>
            </w:pPr>
            <w:r>
              <w:rPr>
                <w:rFonts w:ascii="仿宋_GB2312" w:hAnsi="仿宋_GB2312" w:cs="仿宋_GB2312" w:eastAsia="仿宋_GB2312"/>
                <w:sz w:val="24"/>
              </w:rPr>
              <w:t>b)投标</w:t>
            </w:r>
            <w:r>
              <w:rPr>
                <w:rFonts w:ascii="仿宋_GB2312" w:hAnsi="仿宋_GB2312" w:cs="仿宋_GB2312" w:eastAsia="仿宋_GB2312"/>
                <w:sz w:val="24"/>
              </w:rPr>
              <w:t>响应</w:t>
            </w:r>
            <w:r>
              <w:rPr>
                <w:rFonts w:ascii="仿宋_GB2312" w:hAnsi="仿宋_GB2312" w:cs="仿宋_GB2312" w:eastAsia="仿宋_GB2312"/>
                <w:sz w:val="24"/>
              </w:rPr>
              <w:t>文件、招标文件；</w:t>
            </w:r>
          </w:p>
          <w:p>
            <w:pPr>
              <w:pStyle w:val="null3"/>
              <w:jc w:val="both"/>
            </w:pPr>
            <w:r>
              <w:rPr>
                <w:rFonts w:ascii="仿宋_GB2312" w:hAnsi="仿宋_GB2312" w:cs="仿宋_GB2312" w:eastAsia="仿宋_GB2312"/>
                <w:sz w:val="24"/>
              </w:rPr>
              <w:t>c)国家和行业制定的相应的标准和规范；</w:t>
            </w:r>
          </w:p>
          <w:p>
            <w:pPr>
              <w:pStyle w:val="null3"/>
              <w:jc w:val="both"/>
            </w:pPr>
            <w:r>
              <w:rPr>
                <w:rFonts w:ascii="仿宋_GB2312" w:hAnsi="仿宋_GB2312" w:cs="仿宋_GB2312" w:eastAsia="仿宋_GB2312"/>
                <w:sz w:val="24"/>
              </w:rPr>
              <w:t>d)产品验收清单（注明品名、数量、规格和原产地或生产厂家）。</w:t>
            </w:r>
          </w:p>
          <w:p>
            <w:pPr>
              <w:pStyle w:val="null3"/>
              <w:jc w:val="both"/>
            </w:pPr>
            <w:r>
              <w:rPr>
                <w:rFonts w:ascii="仿宋_GB2312" w:hAnsi="仿宋_GB2312" w:cs="仿宋_GB2312" w:eastAsia="仿宋_GB2312"/>
                <w:sz w:val="24"/>
              </w:rPr>
              <w:t>7、履约保证</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1"/>
              </w:rPr>
              <w:t xml:space="preserve"> </w:t>
            </w:r>
            <w:r>
              <w:rPr>
                <w:rFonts w:ascii="仿宋_GB2312" w:hAnsi="仿宋_GB2312" w:cs="仿宋_GB2312" w:eastAsia="仿宋_GB2312"/>
                <w:sz w:val="24"/>
              </w:rPr>
              <w:t>所采购的货物须符合本次采购的质量要求。</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 xml:space="preserve"> </w:t>
            </w:r>
            <w:r>
              <w:rPr>
                <w:rFonts w:ascii="仿宋_GB2312" w:hAnsi="仿宋_GB2312" w:cs="仿宋_GB2312" w:eastAsia="仿宋_GB2312"/>
                <w:sz w:val="24"/>
              </w:rPr>
              <w:t>采购</w:t>
            </w:r>
            <w:r>
              <w:rPr>
                <w:rFonts w:ascii="仿宋_GB2312" w:hAnsi="仿宋_GB2312" w:cs="仿宋_GB2312" w:eastAsia="仿宋_GB2312"/>
                <w:sz w:val="24"/>
              </w:rPr>
              <w:t>结果公示期结束后</w:t>
            </w:r>
            <w:r>
              <w:rPr>
                <w:rFonts w:ascii="仿宋_GB2312" w:hAnsi="仿宋_GB2312" w:cs="仿宋_GB2312" w:eastAsia="仿宋_GB2312"/>
                <w:sz w:val="24"/>
              </w:rPr>
              <w:t>30天内，</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须主动与采购方联系并签订采购合同。若逾期未签订合同或无正当理由拒绝签订合同，视为自动放弃中标资格，采购人将向政府采购监督管理部门上报违约情况，该后果由</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自行承担。</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1"/>
              </w:rPr>
              <w:t xml:space="preserve"> </w:t>
            </w:r>
            <w:r>
              <w:rPr>
                <w:rFonts w:ascii="仿宋_GB2312" w:hAnsi="仿宋_GB2312" w:cs="仿宋_GB2312" w:eastAsia="仿宋_GB2312"/>
                <w:sz w:val="24"/>
              </w:rPr>
              <w:t>提供的产品及配套的设施、配件、服务等，符合国家与行业相关规定与要求。若无法满足上述所有需求，在签订合同书</w:t>
            </w:r>
            <w:r>
              <w:rPr>
                <w:rFonts w:ascii="仿宋_GB2312" w:hAnsi="仿宋_GB2312" w:cs="仿宋_GB2312" w:eastAsia="仿宋_GB2312"/>
                <w:sz w:val="24"/>
              </w:rPr>
              <w:t>30天之内，</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需采取可行的方法进行修正与补救，并不得要求采购方承担任何费用。若在上述规定的时间之内没有执行修正与补救措施，或经过修正与补救后仍然无法满足采购方上述所有需求，采购方有权单方面解除采购合同，并且不承担任何责任与后果，同时追究</w:t>
            </w:r>
            <w:r>
              <w:rPr>
                <w:rFonts w:ascii="仿宋_GB2312" w:hAnsi="仿宋_GB2312" w:cs="仿宋_GB2312" w:eastAsia="仿宋_GB2312"/>
                <w:sz w:val="24"/>
              </w:rPr>
              <w:t>成交</w:t>
            </w:r>
            <w:r>
              <w:rPr>
                <w:rFonts w:ascii="仿宋_GB2312" w:hAnsi="仿宋_GB2312" w:cs="仿宋_GB2312" w:eastAsia="仿宋_GB2312"/>
                <w:sz w:val="24"/>
              </w:rPr>
              <w:t>供应商</w:t>
            </w:r>
            <w:r>
              <w:rPr>
                <w:rFonts w:ascii="仿宋_GB2312" w:hAnsi="仿宋_GB2312" w:cs="仿宋_GB2312" w:eastAsia="仿宋_GB2312"/>
                <w:sz w:val="24"/>
              </w:rPr>
              <w:t>（中标人）</w:t>
            </w:r>
            <w:r>
              <w:rPr>
                <w:rFonts w:ascii="仿宋_GB2312" w:hAnsi="仿宋_GB2312" w:cs="仿宋_GB2312" w:eastAsia="仿宋_GB2312"/>
                <w:sz w:val="24"/>
              </w:rPr>
              <w:t>的违约责任，对采购方造成损失的可继续追偿。</w:t>
            </w:r>
          </w:p>
          <w:p>
            <w:pPr>
              <w:pStyle w:val="null3"/>
              <w:jc w:val="both"/>
            </w:pPr>
            <w:r>
              <w:rPr>
                <w:rFonts w:ascii="仿宋_GB2312" w:hAnsi="仿宋_GB2312" w:cs="仿宋_GB2312" w:eastAsia="仿宋_GB2312"/>
                <w:sz w:val="24"/>
              </w:rPr>
              <w:t>8、违约责任：</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1"/>
              </w:rPr>
              <w:t xml:space="preserve"> </w:t>
            </w:r>
            <w:r>
              <w:rPr>
                <w:rFonts w:ascii="仿宋_GB2312" w:hAnsi="仿宋_GB2312" w:cs="仿宋_GB2312" w:eastAsia="仿宋_GB2312"/>
                <w:sz w:val="24"/>
              </w:rPr>
              <w:t>按《中华人民共和国民法典》中的相关条款执行。</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1"/>
              </w:rPr>
              <w:t xml:space="preserve"> </w:t>
            </w:r>
            <w:r>
              <w:rPr>
                <w:rFonts w:ascii="仿宋_GB2312" w:hAnsi="仿宋_GB2312" w:cs="仿宋_GB2312" w:eastAsia="仿宋_GB2312"/>
                <w:sz w:val="24"/>
              </w:rPr>
              <w:t>未按合同要求提供服务或服务质量不能满足采购人要求，采购人有权终止合同，同时报请政府采购管理部门对其违约行为进行追究。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进度款，设备验收合格且完成车辆挂牌手续后，达到付款条件起10个工作日内，支付合同总金额的70.0%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按招标文件、投标响应文件等技术指标进行验收。各项指标均应符合验收标准及要求。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验收合格之日起24个月。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各方应本着诚信的态度及共同合作的精神，通过协商及谈判来努力解决由本合同而产生的或与本合同有关（包括本合同项下某一特定货物买卖合同）的任何争议及不同意见。协商、谈判不能解决的，应向项目所在地仲裁委员会申请仲裁或人民法院申请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提供独立法人或其他组织的相应证明文件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提供2025年度经审计的财务审计报告(2026年新成立的公司提供成立后企业的资产负债表和利润表），或提供近一年内基本存款账户开户银行开具的资信证明；</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提供投标截止日前六个月内任意一个月依法缴纳税收的证明材料，依法免税的单位应提供相关证明材料；</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提供投标截止日前六个月内任意一个月依法缴纳社会保障资金的证明材料（依法不需要缴纳社会保障资金的单位应提供相关证明材料）；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具备履行合同的能力承诺</w:t>
            </w:r>
          </w:p>
        </w:tc>
        <w:tc>
          <w:tcPr>
            <w:tcW w:type="dxa" w:w="3322"/>
          </w:tcPr>
          <w:p>
            <w:pPr>
              <w:pStyle w:val="null3"/>
            </w:pPr>
            <w:r>
              <w:rPr>
                <w:rFonts w:ascii="仿宋_GB2312" w:hAnsi="仿宋_GB2312" w:cs="仿宋_GB2312" w:eastAsia="仿宋_GB2312"/>
              </w:rPr>
              <w:t>具备履行合同所必需的设备和专业技术能力（提供承诺函）；</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单位负责人为同一人或者存在直接控股、管理关系的不同供应商不得同时参加本项目投标；</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法定代表人授权委托书（附法定代表人及被授权人身份证复印件）（如法定代表人参加投标只需提交法定代表人身份证明并附身份证复印件）；</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（1）《政府采购促进中小企业发展管理办法》（财库〔2020〕46号）；（2） 财政部 司法部关于政府采购支持监狱企业发展有关问题的通知--财库〔2014〕68号；（3）《国务院办公厅关于建立政府强制采购节能产品制度的通知》--国办发〔2007〕51号；（4）《财政部民政部中国残疾人联合会关于促进残疾人就业政府采购政策的通知》--财库[2017]141号；（5）《关于调整优化节能产品、环境标志产品政府采购执行机制的通知》（财库〔2019〕9号）；（6）《陕西省财政厅关于加快推进我省中小企业政府采购信用融资工作的通知》（陕财办采〔2020〕15号）；（7）《关于进一步加大政府采购支持中小企业力度的通知》（财库〔2022〕19号）；（8）其他需要落实的政府采购政策。</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有效投标报价</w:t>
            </w:r>
          </w:p>
        </w:tc>
        <w:tc>
          <w:tcPr>
            <w:tcW w:type="dxa" w:w="3322"/>
          </w:tcPr>
          <w:p>
            <w:pPr>
              <w:pStyle w:val="null3"/>
            </w:pPr>
            <w:r>
              <w:rPr>
                <w:rFonts w:ascii="仿宋_GB2312" w:hAnsi="仿宋_GB2312" w:cs="仿宋_GB2312" w:eastAsia="仿宋_GB2312"/>
              </w:rPr>
              <w:t>投标文件中报价不得超过采购预算金额或最高限价</w:t>
            </w:r>
          </w:p>
        </w:tc>
        <w:tc>
          <w:tcPr>
            <w:tcW w:type="dxa" w:w="1661"/>
          </w:tcPr>
          <w:p>
            <w:pPr>
              <w:pStyle w:val="null3"/>
            </w:pPr>
            <w:r>
              <w:rPr>
                <w:rFonts w:ascii="仿宋_GB2312" w:hAnsi="仿宋_GB2312" w:cs="仿宋_GB2312" w:eastAsia="仿宋_GB2312"/>
              </w:rPr>
              <w:t>开标一览表 中小企业声明函 商务应答表 法定代表人（单位负责人）身份证明及授权委托书 投标人应提交的相关资格证明材料 产品技术参数表 其他资料 投标函 残疾人福利性单位声明函 标的清单 投标文件封面 监狱企业的证明文件 实施方案</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技术参数要求完全满足招标要求得12分： ★号指标每负偏离一项扣1分，非★号指标每负偏离一项扣0.5分，扣完为止。 注：（1）★号指标需提供相关证明材料（包括但不限于产品说明书，或产品介绍，或产品宣传资料或官网功能截图，或工信部公告截图，或相关检测报告等），否则视为负偏离；非★号指标以技术偏离表数据为准，若交付验收时发现弄虚作假，招标人有权拒绝验收。 （2）同一指标提供多种佐证材料，出现不一致或互相矛盾时，视为负偏离。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1、供货、运输安排、安装调试、验收方案等说明； 2、供货进度计划及保障措施； 3、管理制度、协调方案及项目验收方案； 4、人员配置分工。 评审标准：各项内容全面，条理清晰，阐述合理，能有效保障本项目的开展实施。每项满分为4分，每缺1项当项不得分，每有一处内容存在缺陷或瑕疵，扣0.5分，扣完为止。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根据项目实际需求，提供质量保证方案： 1、投标产品性能说明； 2、产品来源渠道合法，供货渠道正常，检验手续完善、合法有效，无产权纠纷； 3、质量保证承诺，保证措施完善，符合国内相关标准。 评审标准：各项内容全面，条理清晰，阐述合理，能有效保障本项目的开展实施。每项满分为4分，每缺1项当项不得分，每有一处内容存在缺陷或瑕疵，扣0.5分，扣完为止。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1、售后服务总体计划及应急处理措施； 2、故障响应时间、处理方式及服务承诺； 3、售后服务方式及售后服务人员保障。 评审标准：各项内容全面，条理清晰，阐述合理，能有效保障本项目供货实施。每项满分为4分，每缺1项当项不得分，每有一处内容存在缺陷或瑕疵，扣0.5分，扣完为止。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供应商提供2023年1月至今的类似业绩，每提供一份合同复印件或中标通知书或中标（成交）结果公告网页截图并加盖公章得2分，满分8分，提供资料不全或者无法辨认的不得分。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结合本项目采购需求，对投标人的培训方案等进行评审： 1、培训计划； 2、培训内容。 每项满分为4分，每缺1项当项不得分，每有一处内容存在缺陷或瑕疵，扣0.5分，扣完为止。 备注：缺陷是指内容不合理、虽有内容但不完善、内容表述前后不一致、套用其他项目方案或与项目需求不匹配及其他不利于项目实施等任意一种情形。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投标人对交货地点、质保期、付款方式、验收等商务要求进行响应，完全响应得2分，缺一项扣0.5分，扣完为止。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注：符合招标文件规定的中小企业、监狱企业、残疾人福利性单位优惠条件的投标人，价格给予10%的扣除，用扣除后的价格参与评审。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其他资料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法定代表人（单位负责人）身份证明及授权委托书</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w:t>
            </w:r>
          </w:p>
          <w:p>
            <w:pPr>
              <w:pStyle w:val="null3"/>
            </w:pPr>
            <w:r>
              <w:rPr>
                <w:rFonts w:ascii="仿宋_GB2312" w:hAnsi="仿宋_GB2312" w:cs="仿宋_GB2312" w:eastAsia="仿宋_GB2312"/>
              </w:rPr>
              <w:t>其他资料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详见附件：法定代表人（单位负责人）身份证明及授权委托书</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