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版本号：CGZC-2026-070、XACH2026-06520260730001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2026-2027年车辆租赁服务项目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CGZC-2026-070、XACH2026-065</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2026-2027年车辆租赁服务项目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CGZC-2026-070、XACH2026-065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2026-2027年车辆租赁服务项目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2026-2027年车辆租赁服务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国家计委关于印发&lt;招标代理服务收费管理暂行办法&gt;的通知》（计价格〔2002〕1980号）和发改办价格〔2003〕857号以及发改价格〔2011〕534号文中规定的标准执行。本项目以预算金额420万元为基数，收取代理服务费人民币肆万零陆佰元整（￥40600.00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按国家标准和规范、合同规定、投标文件条款和招标文件要求。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联系人：刘娜娜、单云、王文文</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2026-2027年车辆租赁服务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4,200,000.00</w:t>
      </w:r>
    </w:p>
    <w:p>
      <w:pPr>
        <w:pStyle w:val="null3"/>
      </w:pPr>
      <w:r>
        <w:rPr>
          <w:rFonts w:ascii="仿宋_GB2312" w:hAnsi="仿宋_GB2312" w:cs="仿宋_GB2312" w:eastAsia="仿宋_GB2312"/>
        </w:rPr>
        <w:t>采购包最高限价（元）: 4,200,000.00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2026-2027年车辆租赁服务项目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标的名称：2026-2027年车辆租赁服务项目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、采购服务要求</w:t>
            </w:r>
          </w:p>
          <w:p>
            <w:pPr>
              <w:pStyle w:val="null3"/>
              <w:jc w:val="both"/>
            </w:pPr>
            <w:r>
              <w:rPr>
                <w:rFonts w:ascii="仿宋_GB2312" w:hAnsi="仿宋_GB2312" w:cs="仿宋_GB2312" w:eastAsia="仿宋_GB2312"/>
                <w:sz w:val="28"/>
              </w:rPr>
              <w:t>1.供应商应按照采购人的用车计划和行车时间安排车辆，提供车辆租赁服务，供应商应保证车辆证件齐全有效</w:t>
            </w:r>
            <w:r>
              <w:rPr>
                <w:rFonts w:ascii="仿宋_GB2312" w:hAnsi="仿宋_GB2312" w:cs="仿宋_GB2312" w:eastAsia="仿宋_GB2312"/>
                <w:sz w:val="28"/>
              </w:rPr>
              <w:t>、</w:t>
            </w:r>
            <w:r>
              <w:rPr>
                <w:rFonts w:ascii="仿宋_GB2312" w:hAnsi="仿宋_GB2312" w:cs="仿宋_GB2312" w:eastAsia="仿宋_GB2312"/>
                <w:sz w:val="28"/>
              </w:rPr>
              <w:t>性能良好</w:t>
            </w:r>
            <w:r>
              <w:rPr>
                <w:rFonts w:ascii="仿宋_GB2312" w:hAnsi="仿宋_GB2312" w:cs="仿宋_GB2312" w:eastAsia="仿宋_GB2312"/>
                <w:sz w:val="28"/>
              </w:rPr>
              <w:t>、</w:t>
            </w:r>
            <w:r>
              <w:rPr>
                <w:rFonts w:ascii="仿宋_GB2312" w:hAnsi="仿宋_GB2312" w:cs="仿宋_GB2312" w:eastAsia="仿宋_GB2312"/>
                <w:sz w:val="28"/>
              </w:rPr>
              <w:t>乘坐舒适</w:t>
            </w:r>
            <w:r>
              <w:rPr>
                <w:rFonts w:ascii="仿宋_GB2312" w:hAnsi="仿宋_GB2312" w:cs="仿宋_GB2312" w:eastAsia="仿宋_GB2312"/>
                <w:sz w:val="28"/>
              </w:rPr>
              <w:t>、</w:t>
            </w:r>
            <w:r>
              <w:rPr>
                <w:rFonts w:ascii="仿宋_GB2312" w:hAnsi="仿宋_GB2312" w:cs="仿宋_GB2312" w:eastAsia="仿宋_GB2312"/>
                <w:sz w:val="28"/>
              </w:rPr>
              <w:t>干净整洁无异味、</w:t>
            </w:r>
            <w:r>
              <w:rPr>
                <w:rFonts w:ascii="仿宋_GB2312" w:hAnsi="仿宋_GB2312" w:cs="仿宋_GB2312" w:eastAsia="仿宋_GB2312"/>
                <w:sz w:val="28"/>
              </w:rPr>
              <w:t>安全放心。</w:t>
            </w:r>
            <w:r>
              <w:rPr>
                <w:rFonts w:ascii="仿宋_GB2312" w:hAnsi="仿宋_GB2312" w:cs="仿宋_GB2312" w:eastAsia="仿宋_GB2312"/>
                <w:sz w:val="28"/>
              </w:rPr>
              <w:t>所提供车辆符合</w:t>
            </w:r>
            <w:r>
              <w:rPr>
                <w:rFonts w:ascii="仿宋_GB2312" w:hAnsi="仿宋_GB2312" w:cs="仿宋_GB2312" w:eastAsia="仿宋_GB2312"/>
                <w:sz w:val="28"/>
              </w:rPr>
              <w:t>《党政机关公务用车管理办法》</w:t>
            </w:r>
            <w:r>
              <w:rPr>
                <w:rFonts w:ascii="仿宋_GB2312" w:hAnsi="仿宋_GB2312" w:cs="仿宋_GB2312" w:eastAsia="仿宋_GB2312"/>
                <w:sz w:val="28"/>
              </w:rPr>
              <w:t>相关规定。</w:t>
            </w:r>
          </w:p>
          <w:p>
            <w:pPr>
              <w:pStyle w:val="null3"/>
              <w:jc w:val="both"/>
            </w:pPr>
            <w:r>
              <w:rPr>
                <w:rFonts w:ascii="仿宋_GB2312" w:hAnsi="仿宋_GB2312" w:cs="仿宋_GB2312" w:eastAsia="仿宋_GB2312"/>
                <w:sz w:val="28"/>
              </w:rPr>
              <w:t>2.车辆的保险</w:t>
            </w:r>
            <w:r>
              <w:rPr>
                <w:rFonts w:ascii="仿宋_GB2312" w:hAnsi="仿宋_GB2312" w:cs="仿宋_GB2312" w:eastAsia="仿宋_GB2312"/>
                <w:sz w:val="28"/>
              </w:rPr>
              <w:t>(包含交通事故责任强制险、机动车损失险、第三者责任险不低于100万元等)</w:t>
            </w:r>
            <w:r>
              <w:rPr>
                <w:rFonts w:ascii="仿宋_GB2312" w:hAnsi="仿宋_GB2312" w:cs="仿宋_GB2312" w:eastAsia="仿宋_GB2312"/>
                <w:sz w:val="28"/>
              </w:rPr>
              <w:t>、维修、保养等由供应商全面负责；车辆维修时，供应商须提供替换车辆，保障工作用车需求</w:t>
            </w:r>
            <w:r>
              <w:rPr>
                <w:rFonts w:ascii="仿宋_GB2312" w:hAnsi="仿宋_GB2312" w:cs="仿宋_GB2312" w:eastAsia="仿宋_GB2312"/>
                <w:sz w:val="28"/>
              </w:rPr>
              <w:t>。</w:t>
            </w:r>
            <w:r>
              <w:rPr>
                <w:rFonts w:ascii="仿宋_GB2312" w:hAnsi="仿宋_GB2312" w:cs="仿宋_GB2312" w:eastAsia="仿宋_GB2312"/>
                <w:sz w:val="28"/>
              </w:rPr>
              <w:t>对车辆定期维修保养，按期购买车辆保险，确保服务车辆车况良好。</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供应商对车辆定期年审和安检，确保服务车辆安全运行。</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及时更换车辆，以确保</w:t>
            </w:r>
            <w:r>
              <w:rPr>
                <w:rFonts w:ascii="仿宋_GB2312" w:hAnsi="仿宋_GB2312" w:cs="仿宋_GB2312" w:eastAsia="仿宋_GB2312"/>
                <w:sz w:val="28"/>
              </w:rPr>
              <w:t>采购人</w:t>
            </w:r>
            <w:r>
              <w:rPr>
                <w:rFonts w:ascii="仿宋_GB2312" w:hAnsi="仿宋_GB2312" w:cs="仿宋_GB2312" w:eastAsia="仿宋_GB2312"/>
                <w:sz w:val="28"/>
              </w:rPr>
              <w:t>用车不受限行影响</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5.供应商</w:t>
            </w:r>
            <w:r>
              <w:rPr>
                <w:rFonts w:ascii="仿宋_GB2312" w:hAnsi="仿宋_GB2312" w:cs="仿宋_GB2312" w:eastAsia="仿宋_GB2312"/>
                <w:sz w:val="28"/>
              </w:rPr>
              <w:t>负责审核驾驶员信息，按照采购人要求确定驾驶员名单。采购人可要求供应商调换不符合要求的车辆和驾驶员</w:t>
            </w:r>
            <w:r>
              <w:rPr>
                <w:rFonts w:ascii="仿宋_GB2312" w:hAnsi="仿宋_GB2312" w:cs="仿宋_GB2312" w:eastAsia="仿宋_GB2312"/>
                <w:sz w:val="28"/>
              </w:rPr>
              <w:t>，</w:t>
            </w:r>
            <w:r>
              <w:rPr>
                <w:rFonts w:ascii="仿宋_GB2312" w:hAnsi="仿宋_GB2312" w:cs="仿宋_GB2312" w:eastAsia="仿宋_GB2312"/>
                <w:sz w:val="28"/>
              </w:rPr>
              <w:t>中标后需提供驾驶员</w:t>
            </w:r>
            <w:r>
              <w:rPr>
                <w:rFonts w:ascii="仿宋_GB2312" w:hAnsi="仿宋_GB2312" w:cs="仿宋_GB2312" w:eastAsia="仿宋_GB2312"/>
                <w:sz w:val="28"/>
              </w:rPr>
              <w:t>无犯罪记录证明</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.车辆驾驶员定期开展安全教育培训工作，要求驾驶员着装整洁，服务规范，并严格遵守《中华人民共和国</w:t>
            </w:r>
            <w:r>
              <w:rPr>
                <w:rFonts w:ascii="仿宋_GB2312" w:hAnsi="仿宋_GB2312" w:cs="仿宋_GB2312" w:eastAsia="仿宋_GB2312"/>
                <w:sz w:val="28"/>
              </w:rPr>
              <w:t>道路交通安全法</w:t>
            </w:r>
            <w:r>
              <w:rPr>
                <w:rFonts w:ascii="仿宋_GB2312" w:hAnsi="仿宋_GB2312" w:cs="仿宋_GB2312" w:eastAsia="仿宋_GB2312"/>
                <w:sz w:val="28"/>
              </w:rPr>
              <w:t>》，安全驾驶车辆。</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供应商在每次出车前做好车辆安全检查工作，保证车辆安全正常行驶。保证车辆随车物件配备齐全，车内应该备有随车工具、备胎、灭火器及采购人所需其他相关物资。</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定期对车辆进行日常检查，特别对机油、刹车油、冷却液、电解液、轮胎气压的检查，对制动、转向、灯光、刮水器、喇叭性能的检查，在使用过程中，如发现异常，应立即通知采购人，并按照工作流程到指定维修场所进行维修及保养。</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.提供车辆故障、事故的24小时救援服务</w:t>
            </w:r>
            <w:r>
              <w:rPr>
                <w:rFonts w:ascii="仿宋_GB2312" w:hAnsi="仿宋_GB2312" w:cs="仿宋_GB2312" w:eastAsia="仿宋_GB2312"/>
                <w:sz w:val="28"/>
              </w:rPr>
              <w:t>及事故跟进处理</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.对所获得的采购方信息负有保密义务。</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.配合采购人落实与租赁车辆有关的其他工作。</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采购人可对供应商提供车辆的当年检审验证明、保险单据、驾驶员审验证明、服务态度和服务质量进行监督和检查。</w:t>
            </w:r>
          </w:p>
          <w:p>
            <w:pPr>
              <w:pStyle w:val="null3"/>
              <w:jc w:val="both"/>
            </w:pPr>
            <w:r>
              <w:rPr>
                <w:rFonts w:ascii="仿宋_GB2312" w:hAnsi="仿宋_GB2312" w:cs="仿宋_GB2312" w:eastAsia="仿宋_GB2312"/>
                <w:sz w:val="28"/>
              </w:rPr>
              <w:t>二、基准价</w:t>
            </w:r>
          </w:p>
          <w:tbl>
            <w:tblPr>
              <w:tblInd w:type="dxa" w:w="120"/>
              <w:tblBorders>
                <w:top w:val="none" w:color="000000" w:sz="4"/>
                <w:left w:val="none" w:color="000000" w:sz="4"/>
                <w:bottom w:val="none" w:color="000000" w:sz="4"/>
                <w:right w:val="none" w:color="000000" w:sz="4"/>
                <w:insideH w:val="none"/>
                <w:insideV w:val="none"/>
              </w:tblBorders>
            </w:tblPr>
            <w:tblGrid>
              <w:gridCol w:w="130"/>
              <w:gridCol w:w="157"/>
              <w:gridCol w:w="175"/>
              <w:gridCol w:w="224"/>
              <w:gridCol w:w="314"/>
              <w:gridCol w:w="206"/>
              <w:gridCol w:w="274"/>
              <w:gridCol w:w="193"/>
              <w:gridCol w:w="292"/>
              <w:gridCol w:w="301"/>
              <w:gridCol w:w="260"/>
            </w:tblGrid>
            <w:tr>
              <w:tc>
                <w:tcPr>
                  <w:tcW w:type="dxa" w:w="462"/>
                  <w:gridSpan w:val="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车型</w:t>
                  </w:r>
                </w:p>
              </w:tc>
              <w:tc>
                <w:tcPr>
                  <w:tcW w:type="dxa" w:w="5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方案</w:t>
                  </w:r>
                  <w:r>
                    <w:rPr>
                      <w:rFonts w:ascii="仿宋_GB2312" w:hAnsi="仿宋_GB2312" w:cs="仿宋_GB2312" w:eastAsia="仿宋_GB2312"/>
                      <w:sz w:val="24"/>
                    </w:rPr>
                    <w:t>A</w:t>
                  </w:r>
                </w:p>
              </w:tc>
              <w:tc>
                <w:tcPr>
                  <w:tcW w:type="dxa" w:w="4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方案</w:t>
                  </w:r>
                  <w:r>
                    <w:rPr>
                      <w:rFonts w:ascii="仿宋_GB2312" w:hAnsi="仿宋_GB2312" w:cs="仿宋_GB2312" w:eastAsia="仿宋_GB2312"/>
                      <w:sz w:val="24"/>
                    </w:rPr>
                    <w:t>B</w:t>
                  </w:r>
                </w:p>
              </w:tc>
              <w:tc>
                <w:tcPr>
                  <w:tcW w:type="dxa" w:w="4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方案</w:t>
                  </w:r>
                  <w:r>
                    <w:rPr>
                      <w:rFonts w:ascii="仿宋_GB2312" w:hAnsi="仿宋_GB2312" w:cs="仿宋_GB2312" w:eastAsia="仿宋_GB2312"/>
                      <w:sz w:val="24"/>
                    </w:rPr>
                    <w:t>C</w:t>
                  </w:r>
                </w:p>
              </w:tc>
              <w:tc>
                <w:tcPr>
                  <w:tcW w:type="dxa" w:w="30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日租（含</w:t>
                  </w:r>
                  <w:r>
                    <w:rPr>
                      <w:rFonts w:ascii="仿宋_GB2312" w:hAnsi="仿宋_GB2312" w:cs="仿宋_GB2312" w:eastAsia="仿宋_GB2312"/>
                      <w:sz w:val="24"/>
                    </w:rPr>
                    <w:t>100公里）超公里</w:t>
                  </w:r>
                </w:p>
              </w:tc>
              <w:tc>
                <w:tcPr>
                  <w:tcW w:type="dxa" w:w="26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日租（含</w:t>
                  </w:r>
                  <w:r>
                    <w:rPr>
                      <w:rFonts w:ascii="仿宋_GB2312" w:hAnsi="仿宋_GB2312" w:cs="仿宋_GB2312" w:eastAsia="仿宋_GB2312"/>
                      <w:sz w:val="24"/>
                    </w:rPr>
                    <w:t>10小时）超时</w:t>
                  </w:r>
                </w:p>
              </w:tc>
            </w:tr>
            <w:tr>
              <w:tc>
                <w:tcPr>
                  <w:tcW w:type="dxa" w:w="462"/>
                  <w:gridSpan w:val="3"/>
                  <w:vMerge/>
                  <w:tcBorders>
                    <w:top w:val="single" w:color="000000" w:sz="4"/>
                    <w:left w:val="single" w:color="000000" w:sz="4"/>
                    <w:bottom w:val="single" w:color="000000" w:sz="4"/>
                    <w:right w:val="single" w:color="000000" w:sz="4"/>
                  </w:tcBorders>
                </w:tcPr>
                <w:p/>
              </w:tc>
              <w:tc>
                <w:tcPr>
                  <w:tcW w:type="dxa" w:w="5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含司机</w:t>
                  </w:r>
                </w:p>
              </w:tc>
              <w:tc>
                <w:tcPr>
                  <w:tcW w:type="dxa" w:w="4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不含司机</w:t>
                  </w:r>
                </w:p>
              </w:tc>
              <w:tc>
                <w:tcPr>
                  <w:tcW w:type="dxa" w:w="4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不含司机、不含油</w:t>
                  </w:r>
                  <w:r>
                    <w:rPr>
                      <w:rFonts w:ascii="仿宋_GB2312" w:hAnsi="仿宋_GB2312" w:cs="仿宋_GB2312" w:eastAsia="仿宋_GB2312"/>
                      <w:sz w:val="24"/>
                    </w:rPr>
                    <w:t>/电费</w:t>
                  </w:r>
                </w:p>
              </w:tc>
            </w:tr>
            <w:tr>
              <w:tc>
                <w:tcPr>
                  <w:tcW w:type="dxa" w:w="462"/>
                  <w:gridSpan w:val="3"/>
                  <w:vMerge/>
                  <w:tcBorders>
                    <w:top w:val="single" w:color="000000" w:sz="4"/>
                    <w:left w:val="single" w:color="000000" w:sz="4"/>
                    <w:bottom w:val="single" w:color="000000" w:sz="4"/>
                    <w:right w:val="single" w:color="000000" w:sz="4"/>
                  </w:tcBorders>
                </w:tc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/月</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/天</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/月</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/公里</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/小时</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油车</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rPr>
                    <w:t>5座轿车</w:t>
                  </w:r>
                </w:p>
              </w:tc>
              <w:tc>
                <w:tcPr>
                  <w:tcW w:type="dxa" w:w="17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A级</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5400</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30"/>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7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B级</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30"/>
                  <w:vMerge/>
                  <w:tcBorders>
                    <w:top w:val="none" w:color="000000" w:sz="4"/>
                    <w:left w:val="single" w:color="000000" w:sz="4"/>
                    <w:bottom w:val="single" w:color="000000" w:sz="4"/>
                    <w:right w:val="single" w:color="000000" w:sz="4"/>
                  </w:tcBorders>
                </w:tcP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7座</w:t>
                  </w:r>
                </w:p>
              </w:tc>
              <w:tc>
                <w:tcPr>
                  <w:tcW w:type="dxa" w:w="17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面包车</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30"/>
                  <w:vMerge/>
                  <w:tcBorders>
                    <w:top w:val="none" w:color="000000" w:sz="4"/>
                    <w:left w:val="singl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7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商务车</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w:t>
                  </w:r>
                </w:p>
              </w:tc>
            </w:tr>
            <w:tr>
              <w:tc>
                <w:tcPr>
                  <w:tcW w:type="dxa" w:w="130"/>
                  <w:vMerge/>
                  <w:tcBorders>
                    <w:top w:val="none" w:color="000000" w:sz="4"/>
                    <w:left w:val="single" w:color="000000" w:sz="4"/>
                    <w:bottom w:val="single" w:color="000000" w:sz="4"/>
                    <w:right w:val="single" w:color="000000" w:sz="4"/>
                  </w:tcBorders>
                </w:tcP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考斯特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r>
            <w:tr>
              <w:tc>
                <w:tcPr>
                  <w:tcW w:type="dxa" w:w="1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油电混动车</w:t>
                  </w: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5座轿车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312</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30"/>
                  <w:vMerge/>
                  <w:tcBorders>
                    <w:top w:val="none" w:color="000000" w:sz="4"/>
                    <w:left w:val="single" w:color="000000" w:sz="4"/>
                    <w:bottom w:val="single" w:color="000000" w:sz="4"/>
                    <w:right w:val="single" w:color="000000" w:sz="4"/>
                  </w:tcBorders>
                </w:tcP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7座商务车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纯电车</w:t>
                  </w: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5座轿车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534</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13350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234</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5450</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bl>
          <w:p>
            <w:pPr>
              <w:pStyle w:val="null3"/>
              <w:spacing w:before="315"/>
              <w:jc w:val="both"/>
            </w:pPr>
            <w:r>
              <w:rPr>
                <w:rFonts w:ascii="仿宋_GB2312" w:hAnsi="仿宋_GB2312" w:cs="仿宋_GB2312" w:eastAsia="仿宋_GB2312"/>
                <w:sz w:val="28"/>
                <w:b/>
              </w:rPr>
              <w:t>方案</w:t>
            </w:r>
            <w:r>
              <w:rPr>
                <w:rFonts w:ascii="仿宋_GB2312" w:hAnsi="仿宋_GB2312" w:cs="仿宋_GB2312" w:eastAsia="仿宋_GB2312"/>
                <w:sz w:val="28"/>
                <w:b/>
              </w:rPr>
              <w:t>A：包含租赁车辆服务涉及的全部费用。</w:t>
            </w:r>
          </w:p>
          <w:p>
            <w:pPr>
              <w:pStyle w:val="null3"/>
              <w:jc w:val="both"/>
            </w:pPr>
            <w:r>
              <w:rPr>
                <w:rFonts w:ascii="仿宋_GB2312" w:hAnsi="仿宋_GB2312" w:cs="仿宋_GB2312" w:eastAsia="仿宋_GB2312"/>
                <w:sz w:val="28"/>
                <w:b/>
              </w:rPr>
              <w:t>方案</w:t>
            </w:r>
            <w:r>
              <w:rPr>
                <w:rFonts w:ascii="仿宋_GB2312" w:hAnsi="仿宋_GB2312" w:cs="仿宋_GB2312" w:eastAsia="仿宋_GB2312"/>
                <w:sz w:val="28"/>
                <w:b/>
              </w:rPr>
              <w:t>B：包含除司机费用外租赁车辆服务涉及的全部费用。</w:t>
            </w:r>
          </w:p>
          <w:p>
            <w:pPr>
              <w:pStyle w:val="null3"/>
              <w:jc w:val="both"/>
            </w:pPr>
            <w:r>
              <w:rPr>
                <w:rFonts w:ascii="仿宋_GB2312" w:hAnsi="仿宋_GB2312" w:cs="仿宋_GB2312" w:eastAsia="仿宋_GB2312"/>
                <w:sz w:val="28"/>
                <w:b/>
              </w:rPr>
              <w:t>方案</w:t>
            </w:r>
            <w:r>
              <w:rPr>
                <w:rFonts w:ascii="仿宋_GB2312" w:hAnsi="仿宋_GB2312" w:cs="仿宋_GB2312" w:eastAsia="仿宋_GB2312"/>
                <w:sz w:val="28"/>
                <w:b/>
              </w:rPr>
              <w:t>C：包含除司机费用、车辆油/电费外租赁车辆服务涉及的全部费用。</w:t>
            </w:r>
          </w:p>
          <w:p>
            <w:pPr>
              <w:pStyle w:val="null3"/>
            </w:pPr>
            <w:r>
              <w:rPr>
                <w:rFonts w:ascii="仿宋_GB2312" w:hAnsi="仿宋_GB2312" w:cs="仿宋_GB2312" w:eastAsia="仿宋_GB2312"/>
                <w:sz w:val="28"/>
              </w:rPr>
              <w:t>注：</w:t>
            </w:r>
            <w:r>
              <w:rPr>
                <w:rFonts w:ascii="仿宋_GB2312" w:hAnsi="仿宋_GB2312" w:cs="仿宋_GB2312" w:eastAsia="仿宋_GB2312"/>
                <w:sz w:val="28"/>
              </w:rPr>
              <w:t>投标报价为完成本项目招标文件中所提出的工作范围及要求的全部内容，并达到国家及采购人验收标准而产生的所有费用，包括但不限于车辆租赁费、维修保养费、车辆油</w:t>
            </w:r>
            <w:r>
              <w:rPr>
                <w:rFonts w:ascii="仿宋_GB2312" w:hAnsi="仿宋_GB2312" w:cs="仿宋_GB2312" w:eastAsia="仿宋_GB2312"/>
                <w:sz w:val="28"/>
              </w:rPr>
              <w:t>/电费（如有）、</w:t>
            </w:r>
            <w:r>
              <w:rPr>
                <w:rFonts w:ascii="仿宋_GB2312" w:hAnsi="仿宋_GB2312" w:cs="仿宋_GB2312" w:eastAsia="仿宋_GB2312"/>
                <w:sz w:val="28"/>
              </w:rPr>
              <w:t>车辆</w:t>
            </w:r>
            <w:r>
              <w:rPr>
                <w:rFonts w:ascii="仿宋_GB2312" w:hAnsi="仿宋_GB2312" w:cs="仿宋_GB2312" w:eastAsia="仿宋_GB2312"/>
                <w:sz w:val="28"/>
              </w:rPr>
              <w:t>保险费、司机费用（如有）、</w:t>
            </w:r>
            <w:r>
              <w:rPr>
                <w:rFonts w:ascii="仿宋_GB2312" w:hAnsi="仿宋_GB2312" w:cs="仿宋_GB2312" w:eastAsia="仿宋_GB2312"/>
                <w:sz w:val="28"/>
              </w:rPr>
              <w:t>西安绕城高速费</w:t>
            </w:r>
            <w:r>
              <w:rPr>
                <w:rFonts w:ascii="仿宋_GB2312" w:hAnsi="仿宋_GB2312" w:cs="仿宋_GB2312" w:eastAsia="仿宋_GB2312"/>
                <w:sz w:val="28"/>
              </w:rPr>
              <w:t>、管理费、招标代理服务费、利润、规费、税金及市场浮动风险等所需的全部费用。任何错报、漏报由供应商自行负责。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供应商根据本项目实施情况，自行提供。</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供应商根据本项目实施情况，自行提供。</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进度款，：租赁费用按季度进行支付，每季度按照合同单价及经采购人确认的用车数量进行一次结算，结算后支付结算周期内的租赁费用，达到付款条件起10个工作日内，支付合同总金额的25.0%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进度款，：租赁费用按季度进行支付，每季度按照合同单价及经采购人确认的用车数量进行一次结算，结算后支付结算周期内的租赁费用，达到付款条件起10个工作日内，支付合同总金额的25.0%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进度款，：租赁费用按季度进行支付，每季度按照合同单价及经采购人确认的用车数量进行一次结算，结算后支付结算周期内的租赁费用，达到付款条件起10个工作日内，支付合同总金额的25.0%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进度款，：租赁费用按季度进行支付，每季度按照合同单价及经采购人确认的用车数量进行一次结算，结算后支付结算周期内的租赁费用，达到付款条件起10个工作日内，支付合同总金额的25.0%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（一）中标人领取中标通知书时须向代理机构提交纸质版投标文件：正本壹份、副本贰份、电子版（U盘）贰份。 （二）投标报价为完成本项目招标文件中所提出的工作范围及要求的全部内容，并达到国家及采购人验收标准而产生的所有费用，合同金额包括但不限于车辆租赁费、维修保养费、车辆油/电费（如有）、车辆保险费、司机费用（如有）、西安绕城高速费、管理费、招标代理服务费、利润、规费、税金及市场浮动风险等所需的全部费用，任何错报漏报由供应商自行负责。 （三）本项目所属行业：租赁和商务服务业。根据《工业和信息化部、国家统计局、国家发展和改革委员会、财政部关于印发中小企业划型标准规定的通知》（工信部联企业〔2011〕300号）规定的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详见5.6.2评分标准 异常低价审查</w:t>
            </w:r>
          </w:p>
        </w:tc>
        <w:tc>
          <w:tcPr>
            <w:tcW w:type="dxa" w:w="1661"/>
          </w:tcPr>
          <w:p>
            <w:pPr>
              <w:pStyle w:val="null3"/>
            </w:pPr>
            <w:r>
              <w:rPr>
                <w:rFonts w:ascii="仿宋_GB2312" w:hAnsi="仿宋_GB2312" w:cs="仿宋_GB2312" w:eastAsia="仿宋_GB2312"/>
              </w:rPr>
              <w:t>开标一览表 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报价一览表.docx 中小企业声明函 商务应答表 服务内容及服务要求应答表 承诺书.docx 资格证明文件.docx 投标函 业绩证明文件及投标方案说明.docx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报价一览表.docx 中小企业声明函 商务应答表 服务内容及服务要求应答表 承诺书.docx 资格证明文件.docx 投标函 业绩证明文件及投标方案说明.docx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服务内容及服务要求应答表 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投标函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提供2023年以来类似项目业绩合同（以合同签订时间为准），每份业绩计2分，满分10分。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①需求分析；②租赁方案；③服务保障； 二、评审标准 1.完整性：方案须全面，对评审内容中的各项要求有详细描述； 2.可实施性：切合本项目实际情况，实施步骤清晰、合理； 3.针对性：方案能够紧扣项目实际情况，内容科学合理。 三、赋分标准 ①需求分析：每完全满足一项评审标准计1分，满分3分。 ②租赁方案：每完全满足一项评审标准计1分，满分3分。 ③服务保障：每完全满足一项评审标准计1分，满分3分。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针对本项目配备人员（包括但不限于管理人员、工作人员、应急处置人员等），所配备人员数量不得少于5人，每少1人扣1分，扣完为止，本项满分5分。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拟派驾驶员的要求</w:t>
            </w:r>
          </w:p>
        </w:tc>
        <w:tc>
          <w:tcPr>
            <w:tcW w:type="dxa" w:w="2492"/>
          </w:tcPr>
          <w:p>
            <w:pPr>
              <w:pStyle w:val="null3"/>
            </w:pPr>
            <w:r>
              <w:rPr>
                <w:rFonts w:ascii="仿宋_GB2312" w:hAnsi="仿宋_GB2312" w:cs="仿宋_GB2312" w:eastAsia="仿宋_GB2312"/>
              </w:rPr>
              <w:t>针对本项目配备驾驶员≥10人，且驾驶员的驾驶经验不少于5年，需持有有效 C1 或以上驾驶证（根据本项目要求车型自行配备），年龄不超过60周岁，得5分，每多提供1人得1分，最高4分，本项满分9分。 注：投标文件中附人员身份证、证件、社保缴纳凭证等证明材料，未按照要求提供的，不计分。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车辆数量配置</w:t>
            </w:r>
          </w:p>
        </w:tc>
        <w:tc>
          <w:tcPr>
            <w:tcW w:type="dxa" w:w="2492"/>
          </w:tcPr>
          <w:p>
            <w:pPr>
              <w:pStyle w:val="null3"/>
            </w:pPr>
            <w:r>
              <w:rPr>
                <w:rFonts w:ascii="仿宋_GB2312" w:hAnsi="仿宋_GB2312" w:cs="仿宋_GB2312" w:eastAsia="仿宋_GB2312"/>
              </w:rPr>
              <w:t>针对本项目提供车辆≥10台（需满足采购内容要求的所有车型），得5分；每多提供一辆车加1分，最多加8分，其他不得分；本项目满分13分。 注：所有⻋辆⼿续正规，投标文件中附车辆的机动车登记证、机动车行驶证扫描件、年检合格证明等证明材料，未按照要求提供的，不计分。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车上人员责任险</w:t>
            </w:r>
          </w:p>
        </w:tc>
        <w:tc>
          <w:tcPr>
            <w:tcW w:type="dxa" w:w="2492"/>
          </w:tcPr>
          <w:p>
            <w:pPr>
              <w:pStyle w:val="null3"/>
            </w:pPr>
            <w:r>
              <w:rPr>
                <w:rFonts w:ascii="仿宋_GB2312" w:hAnsi="仿宋_GB2312" w:cs="仿宋_GB2312" w:eastAsia="仿宋_GB2312"/>
              </w:rPr>
              <w:t>投保车上人员责任险（司机 + 乘客）每座保额标准计分： ①每座保额5万元，得 0.2分； ②每座保额8万元，得 0.5分； ③每座保额10万元及以上，得1分； 注：可附保险缴纳证明资料或承诺中标后并提供用车前缴纳。</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车辆维保记录证明</w:t>
            </w:r>
          </w:p>
        </w:tc>
        <w:tc>
          <w:tcPr>
            <w:tcW w:type="dxa" w:w="2492"/>
          </w:tcPr>
          <w:p>
            <w:pPr>
              <w:pStyle w:val="null3"/>
            </w:pPr>
            <w:r>
              <w:rPr>
                <w:rFonts w:ascii="仿宋_GB2312" w:hAnsi="仿宋_GB2312" w:cs="仿宋_GB2312" w:eastAsia="仿宋_GB2312"/>
              </w:rPr>
              <w:t>车辆维保记录出具日期距投标截止日1年以内（全新车辆无需提供维保记录，直接计分），每提供一辆车得0.5分，满分5分。 注：附维保证明材料。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根据供应商提供的增值服务承诺进行打分，每提供一项承诺得1分，满分3分。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投入车辆配置</w:t>
            </w:r>
          </w:p>
        </w:tc>
        <w:tc>
          <w:tcPr>
            <w:tcW w:type="dxa" w:w="2492"/>
          </w:tcPr>
          <w:p>
            <w:pPr>
              <w:pStyle w:val="null3"/>
            </w:pPr>
            <w:r>
              <w:rPr>
                <w:rFonts w:ascii="仿宋_GB2312" w:hAnsi="仿宋_GB2312" w:cs="仿宋_GB2312" w:eastAsia="仿宋_GB2312"/>
              </w:rPr>
              <w:t>一、评审内容 ①车辆配置计划；②制定用车流程；③用车记录情况。 二、评审标准 1.完整性：方案须全面，对评审内容中的各项要求有详细描述； 2.可实施性：切合本项目实际情况，实施步骤清晰、合理； 3.针对性：方案能够紧扣项目实际情况，内容科学合理。 三、赋分标准 ①车辆配置计划：每完全满足一项评审标准计1分，满分3分。②制定用车流程：每完全满足一项评审标准计1分，满分3分。 ③用车记录情况：每完全满足一项评审标准计1分，满分3分。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安全运营管理方案</w:t>
            </w:r>
          </w:p>
        </w:tc>
        <w:tc>
          <w:tcPr>
            <w:tcW w:type="dxa" w:w="2492"/>
          </w:tcPr>
          <w:p>
            <w:pPr>
              <w:pStyle w:val="null3"/>
            </w:pPr>
            <w:r>
              <w:rPr>
                <w:rFonts w:ascii="仿宋_GB2312" w:hAnsi="仿宋_GB2312" w:cs="仿宋_GB2312" w:eastAsia="仿宋_GB2312"/>
              </w:rPr>
              <w:t>一、评审内容 ①车辆安全配置；②安全行车及人员作业安全规范；③车辆维护、车辆技术性能检测。 二、评审标准 1.完整性：方案须全面，对评审内容中的各项要求有详细描述； 2.可实施性：切合本项目实际情况，实施步骤清晰、合理； 3.针对性：方案能够紧扣项目实际情况，内容科学合理。 三、赋分标准 ①车辆安全配置：每完全满足一项评审标准计1分，满分3分。 ②安全行车及人员作业安全规范：每完全满足一项评审标准计1分，满分3分。 ③车辆维护、车辆技术性能检测：每完全满足一项评审标准计1分，满分3分。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①人员服务质量保证；②车辆质量保证；③服务流程质量保证④反馈处理与改进等。 二、评审标准 1.完整性：方案须全面，对评审内容中的各项要求有详细描述； 2.可实施性：切合本项目实际情况，实施步骤清晰、合理； 3.针对性：方案能够紧扣项目实际情况，内容科学合理。 三、赋分标准 ①人员服务质量保证：每完全满足一项评审标准计0.5分，满分1.5分。 ②车辆质量保证：每完全满足一项评审标准计0.5分，满分1.5分。 ③服务流程质量保证：每完全满足一项评审标准计0.5分，满分1.5分。 ④反馈处理与改进等：每完全满足一项评审标准计0.5分，满分1.5分。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①各类突发事件应急处理措施；②应急响应流程与责任人； 二、评审标准 1.完整性：方案须全面，对评审内容中的各项要求有详细描述； 2.可实施性：切合本项目实际情况，实施步骤清晰、合理； 3.针对性：方案能够紧扣项目实际情况，内容科学合理。 三、赋分标准 ①各类突发事件应急处理措施：每完全满足一项评审标准计1分，满分3分。 ②应急响应流程与责任人：每完全满足一项评审标准计1分，满分3分。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最终折扣比例最低的供应商的价格为评标基准价，其价格得分为满分。其他供应商的价格得分统一按照下列公式计算：投标报价得分=（评标基准价/投标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租赁和商务服务业。根据《工业和信息化部、国家统计局、国家发展和改革委员会、财政部关于印发中小企业划型标准规定的通知》（工信部联企业〔2011〕300号）规定的划分标准，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