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D4306">
      <w:pPr>
        <w:pStyle w:val="3"/>
        <w:keepNext w:val="0"/>
        <w:keepLines w:val="0"/>
        <w:pageBreakBefore w:val="0"/>
        <w:widowControl/>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ind w:firstLine="482" w:firstLineChars="200"/>
        <w:jc w:val="center"/>
        <w:textAlignment w:val="auto"/>
        <w:outlineLvl w:val="0"/>
        <w:rPr>
          <w:rFonts w:hint="default"/>
          <w:b/>
          <w:bCs/>
          <w:color w:val="auto"/>
          <w:sz w:val="24"/>
          <w:szCs w:val="24"/>
        </w:rPr>
      </w:pPr>
      <w:r>
        <w:rPr>
          <w:rFonts w:hint="eastAsia" w:ascii="宋体" w:hAnsi="宋体" w:eastAsia="宋体" w:cs="宋体"/>
          <w:b/>
          <w:bCs/>
          <w:i w:val="0"/>
          <w:iCs w:val="0"/>
          <w:caps w:val="0"/>
          <w:color w:val="auto"/>
          <w:spacing w:val="0"/>
          <w:sz w:val="24"/>
          <w:szCs w:val="24"/>
          <w:shd w:val="clear" w:fill="FFFFFF"/>
        </w:rPr>
        <w:t>中国境内生产的组件成本核算基本规则</w:t>
      </w:r>
    </w:p>
    <w:p w14:paraId="7A5FBB05">
      <w:pPr>
        <w:pStyle w:val="2"/>
        <w:keepNext w:val="0"/>
        <w:keepLines w:val="0"/>
        <w:pageBreakBefore w:val="0"/>
        <w:widowControl w:val="0"/>
        <w:kinsoku/>
        <w:wordWrap/>
        <w:overflowPunct/>
        <w:topLinePunct w:val="0"/>
        <w:autoSpaceDE/>
        <w:autoSpaceDN/>
        <w:bidi w:val="0"/>
        <w:adjustRightInd w:val="0"/>
        <w:snapToGrid w:val="0"/>
        <w:ind w:left="0" w:leftChars="0" w:firstLine="480" w:firstLineChars="200"/>
        <w:jc w:val="left"/>
        <w:textAlignment w:val="auto"/>
        <w:outlineLvl w:val="0"/>
        <w:rPr>
          <w:rFonts w:hint="default" w:ascii="宋体" w:hAnsi="宋体" w:eastAsia="宋体" w:cs="宋体"/>
          <w:b w:val="0"/>
          <w:color w:val="auto"/>
          <w:sz w:val="24"/>
          <w:szCs w:val="24"/>
        </w:rPr>
      </w:pPr>
      <w:r>
        <w:rPr>
          <w:rFonts w:hint="default" w:ascii="宋体" w:hAnsi="宋体" w:eastAsia="宋体" w:cs="宋体"/>
          <w:b w:val="0"/>
          <w:color w:val="auto"/>
          <w:sz w:val="24"/>
          <w:szCs w:val="24"/>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B68F30D">
      <w:pPr>
        <w:pStyle w:val="2"/>
        <w:keepNext w:val="0"/>
        <w:keepLines w:val="0"/>
        <w:pageBreakBefore w:val="0"/>
        <w:widowControl w:val="0"/>
        <w:kinsoku/>
        <w:wordWrap/>
        <w:overflowPunct/>
        <w:topLinePunct w:val="0"/>
        <w:autoSpaceDE/>
        <w:autoSpaceDN/>
        <w:bidi w:val="0"/>
        <w:adjustRightInd w:val="0"/>
        <w:snapToGrid w:val="0"/>
        <w:ind w:left="0" w:leftChars="0" w:firstLine="480" w:firstLineChars="200"/>
        <w:jc w:val="left"/>
        <w:textAlignment w:val="auto"/>
        <w:outlineLvl w:val="0"/>
        <w:rPr>
          <w:rFonts w:hint="default" w:ascii="宋体" w:hAnsi="宋体" w:eastAsia="宋体" w:cs="宋体"/>
          <w:b w:val="0"/>
          <w:color w:val="auto"/>
          <w:sz w:val="24"/>
          <w:szCs w:val="24"/>
        </w:rPr>
      </w:pPr>
      <w:r>
        <w:rPr>
          <w:rFonts w:hint="default" w:ascii="宋体" w:hAnsi="宋体" w:eastAsia="宋体" w:cs="宋体"/>
          <w:b w:val="0"/>
          <w:color w:val="auto"/>
          <w:sz w:val="24"/>
          <w:szCs w:val="24"/>
        </w:rPr>
        <w:t>一、产品的一级组件是指直接组成产品的组件。产品的二级组件是指直接组成产品一级组件的组件。一级组件不可分解的，视同二级组件。</w:t>
      </w:r>
    </w:p>
    <w:p w14:paraId="32EACB39">
      <w:pPr>
        <w:pStyle w:val="2"/>
        <w:keepNext w:val="0"/>
        <w:keepLines w:val="0"/>
        <w:pageBreakBefore w:val="0"/>
        <w:widowControl w:val="0"/>
        <w:kinsoku/>
        <w:wordWrap/>
        <w:overflowPunct/>
        <w:topLinePunct w:val="0"/>
        <w:autoSpaceDE/>
        <w:autoSpaceDN/>
        <w:bidi w:val="0"/>
        <w:adjustRightInd w:val="0"/>
        <w:snapToGrid w:val="0"/>
        <w:ind w:left="0" w:leftChars="0" w:firstLine="480" w:firstLineChars="200"/>
        <w:jc w:val="left"/>
        <w:textAlignment w:val="auto"/>
        <w:outlineLvl w:val="0"/>
        <w:rPr>
          <w:rFonts w:hint="default" w:ascii="宋体" w:hAnsi="宋体" w:eastAsia="宋体" w:cs="宋体"/>
          <w:b w:val="0"/>
          <w:color w:val="auto"/>
          <w:sz w:val="24"/>
          <w:szCs w:val="24"/>
        </w:rPr>
      </w:pPr>
      <w:r>
        <w:rPr>
          <w:rFonts w:hint="default" w:ascii="宋体" w:hAnsi="宋体" w:eastAsia="宋体" w:cs="宋体"/>
          <w:b w:val="0"/>
          <w:color w:val="auto"/>
          <w:sz w:val="24"/>
          <w:szCs w:val="24"/>
        </w:rPr>
        <w:t>二、二级组件在中国境内生产的，其全部成本计入中国境内生产的组件成本；二级组件不在中国境内生产的，其成本不计入中国境内生产的组件成本。</w:t>
      </w:r>
    </w:p>
    <w:p w14:paraId="49445195">
      <w:pPr>
        <w:pStyle w:val="2"/>
        <w:keepNext w:val="0"/>
        <w:keepLines w:val="0"/>
        <w:pageBreakBefore w:val="0"/>
        <w:widowControl w:val="0"/>
        <w:kinsoku/>
        <w:wordWrap/>
        <w:overflowPunct/>
        <w:topLinePunct w:val="0"/>
        <w:autoSpaceDE/>
        <w:autoSpaceDN/>
        <w:bidi w:val="0"/>
        <w:adjustRightInd w:val="0"/>
        <w:snapToGrid w:val="0"/>
        <w:ind w:left="0" w:leftChars="0" w:firstLine="480" w:firstLineChars="200"/>
        <w:jc w:val="left"/>
        <w:textAlignment w:val="auto"/>
        <w:outlineLvl w:val="0"/>
        <w:rPr>
          <w:rFonts w:hint="default" w:ascii="宋体" w:hAnsi="宋体" w:eastAsia="宋体" w:cs="宋体"/>
          <w:b w:val="0"/>
          <w:color w:val="auto"/>
          <w:sz w:val="24"/>
          <w:szCs w:val="24"/>
        </w:rPr>
      </w:pPr>
      <w:r>
        <w:rPr>
          <w:rFonts w:hint="default" w:ascii="宋体" w:hAnsi="宋体" w:eastAsia="宋体" w:cs="宋体"/>
          <w:b w:val="0"/>
          <w:color w:val="auto"/>
          <w:sz w:val="24"/>
          <w:szCs w:val="24"/>
        </w:rPr>
        <w:t>三、产品总成本和组件成本以相关会计核算数据、采购合同、进货记录等为基础进行计算。</w:t>
      </w:r>
    </w:p>
    <w:p w14:paraId="4C9A241C">
      <w:pPr>
        <w:pStyle w:val="2"/>
        <w:keepNext w:val="0"/>
        <w:keepLines w:val="0"/>
        <w:pageBreakBefore w:val="0"/>
        <w:widowControl w:val="0"/>
        <w:kinsoku/>
        <w:wordWrap/>
        <w:overflowPunct/>
        <w:topLinePunct w:val="0"/>
        <w:autoSpaceDE/>
        <w:autoSpaceDN/>
        <w:bidi w:val="0"/>
        <w:adjustRightInd w:val="0"/>
        <w:snapToGrid w:val="0"/>
        <w:ind w:left="0" w:leftChars="0" w:firstLine="480" w:firstLineChars="200"/>
        <w:jc w:val="left"/>
        <w:textAlignment w:val="auto"/>
        <w:outlineLvl w:val="0"/>
        <w:rPr>
          <w:rFonts w:hint="default" w:ascii="宋体" w:hAnsi="宋体" w:eastAsia="宋体" w:cs="宋体"/>
          <w:b w:val="0"/>
          <w:color w:val="auto"/>
          <w:sz w:val="24"/>
          <w:szCs w:val="24"/>
        </w:rPr>
      </w:pPr>
      <w:r>
        <w:rPr>
          <w:rFonts w:hint="default" w:ascii="宋体" w:hAnsi="宋体" w:eastAsia="宋体" w:cs="宋体"/>
          <w:b w:val="0"/>
          <w:color w:val="auto"/>
          <w:sz w:val="24"/>
          <w:szCs w:val="24"/>
        </w:rPr>
        <w:t>四、需要对成本核算规则予以进一步明确的其他有关事项，由财政部会同有关部门另行规定。</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8B771C"/>
    <w:rsid w:val="6A8B7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3"/>
    <w:basedOn w:val="1"/>
    <w:qFormat/>
    <w:uiPriority w:val="0"/>
    <w:pPr>
      <w:topLinePunct/>
      <w:spacing w:line="360" w:lineRule="auto"/>
      <w:ind w:left="199" w:leftChars="95" w:firstLine="210" w:firstLineChars="100"/>
    </w:pPr>
    <w:rPr>
      <w:color w:val="000000"/>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2026-07-13T08:36:00Z</dcterms:created>
  <dc:creator>暖暖</dc:creator>
  <cp:lastModifiedBy>暖暖</cp:lastModifiedBy>
  <dcterms:modified xsi:type="dcterms:W3CDTF">2026-07-13T08:36:22Z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ECA702CC5E984F96BEB2A3B6B19990CD_11</vt:lpwstr>
  </property>
  <property fmtid="{D5CDD505-2E9C-101B-9397-08002B2CF9AE}" pid="4" name="KSOTemplateDocerSaveRecord">
    <vt:lpwstr>eyJoZGlkIjoiYzM0OGQ1NTVkMjYyZmFhMjg3MzU2ZDJjNmRkMGM0YmEiLCJ1c2VySWQiOiIyMjQxNTgyNzQifQ==</vt:lpwstr>
  </property>
</Properties>
</file>