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版本号：ZRD-2026XAZC65020260429002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2026年度执法执勤车辆购置项目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ZRD-2026XAZC650</w:t>
      </w:r>
      <w:r>
        <w:br/>
      </w:r>
      <w:r>
        <w:br/>
      </w:r>
      <w:r>
        <w:br/>
      </w:r>
    </w:p>
    <w:p>
      <w:pPr>
        <w:pStyle w:val="null3"/>
        <w:jc w:val="center"/>
        <w:outlineLvl w:val="2"/>
      </w:pPr>
      <w:r>
        <w:rPr>
          <w:rFonts w:ascii="仿宋_GB2312" w:hAnsi="仿宋_GB2312" w:cs="仿宋_GB2312" w:eastAsia="仿宋_GB2312"/>
          <w:sz w:val="28"/>
          <w:b/>
        </w:rPr>
        <w:t>铜川市公安局王益分局</w:t>
      </w:r>
    </w:p>
    <w:p>
      <w:pPr>
        <w:pStyle w:val="null3"/>
        <w:jc w:val="center"/>
        <w:outlineLvl w:val="2"/>
      </w:pPr>
      <w:r>
        <w:rPr>
          <w:rFonts w:ascii="仿宋_GB2312" w:hAnsi="仿宋_GB2312" w:cs="仿宋_GB2312" w:eastAsia="仿宋_GB2312"/>
          <w:sz w:val="28"/>
          <w:b/>
        </w:rPr>
        <w:t>中瑞达项目管理有限公司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中瑞达项目管理有限公司</w:t>
      </w:r>
      <w:r>
        <w:rPr>
          <w:rFonts w:ascii="仿宋_GB2312" w:hAnsi="仿宋_GB2312" w:cs="仿宋_GB2312" w:eastAsia="仿宋_GB2312"/>
        </w:rPr>
        <w:t>（以下简称“代理机构”）受</w:t>
      </w:r>
      <w:r>
        <w:rPr>
          <w:rFonts w:ascii="仿宋_GB2312" w:hAnsi="仿宋_GB2312" w:cs="仿宋_GB2312" w:eastAsia="仿宋_GB2312"/>
        </w:rPr>
        <w:t>铜川市公安局王益分局</w:t>
      </w:r>
      <w:r>
        <w:rPr>
          <w:rFonts w:ascii="仿宋_GB2312" w:hAnsi="仿宋_GB2312" w:cs="仿宋_GB2312" w:eastAsia="仿宋_GB2312"/>
        </w:rPr>
        <w:t>委托，拟对</w:t>
      </w:r>
      <w:r>
        <w:rPr>
          <w:rFonts w:ascii="仿宋_GB2312" w:hAnsi="仿宋_GB2312" w:cs="仿宋_GB2312" w:eastAsia="仿宋_GB2312"/>
        </w:rPr>
        <w:t>2026年度执法执勤车辆购置项目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ZRD-2026XAZC650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2026年度执法执勤车辆购置项目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执法执勤车辆购置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1、法定代表人授权书及被授权人身份证复印件：法定代表人授权书及被授权人身份证复印件（法定代表人直接参加投标，须提供法定代表人身份证明及身份证复印件）；</w:t>
      </w:r>
    </w:p>
    <w:p>
      <w:pPr>
        <w:pStyle w:val="null3"/>
      </w:pPr>
      <w:r>
        <w:rPr>
          <w:rFonts w:ascii="仿宋_GB2312" w:hAnsi="仿宋_GB2312" w:cs="仿宋_GB2312" w:eastAsia="仿宋_GB2312"/>
        </w:rPr>
        <w:t>2、信用记录：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3、非联合体投标：本项目不接受联合体投标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铜川市公安局王益分局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铜川市王益区柳堤路13号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相皓严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19309191123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中瑞达项目管理有限公司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陕西省西安市经济技术开发区凤城五路与明光路十字西北角恒石国际中心B座9楼902室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18292676898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采购包1：1,799,400.00元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代理服务费收费标准：定额收取20000.00元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铜川市公安局王益分局</w:t>
      </w:r>
      <w:r>
        <w:rPr>
          <w:rFonts w:ascii="仿宋_GB2312" w:hAnsi="仿宋_GB2312" w:cs="仿宋_GB2312" w:eastAsia="仿宋_GB2312"/>
        </w:rPr>
        <w:t>和</w:t>
      </w:r>
      <w:r>
        <w:rPr>
          <w:rFonts w:ascii="仿宋_GB2312" w:hAnsi="仿宋_GB2312" w:cs="仿宋_GB2312" w:eastAsia="仿宋_GB2312"/>
        </w:rPr>
        <w:t>中瑞达项目管理有限公司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铜川市公安局王益分局</w:t>
      </w:r>
      <w:r>
        <w:rPr>
          <w:rFonts w:ascii="仿宋_GB2312" w:hAnsi="仿宋_GB2312" w:cs="仿宋_GB2312" w:eastAsia="仿宋_GB2312"/>
        </w:rPr>
        <w:t>负责解释。除上述招标文件内容，其他内容由</w:t>
      </w:r>
      <w:r>
        <w:rPr>
          <w:rFonts w:ascii="仿宋_GB2312" w:hAnsi="仿宋_GB2312" w:cs="仿宋_GB2312" w:eastAsia="仿宋_GB2312"/>
        </w:rPr>
        <w:t>中瑞达项目管理有限公司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铜川市公安局王益分局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中瑞达项目管理有限公司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以国家标准、行业标准或合同文本供货清单中描述的有关技术要求为准。 验收方法：1、初验：货物到达交货地点后，由使用单位根据合同对货物 (设备) 的名称、品牌、规格、型号、产地、数量进行检查。2、终验：所有货物(设备)正常使用30个日历日后，由采购人进行终验 (最终验收) ，合格后签发《终验合格单》。</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联系人：郭丹</w:t>
      </w:r>
    </w:p>
    <w:p>
      <w:pPr>
        <w:pStyle w:val="null3"/>
      </w:pPr>
      <w:r>
        <w:rPr>
          <w:rFonts w:ascii="仿宋_GB2312" w:hAnsi="仿宋_GB2312" w:cs="仿宋_GB2312" w:eastAsia="仿宋_GB2312"/>
        </w:rPr>
        <w:t>联系电话：18292676898</w:t>
      </w:r>
    </w:p>
    <w:p>
      <w:pPr>
        <w:pStyle w:val="null3"/>
      </w:pPr>
      <w:r>
        <w:rPr>
          <w:rFonts w:ascii="仿宋_GB2312" w:hAnsi="仿宋_GB2312" w:cs="仿宋_GB2312" w:eastAsia="仿宋_GB2312"/>
        </w:rPr>
        <w:t>地址：陕西省西安市经济技术开发区凤城五路与明光路十字西北角凤城五路105号恒石国际B座9楼902室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执法执勤车辆购置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1,799,400.00</w:t>
      </w:r>
    </w:p>
    <w:p>
      <w:pPr>
        <w:pStyle w:val="null3"/>
      </w:pPr>
      <w:r>
        <w:rPr>
          <w:rFonts w:ascii="仿宋_GB2312" w:hAnsi="仿宋_GB2312" w:cs="仿宋_GB2312" w:eastAsia="仿宋_GB2312"/>
        </w:rPr>
        <w:t>采购包最高限价（元）: 1,799,400.00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执法执勤车辆购置</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1,416,400.00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多功能乘用车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383,000.00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标的名称：执法执勤车辆购置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458"/>
              <w:gridCol w:w="1505"/>
              <w:gridCol w:w="331"/>
            </w:tblGrid>
            <w:tr>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装备配备项目及内容</w:t>
                  </w:r>
                </w:p>
              </w:tc>
              <w:tc>
                <w:tcPr>
                  <w:tcW w:type="dxa" w:w="15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rPr>
                    <w:t xml:space="preserve">                                                                        参数</w:t>
                  </w:r>
                </w:p>
              </w:tc>
              <w:tc>
                <w:tcPr>
                  <w:tcW w:type="dxa" w:w="3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 xml:space="preserve"> （辆）</w:t>
                  </w:r>
                </w:p>
              </w:tc>
            </w:tr>
            <w:tr>
              <w:tc>
                <w:tcPr>
                  <w:tcW w:type="dxa" w:w="4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执法执勤车 </w:t>
                  </w:r>
                </w:p>
              </w:tc>
              <w:tc>
                <w:tcPr>
                  <w:tcW w:type="dxa" w:w="15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br/>
                  </w:r>
                  <w:r>
                    <w:rPr>
                      <w:rFonts w:ascii="仿宋_GB2312" w:hAnsi="仿宋_GB2312" w:cs="仿宋_GB2312" w:eastAsia="仿宋_GB2312"/>
                      <w:sz w:val="22"/>
                      <w:b/>
                      <w:color w:val="000000"/>
                    </w:rPr>
                    <w:t>车身尺寸</w:t>
                  </w:r>
                  <w:r>
                    <w:rPr>
                      <w:rFonts w:ascii="仿宋_GB2312" w:hAnsi="仿宋_GB2312" w:cs="仿宋_GB2312" w:eastAsia="仿宋_GB2312"/>
                      <w:sz w:val="22"/>
                      <w:color w:val="000000"/>
                    </w:rPr>
                    <w:t xml:space="preserve">：(长宽高：4800mm×1900mm×1500mm±50mm）；       </w:t>
                  </w:r>
                </w:p>
                <w:p>
                  <w:pPr>
                    <w:pStyle w:val="null3"/>
                  </w:pPr>
                  <w:r>
                    <w:rPr>
                      <w:rFonts w:ascii="仿宋_GB2312" w:hAnsi="仿宋_GB2312" w:cs="仿宋_GB2312" w:eastAsia="仿宋_GB2312"/>
                      <w:sz w:val="22"/>
                      <w:b/>
                      <w:color w:val="000000"/>
                    </w:rPr>
                    <w:t>轴距</w:t>
                  </w:r>
                  <w:r>
                    <w:rPr>
                      <w:rFonts w:ascii="仿宋_GB2312" w:hAnsi="仿宋_GB2312" w:cs="仿宋_GB2312" w:eastAsia="仿宋_GB2312"/>
                      <w:sz w:val="22"/>
                      <w:color w:val="000000"/>
                    </w:rPr>
                    <w:t xml:space="preserve">： ≥2750mm；                                    </w:t>
                  </w:r>
                  <w:r>
                    <w:rPr>
                      <w:rFonts w:ascii="仿宋_GB2312" w:hAnsi="仿宋_GB2312" w:cs="仿宋_GB2312" w:eastAsia="仿宋_GB2312"/>
                      <w:sz w:val="22"/>
                      <w:b/>
                      <w:color w:val="000000"/>
                    </w:rPr>
                    <w:t xml:space="preserve">    </w:t>
                  </w:r>
                </w:p>
                <w:p>
                  <w:pPr>
                    <w:pStyle w:val="null3"/>
                  </w:pPr>
                  <w:r>
                    <w:rPr>
                      <w:rFonts w:ascii="仿宋_GB2312" w:hAnsi="仿宋_GB2312" w:cs="仿宋_GB2312" w:eastAsia="仿宋_GB2312"/>
                      <w:sz w:val="22"/>
                      <w:b/>
                      <w:color w:val="000000"/>
                    </w:rPr>
                    <w:t>车身结构</w:t>
                  </w:r>
                  <w:r>
                    <w:rPr>
                      <w:rFonts w:ascii="仿宋_GB2312" w:hAnsi="仿宋_GB2312" w:cs="仿宋_GB2312" w:eastAsia="仿宋_GB2312"/>
                      <w:sz w:val="22"/>
                      <w:color w:val="000000"/>
                    </w:rPr>
                    <w:t xml:space="preserve">：三厢轿车；                                     </w:t>
                  </w:r>
                </w:p>
                <w:p>
                  <w:pPr>
                    <w:pStyle w:val="null3"/>
                  </w:pPr>
                  <w:r>
                    <w:rPr>
                      <w:rFonts w:ascii="仿宋_GB2312" w:hAnsi="仿宋_GB2312" w:cs="仿宋_GB2312" w:eastAsia="仿宋_GB2312"/>
                      <w:sz w:val="22"/>
                      <w:b/>
                      <w:color w:val="000000"/>
                    </w:rPr>
                    <w:t>接近角/</w:t>
                  </w:r>
                  <w:r>
                    <w:rPr>
                      <w:rFonts w:ascii="仿宋_GB2312" w:hAnsi="仿宋_GB2312" w:cs="仿宋_GB2312" w:eastAsia="仿宋_GB2312"/>
                      <w:sz w:val="22"/>
                      <w:b/>
                      <w:color w:val="000000"/>
                    </w:rPr>
                    <w:t xml:space="preserve"> 离去角</w:t>
                  </w:r>
                  <w:r>
                    <w:rPr>
                      <w:rFonts w:ascii="仿宋_GB2312" w:hAnsi="仿宋_GB2312" w:cs="仿宋_GB2312" w:eastAsia="仿宋_GB2312"/>
                      <w:sz w:val="22"/>
                      <w:color w:val="000000"/>
                    </w:rPr>
                    <w:t xml:space="preserve">：≥10°/ 12°；                                </w:t>
                  </w:r>
                </w:p>
                <w:p>
                  <w:pPr>
                    <w:pStyle w:val="null3"/>
                  </w:pPr>
                  <w:r>
                    <w:rPr>
                      <w:rFonts w:ascii="仿宋_GB2312" w:hAnsi="仿宋_GB2312" w:cs="仿宋_GB2312" w:eastAsia="仿宋_GB2312"/>
                      <w:sz w:val="22"/>
                      <w:b/>
                      <w:color w:val="000000"/>
                    </w:rPr>
                    <w:t>油箱容积</w:t>
                  </w:r>
                  <w:r>
                    <w:rPr>
                      <w:rFonts w:ascii="仿宋_GB2312" w:hAnsi="仿宋_GB2312" w:cs="仿宋_GB2312" w:eastAsia="仿宋_GB2312"/>
                      <w:sz w:val="22"/>
                      <w:color w:val="000000"/>
                    </w:rPr>
                    <w:t xml:space="preserve">： ≥60L；              </w:t>
                  </w:r>
                  <w:r>
                    <w:rPr>
                      <w:rFonts w:ascii="仿宋_GB2312" w:hAnsi="仿宋_GB2312" w:cs="仿宋_GB2312" w:eastAsia="仿宋_GB2312"/>
                      <w:sz w:val="22"/>
                      <w:color w:val="000000"/>
                    </w:rPr>
                    <w:t xml:space="preserve">                           </w:t>
                  </w:r>
                  <w:r>
                    <w:rPr>
                      <w:rFonts w:ascii="仿宋_GB2312" w:hAnsi="仿宋_GB2312" w:cs="仿宋_GB2312" w:eastAsia="仿宋_GB2312"/>
                      <w:sz w:val="22"/>
                      <w:b/>
                      <w:color w:val="000000"/>
                    </w:rPr>
                    <w:t xml:space="preserve"> </w:t>
                  </w:r>
                </w:p>
                <w:p>
                  <w:pPr>
                    <w:pStyle w:val="null3"/>
                  </w:pPr>
                  <w:r>
                    <w:rPr>
                      <w:rFonts w:ascii="仿宋_GB2312" w:hAnsi="仿宋_GB2312" w:cs="仿宋_GB2312" w:eastAsia="仿宋_GB2312"/>
                      <w:sz w:val="22"/>
                      <w:b/>
                      <w:color w:val="000000"/>
                    </w:rPr>
                    <w:t>整备质量</w:t>
                  </w:r>
                  <w:r>
                    <w:rPr>
                      <w:rFonts w:ascii="仿宋_GB2312" w:hAnsi="仿宋_GB2312" w:cs="仿宋_GB2312" w:eastAsia="仿宋_GB2312"/>
                      <w:sz w:val="22"/>
                      <w:color w:val="000000"/>
                    </w:rPr>
                    <w:t xml:space="preserve">：≥ 1750kg；                                      </w:t>
                  </w:r>
                </w:p>
                <w:p>
                  <w:pPr>
                    <w:pStyle w:val="null3"/>
                  </w:pPr>
                  <w:r>
                    <w:rPr>
                      <w:rFonts w:ascii="仿宋_GB2312" w:hAnsi="仿宋_GB2312" w:cs="仿宋_GB2312" w:eastAsia="仿宋_GB2312"/>
                      <w:sz w:val="22"/>
                      <w:b/>
                      <w:color w:val="000000"/>
                    </w:rPr>
                    <w:t>最大满载质量</w:t>
                  </w:r>
                  <w:r>
                    <w:rPr>
                      <w:rFonts w:ascii="仿宋_GB2312" w:hAnsi="仿宋_GB2312" w:cs="仿宋_GB2312" w:eastAsia="仿宋_GB2312"/>
                      <w:sz w:val="22"/>
                      <w:color w:val="000000"/>
                    </w:rPr>
                    <w:t xml:space="preserve">： ≥ 2100kg；                                       </w:t>
                  </w:r>
                </w:p>
                <w:p>
                  <w:pPr>
                    <w:pStyle w:val="null3"/>
                  </w:pPr>
                  <w:r>
                    <w:rPr>
                      <w:rFonts w:ascii="仿宋_GB2312" w:hAnsi="仿宋_GB2312" w:cs="仿宋_GB2312" w:eastAsia="仿宋_GB2312"/>
                      <w:sz w:val="22"/>
                      <w:b/>
                      <w:color w:val="000000"/>
                    </w:rPr>
                    <w:t>动力系统</w:t>
                  </w:r>
                  <w:r>
                    <w:rPr>
                      <w:rFonts w:ascii="仿宋_GB2312" w:hAnsi="仿宋_GB2312" w:cs="仿宋_GB2312" w:eastAsia="仿宋_GB2312"/>
                      <w:sz w:val="22"/>
                      <w:color w:val="000000"/>
                    </w:rPr>
                    <w:t xml:space="preserve">：1.5L 自然吸气发动机；                          </w:t>
                  </w:r>
                </w:p>
                <w:p>
                  <w:pPr>
                    <w:pStyle w:val="null3"/>
                  </w:pPr>
                  <w:r>
                    <w:rPr>
                      <w:rFonts w:ascii="仿宋_GB2312" w:hAnsi="仿宋_GB2312" w:cs="仿宋_GB2312" w:eastAsia="仿宋_GB2312"/>
                      <w:sz w:val="22"/>
                      <w:b/>
                      <w:color w:val="000000"/>
                    </w:rPr>
                    <w:t>能源类型</w:t>
                  </w:r>
                  <w:r>
                    <w:rPr>
                      <w:rFonts w:ascii="仿宋_GB2312" w:hAnsi="仿宋_GB2312" w:cs="仿宋_GB2312" w:eastAsia="仿宋_GB2312"/>
                      <w:sz w:val="22"/>
                      <w:color w:val="000000"/>
                    </w:rPr>
                    <w:t xml:space="preserve">：插电混合；                                     </w:t>
                  </w:r>
                </w:p>
                <w:p>
                  <w:pPr>
                    <w:pStyle w:val="null3"/>
                  </w:pPr>
                  <w:r>
                    <w:rPr>
                      <w:rFonts w:ascii="仿宋_GB2312" w:hAnsi="仿宋_GB2312" w:cs="仿宋_GB2312" w:eastAsia="仿宋_GB2312"/>
                      <w:sz w:val="22"/>
                      <w:b/>
                      <w:color w:val="000000"/>
                    </w:rPr>
                    <w:t>排放标准</w:t>
                  </w:r>
                  <w:r>
                    <w:rPr>
                      <w:rFonts w:ascii="仿宋_GB2312" w:hAnsi="仿宋_GB2312" w:cs="仿宋_GB2312" w:eastAsia="仿宋_GB2312"/>
                      <w:sz w:val="22"/>
                      <w:color w:val="000000"/>
                    </w:rPr>
                    <w:t xml:space="preserve">：国VI；                                             </w:t>
                  </w:r>
                </w:p>
                <w:p>
                  <w:pPr>
                    <w:pStyle w:val="null3"/>
                  </w:pPr>
                  <w:r>
                    <w:rPr>
                      <w:rFonts w:ascii="仿宋_GB2312" w:hAnsi="仿宋_GB2312" w:cs="仿宋_GB2312" w:eastAsia="仿宋_GB2312"/>
                      <w:sz w:val="22"/>
                      <w:b/>
                      <w:color w:val="000000"/>
                    </w:rPr>
                    <w:t>最大功率</w:t>
                  </w:r>
                  <w:r>
                    <w:rPr>
                      <w:rFonts w:ascii="仿宋_GB2312" w:hAnsi="仿宋_GB2312" w:cs="仿宋_GB2312" w:eastAsia="仿宋_GB2312"/>
                      <w:sz w:val="22"/>
                      <w:color w:val="000000"/>
                    </w:rPr>
                    <w:t xml:space="preserve">：≥ 70kW；                                       </w:t>
                  </w:r>
                </w:p>
                <w:p>
                  <w:pPr>
                    <w:pStyle w:val="null3"/>
                  </w:pPr>
                  <w:r>
                    <w:rPr>
                      <w:rFonts w:ascii="仿宋_GB2312" w:hAnsi="仿宋_GB2312" w:cs="仿宋_GB2312" w:eastAsia="仿宋_GB2312"/>
                      <w:sz w:val="22"/>
                      <w:b/>
                      <w:color w:val="000000"/>
                    </w:rPr>
                    <w:t>电机功率</w:t>
                  </w:r>
                  <w:r>
                    <w:rPr>
                      <w:rFonts w:ascii="仿宋_GB2312" w:hAnsi="仿宋_GB2312" w:cs="仿宋_GB2312" w:eastAsia="仿宋_GB2312"/>
                      <w:sz w:val="22"/>
                      <w:color w:val="000000"/>
                    </w:rPr>
                    <w:t xml:space="preserve">：≥ 170kW；                                             </w:t>
                  </w:r>
                </w:p>
                <w:p>
                  <w:pPr>
                    <w:pStyle w:val="null3"/>
                  </w:pPr>
                  <w:r>
                    <w:rPr>
                      <w:rFonts w:ascii="仿宋_GB2312" w:hAnsi="仿宋_GB2312" w:cs="仿宋_GB2312" w:eastAsia="仿宋_GB2312"/>
                      <w:sz w:val="22"/>
                      <w:b/>
                      <w:color w:val="000000"/>
                    </w:rPr>
                    <w:t>电池容量</w:t>
                  </w:r>
                  <w:r>
                    <w:rPr>
                      <w:rFonts w:ascii="仿宋_GB2312" w:hAnsi="仿宋_GB2312" w:cs="仿宋_GB2312" w:eastAsia="仿宋_GB2312"/>
                      <w:sz w:val="22"/>
                      <w:color w:val="000000"/>
                    </w:rPr>
                    <w:t xml:space="preserve">：≥25kWh；                                     </w:t>
                  </w:r>
                </w:p>
                <w:p>
                  <w:pPr>
                    <w:pStyle w:val="null3"/>
                  </w:pPr>
                  <w:r>
                    <w:rPr>
                      <w:rFonts w:ascii="仿宋_GB2312" w:hAnsi="仿宋_GB2312" w:cs="仿宋_GB2312" w:eastAsia="仿宋_GB2312"/>
                      <w:sz w:val="22"/>
                      <w:b/>
                      <w:color w:val="000000"/>
                    </w:rPr>
                    <w:t>电池类型</w:t>
                  </w:r>
                  <w:r>
                    <w:rPr>
                      <w:rFonts w:ascii="仿宋_GB2312" w:hAnsi="仿宋_GB2312" w:cs="仿宋_GB2312" w:eastAsia="仿宋_GB2312"/>
                      <w:sz w:val="22"/>
                      <w:color w:val="000000"/>
                    </w:rPr>
                    <w:t xml:space="preserve">：磷酸铁锂；                                       </w:t>
                  </w:r>
                </w:p>
                <w:p>
                  <w:pPr>
                    <w:pStyle w:val="null3"/>
                  </w:pPr>
                  <w:r>
                    <w:rPr>
                      <w:rFonts w:ascii="仿宋_GB2312" w:hAnsi="仿宋_GB2312" w:cs="仿宋_GB2312" w:eastAsia="仿宋_GB2312"/>
                      <w:sz w:val="22"/>
                      <w:b/>
                      <w:color w:val="000000"/>
                    </w:rPr>
                    <w:t>变速箱</w:t>
                  </w:r>
                  <w:r>
                    <w:rPr>
                      <w:rFonts w:ascii="仿宋_GB2312" w:hAnsi="仿宋_GB2312" w:cs="仿宋_GB2312" w:eastAsia="仿宋_GB2312"/>
                      <w:sz w:val="22"/>
                      <w:color w:val="000000"/>
                    </w:rPr>
                    <w:t xml:space="preserve">：自动变速；                                       </w:t>
                  </w:r>
                </w:p>
                <w:p>
                  <w:pPr>
                    <w:pStyle w:val="null3"/>
                  </w:pPr>
                  <w:r>
                    <w:rPr>
                      <w:rFonts w:ascii="仿宋_GB2312" w:hAnsi="仿宋_GB2312" w:cs="仿宋_GB2312" w:eastAsia="仿宋_GB2312"/>
                      <w:sz w:val="22"/>
                      <w:b/>
                      <w:color w:val="000000"/>
                    </w:rPr>
                    <w:t>WLTC纯电续航</w:t>
                  </w:r>
                  <w:r>
                    <w:rPr>
                      <w:rFonts w:ascii="仿宋_GB2312" w:hAnsi="仿宋_GB2312" w:cs="仿宋_GB2312" w:eastAsia="仿宋_GB2312"/>
                      <w:sz w:val="22"/>
                      <w:color w:val="000000"/>
                    </w:rPr>
                    <w:t xml:space="preserve"> ：≥210km ；                                 </w:t>
                  </w:r>
                </w:p>
                <w:p>
                  <w:pPr>
                    <w:pStyle w:val="null3"/>
                  </w:pPr>
                  <w:r>
                    <w:rPr>
                      <w:rFonts w:ascii="仿宋_GB2312" w:hAnsi="仿宋_GB2312" w:cs="仿宋_GB2312" w:eastAsia="仿宋_GB2312"/>
                      <w:sz w:val="22"/>
                      <w:b/>
                      <w:color w:val="000000"/>
                    </w:rPr>
                    <w:t>底盘悬挂</w:t>
                  </w:r>
                  <w:r>
                    <w:rPr>
                      <w:rFonts w:ascii="仿宋_GB2312" w:hAnsi="仿宋_GB2312" w:cs="仿宋_GB2312" w:eastAsia="仿宋_GB2312"/>
                      <w:sz w:val="22"/>
                      <w:color w:val="000000"/>
                    </w:rPr>
                    <w:t xml:space="preserve">：前麦弗逊式独立悬挂 + 后多连杆式独立悬挂；       </w:t>
                  </w:r>
                </w:p>
                <w:p>
                  <w:pPr>
                    <w:pStyle w:val="null3"/>
                  </w:pPr>
                  <w:r>
                    <w:rPr>
                      <w:rFonts w:ascii="仿宋_GB2312" w:hAnsi="仿宋_GB2312" w:cs="仿宋_GB2312" w:eastAsia="仿宋_GB2312"/>
                      <w:sz w:val="22"/>
                      <w:b/>
                      <w:color w:val="000000"/>
                    </w:rPr>
                    <w:t>配置要求</w:t>
                  </w:r>
                  <w:r>
                    <w:rPr>
                      <w:rFonts w:ascii="仿宋_GB2312" w:hAnsi="仿宋_GB2312" w:cs="仿宋_GB2312" w:eastAsia="仿宋_GB2312"/>
                      <w:sz w:val="22"/>
                      <w:color w:val="000000"/>
                    </w:rPr>
                    <w:t xml:space="preserve">：配备毫米波雷达、超声波雷达及摄像头、具有全速自适应巡航、 360度全景影像、中控屏：≥12英寸； 真皮座椅、胎压自动监测显示，                                              </w:t>
                  </w:r>
                </w:p>
                <w:p>
                  <w:pPr>
                    <w:pStyle w:val="null3"/>
                  </w:pPr>
                  <w:r>
                    <w:rPr>
                      <w:rFonts w:ascii="仿宋_GB2312" w:hAnsi="仿宋_GB2312" w:cs="仿宋_GB2312" w:eastAsia="仿宋_GB2312"/>
                      <w:sz w:val="22"/>
                      <w:b/>
                      <w:color w:val="000000"/>
                    </w:rPr>
                    <w:t>质保期</w:t>
                  </w:r>
                  <w:r>
                    <w:rPr>
                      <w:rFonts w:ascii="仿宋_GB2312" w:hAnsi="仿宋_GB2312" w:cs="仿宋_GB2312" w:eastAsia="仿宋_GB2312"/>
                      <w:sz w:val="22"/>
                      <w:color w:val="000000"/>
                    </w:rPr>
                    <w:t xml:space="preserve">：质保期：整车不小于六年或15万公里、其中三电系统：不低于八年 ；                                                </w:t>
                  </w:r>
                </w:p>
                <w:p>
                  <w:pPr>
                    <w:pStyle w:val="null3"/>
                  </w:pPr>
                  <w:r>
                    <w:rPr>
                      <w:rFonts w:ascii="仿宋_GB2312" w:hAnsi="仿宋_GB2312" w:cs="仿宋_GB2312" w:eastAsia="仿宋_GB2312"/>
                      <w:sz w:val="22"/>
                      <w:b/>
                      <w:color w:val="000000"/>
                    </w:rPr>
                    <w:t>其他要求</w:t>
                  </w:r>
                  <w:r>
                    <w:rPr>
                      <w:rFonts w:ascii="仿宋_GB2312" w:hAnsi="仿宋_GB2312" w:cs="仿宋_GB2312" w:eastAsia="仿宋_GB2312"/>
                      <w:sz w:val="22"/>
                      <w:color w:val="000000"/>
                    </w:rPr>
                    <w:t>：警灯、警报、车身涂装等符合GB13954-2009及GA524标准要求。</w:t>
                  </w:r>
                </w:p>
              </w:tc>
              <w:tc>
                <w:tcPr>
                  <w:tcW w:type="dxa" w:w="33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r>
            <w:tr>
              <w:tc>
                <w:tcPr>
                  <w:tcW w:type="dxa" w:w="458"/>
                  <w:vMerge/>
                  <w:tcBorders>
                    <w:top w:val="single" w:color="000000" w:sz="4"/>
                    <w:left w:val="single" w:color="000000" w:sz="4"/>
                    <w:bottom w:val="single" w:color="000000" w:sz="4"/>
                    <w:right w:val="single" w:color="000000" w:sz="4"/>
                  </w:tcBorders>
                </w:tcPr>
                <w:p/>
              </w:tc>
              <w:tc>
                <w:tcPr>
                  <w:tcW w:type="dxa" w:w="1505"/>
                  <w:vMerge/>
                  <w:tcBorders>
                    <w:top w:val="single" w:color="000000" w:sz="4"/>
                    <w:left w:val="single" w:color="000000" w:sz="4"/>
                    <w:bottom w:val="single" w:color="000000" w:sz="4"/>
                    <w:right w:val="single" w:color="000000" w:sz="4"/>
                  </w:tcBorders>
                </w:tcPr>
                <w:p/>
              </w:tc>
              <w:tc>
                <w:tcPr>
                  <w:tcW w:type="dxa" w:w="331"/>
                  <w:vMerge/>
                  <w:tcBorders>
                    <w:top w:val="single" w:color="000000" w:sz="4"/>
                    <w:left w:val="single" w:color="000000" w:sz="4"/>
                    <w:bottom w:val="single" w:color="000000" w:sz="4"/>
                    <w:right w:val="single" w:color="000000" w:sz="4"/>
                  </w:tcBorders>
                </w:tcPr>
                <w:p/>
              </w:tc>
            </w:tr>
            <w:tr>
              <w:tc>
                <w:tcPr>
                  <w:tcW w:type="dxa" w:w="458"/>
                  <w:vMerge/>
                  <w:tcBorders>
                    <w:top w:val="single" w:color="000000" w:sz="4"/>
                    <w:left w:val="single" w:color="000000" w:sz="4"/>
                    <w:bottom w:val="single" w:color="000000" w:sz="4"/>
                    <w:right w:val="single" w:color="000000" w:sz="4"/>
                  </w:tcBorders>
                </w:tcPr>
                <w:p/>
              </w:tc>
              <w:tc>
                <w:tcPr>
                  <w:tcW w:type="dxa" w:w="1505"/>
                  <w:vMerge/>
                  <w:tcBorders>
                    <w:top w:val="single" w:color="000000" w:sz="4"/>
                    <w:left w:val="single" w:color="000000" w:sz="4"/>
                    <w:bottom w:val="single" w:color="000000" w:sz="4"/>
                    <w:right w:val="single" w:color="000000" w:sz="4"/>
                  </w:tcBorders>
                </w:tcPr>
                <w:p/>
              </w:tc>
              <w:tc>
                <w:tcPr>
                  <w:tcW w:type="dxa" w:w="331"/>
                  <w:vMerge/>
                  <w:tcBorders>
                    <w:top w:val="single" w:color="000000" w:sz="4"/>
                    <w:left w:val="single" w:color="000000" w:sz="4"/>
                    <w:bottom w:val="single" w:color="000000" w:sz="4"/>
                    <w:right w:val="single" w:color="000000" w:sz="4"/>
                  </w:tcBorders>
                </w:tcPr>
                <w:p/>
              </w:tc>
            </w:tr>
          </w:tbl>
          <w:p/>
        </w:tc>
      </w:tr>
    </w:tbl>
    <w:p>
      <w:pPr>
        <w:pStyle w:val="null3"/>
      </w:pPr>
      <w:r>
        <w:rPr>
          <w:rFonts w:ascii="仿宋_GB2312" w:hAnsi="仿宋_GB2312" w:cs="仿宋_GB2312" w:eastAsia="仿宋_GB2312"/>
        </w:rPr>
        <w:t>标的名称：多功能乘用车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458"/>
              <w:gridCol w:w="1505"/>
              <w:gridCol w:w="331"/>
            </w:tblGrid>
            <w:tr>
              <w:tc>
                <w:tcPr>
                  <w:tcW w:type="dxa" w:w="4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装备配备项目及内容</w:t>
                  </w:r>
                </w:p>
              </w:tc>
              <w:tc>
                <w:tcPr>
                  <w:tcW w:type="dxa" w:w="150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参数</w:t>
                  </w:r>
                </w:p>
              </w:tc>
              <w:tc>
                <w:tcPr>
                  <w:tcW w:type="dxa" w:w="33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r>
                    <w:br/>
                  </w:r>
                  <w:r>
                    <w:rPr>
                      <w:rFonts w:ascii="仿宋_GB2312" w:hAnsi="仿宋_GB2312" w:cs="仿宋_GB2312" w:eastAsia="仿宋_GB2312"/>
                      <w:sz w:val="22"/>
                      <w:color w:val="000000"/>
                    </w:rPr>
                    <w:t xml:space="preserve"> （辆）</w:t>
                  </w:r>
                </w:p>
              </w:tc>
            </w:tr>
            <w:tr>
              <w:tc>
                <w:tcPr>
                  <w:tcW w:type="dxa" w:w="458"/>
                  <w:vMerge/>
                  <w:tcBorders>
                    <w:top w:val="single" w:color="000000" w:sz="4"/>
                    <w:left w:val="single" w:color="000000" w:sz="4"/>
                    <w:bottom w:val="single" w:color="000000" w:sz="4"/>
                    <w:right w:val="single" w:color="000000" w:sz="4"/>
                  </w:tcBorders>
                </w:tcPr>
                <w:p/>
              </w:tc>
              <w:tc>
                <w:tcPr>
                  <w:tcW w:type="dxa" w:w="1505"/>
                  <w:vMerge/>
                  <w:tcBorders>
                    <w:top w:val="single" w:color="000000" w:sz="4"/>
                    <w:left w:val="single" w:color="000000" w:sz="4"/>
                    <w:bottom w:val="single" w:color="000000" w:sz="4"/>
                    <w:right w:val="single" w:color="000000" w:sz="4"/>
                  </w:tcBorders>
                </w:tcPr>
                <w:p/>
              </w:tc>
              <w:tc>
                <w:tcPr>
                  <w:tcW w:type="dxa" w:w="331"/>
                  <w:vMerge/>
                  <w:tcBorders>
                    <w:top w:val="single" w:color="000000" w:sz="4"/>
                    <w:left w:val="single" w:color="000000" w:sz="4"/>
                    <w:bottom w:val="single" w:color="000000" w:sz="4"/>
                    <w:right w:val="single" w:color="000000" w:sz="4"/>
                  </w:tcBorders>
                </w:tcPr>
                <w:p/>
              </w:tc>
            </w:tr>
            <w:tr>
              <w:tc>
                <w:tcPr>
                  <w:tcW w:type="dxa" w:w="458"/>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多功能乘用车</w:t>
                  </w:r>
                </w:p>
              </w:tc>
              <w:tc>
                <w:tcPr>
                  <w:tcW w:type="dxa" w:w="1505"/>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b/>
                      <w:color w:val="000000"/>
                    </w:rPr>
                    <w:t>车身尺寸</w:t>
                  </w:r>
                  <w:r>
                    <w:rPr>
                      <w:rFonts w:ascii="仿宋_GB2312" w:hAnsi="仿宋_GB2312" w:cs="仿宋_GB2312" w:eastAsia="仿宋_GB2312"/>
                      <w:sz w:val="22"/>
                      <w:color w:val="000000"/>
                    </w:rPr>
                    <w:t xml:space="preserve">：(长宽高：4780mm×1900mm×1650mm±50mm）；        </w:t>
                  </w:r>
                </w:p>
                <w:p>
                  <w:pPr>
                    <w:pStyle w:val="null3"/>
                    <w:jc w:val="left"/>
                  </w:pPr>
                  <w:r>
                    <w:rPr>
                      <w:rFonts w:ascii="仿宋_GB2312" w:hAnsi="仿宋_GB2312" w:cs="仿宋_GB2312" w:eastAsia="仿宋_GB2312"/>
                      <w:sz w:val="22"/>
                      <w:b/>
                      <w:color w:val="000000"/>
                    </w:rPr>
                    <w:t>轴距</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≥2700mm；                                         </w:t>
                  </w:r>
                </w:p>
                <w:p>
                  <w:pPr>
                    <w:pStyle w:val="null3"/>
                    <w:jc w:val="left"/>
                  </w:pPr>
                  <w:r>
                    <w:rPr>
                      <w:rFonts w:ascii="仿宋_GB2312" w:hAnsi="仿宋_GB2312" w:cs="仿宋_GB2312" w:eastAsia="仿宋_GB2312"/>
                      <w:sz w:val="22"/>
                      <w:b/>
                      <w:color w:val="000000"/>
                    </w:rPr>
                    <w:t>车身结构</w:t>
                  </w:r>
                  <w:r>
                    <w:rPr>
                      <w:rFonts w:ascii="仿宋_GB2312" w:hAnsi="仿宋_GB2312" w:cs="仿宋_GB2312" w:eastAsia="仿宋_GB2312"/>
                      <w:sz w:val="22"/>
                      <w:color w:val="000000"/>
                    </w:rPr>
                    <w:t xml:space="preserve">：5 门 5 座 SUV；                                </w:t>
                  </w:r>
                </w:p>
                <w:p>
                  <w:pPr>
                    <w:pStyle w:val="null3"/>
                    <w:jc w:val="left"/>
                  </w:pPr>
                  <w:r>
                    <w:rPr>
                      <w:rFonts w:ascii="仿宋_GB2312" w:hAnsi="仿宋_GB2312" w:cs="仿宋_GB2312" w:eastAsia="仿宋_GB2312"/>
                      <w:sz w:val="22"/>
                      <w:b/>
                      <w:color w:val="000000"/>
                    </w:rPr>
                    <w:t>接近角/ 离去角</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≥16°/ 20°；                                </w:t>
                  </w:r>
                </w:p>
                <w:p>
                  <w:pPr>
                    <w:pStyle w:val="null3"/>
                    <w:jc w:val="left"/>
                  </w:pPr>
                  <w:r>
                    <w:rPr>
                      <w:rFonts w:ascii="仿宋_GB2312" w:hAnsi="仿宋_GB2312" w:cs="仿宋_GB2312" w:eastAsia="仿宋_GB2312"/>
                      <w:sz w:val="22"/>
                      <w:b/>
                      <w:color w:val="000000"/>
                    </w:rPr>
                    <w:t>油箱容积</w:t>
                  </w:r>
                  <w:r>
                    <w:rPr>
                      <w:rFonts w:ascii="仿宋_GB2312" w:hAnsi="仿宋_GB2312" w:cs="仿宋_GB2312" w:eastAsia="仿宋_GB2312"/>
                      <w:sz w:val="22"/>
                      <w:color w:val="000000"/>
                    </w:rPr>
                    <w:t xml:space="preserve"> ：≥55L；                                         </w:t>
                  </w:r>
                  <w:r>
                    <w:rPr>
                      <w:rFonts w:ascii="仿宋_GB2312" w:hAnsi="仿宋_GB2312" w:cs="仿宋_GB2312" w:eastAsia="仿宋_GB2312"/>
                      <w:sz w:val="22"/>
                      <w:color w:val="000000"/>
                    </w:rPr>
                    <w:t xml:space="preserve"> </w:t>
                  </w:r>
                </w:p>
                <w:p>
                  <w:pPr>
                    <w:pStyle w:val="null3"/>
                    <w:jc w:val="left"/>
                  </w:pPr>
                  <w:r>
                    <w:rPr>
                      <w:rFonts w:ascii="仿宋_GB2312" w:hAnsi="仿宋_GB2312" w:cs="仿宋_GB2312" w:eastAsia="仿宋_GB2312"/>
                      <w:sz w:val="22"/>
                      <w:b/>
                      <w:color w:val="000000"/>
                    </w:rPr>
                    <w:t>整备质量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1900kg；                                      </w:t>
                  </w:r>
                </w:p>
                <w:p>
                  <w:pPr>
                    <w:pStyle w:val="null3"/>
                    <w:jc w:val="left"/>
                  </w:pPr>
                  <w:r>
                    <w:rPr>
                      <w:rFonts w:ascii="仿宋_GB2312" w:hAnsi="仿宋_GB2312" w:cs="仿宋_GB2312" w:eastAsia="仿宋_GB2312"/>
                      <w:sz w:val="22"/>
                      <w:b/>
                      <w:color w:val="000000"/>
                    </w:rPr>
                    <w:t>最大满载质量：</w:t>
                  </w:r>
                  <w:r>
                    <w:rPr>
                      <w:rFonts w:ascii="仿宋_GB2312" w:hAnsi="仿宋_GB2312" w:cs="仿宋_GB2312" w:eastAsia="仿宋_GB2312"/>
                      <w:sz w:val="22"/>
                      <w:b/>
                      <w:color w:val="000000"/>
                    </w:rPr>
                    <w:t xml:space="preserve"> </w:t>
                  </w:r>
                  <w:r>
                    <w:rPr>
                      <w:rFonts w:ascii="仿宋_GB2312" w:hAnsi="仿宋_GB2312" w:cs="仿宋_GB2312" w:eastAsia="仿宋_GB2312"/>
                      <w:sz w:val="22"/>
                      <w:color w:val="000000"/>
                    </w:rPr>
                    <w:t xml:space="preserve">≥ 2300kg；                                       </w:t>
                  </w:r>
                </w:p>
                <w:p>
                  <w:pPr>
                    <w:pStyle w:val="null3"/>
                    <w:jc w:val="left"/>
                  </w:pPr>
                  <w:r>
                    <w:rPr>
                      <w:rFonts w:ascii="仿宋_GB2312" w:hAnsi="仿宋_GB2312" w:cs="仿宋_GB2312" w:eastAsia="仿宋_GB2312"/>
                      <w:sz w:val="22"/>
                      <w:b/>
                      <w:color w:val="000000"/>
                    </w:rPr>
                    <w:t>动力系统</w:t>
                  </w:r>
                  <w:r>
                    <w:rPr>
                      <w:rFonts w:ascii="仿宋_GB2312" w:hAnsi="仿宋_GB2312" w:cs="仿宋_GB2312" w:eastAsia="仿宋_GB2312"/>
                      <w:sz w:val="22"/>
                      <w:b/>
                      <w:color w:val="000000"/>
                    </w:rPr>
                    <w:t>：</w:t>
                  </w:r>
                  <w:r>
                    <w:rPr>
                      <w:rFonts w:ascii="仿宋_GB2312" w:hAnsi="仿宋_GB2312" w:cs="仿宋_GB2312" w:eastAsia="仿宋_GB2312"/>
                      <w:sz w:val="22"/>
                      <w:color w:val="000000"/>
                    </w:rPr>
                    <w:t xml:space="preserve">1.5L 自然吸气发动机；                        </w:t>
                  </w:r>
                </w:p>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b/>
                      <w:color w:val="000000"/>
                    </w:rPr>
                    <w:t>能源类型</w:t>
                  </w:r>
                  <w:r>
                    <w:rPr>
                      <w:rFonts w:ascii="仿宋_GB2312" w:hAnsi="仿宋_GB2312" w:cs="仿宋_GB2312" w:eastAsia="仿宋_GB2312"/>
                      <w:sz w:val="22"/>
                      <w:color w:val="000000"/>
                    </w:rPr>
                    <w:t xml:space="preserve">：插电混合；                                    </w:t>
                  </w:r>
                </w:p>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b/>
                      <w:color w:val="000000"/>
                    </w:rPr>
                    <w:t>排放标准</w:t>
                  </w:r>
                  <w:r>
                    <w:rPr>
                      <w:rFonts w:ascii="仿宋_GB2312" w:hAnsi="仿宋_GB2312" w:cs="仿宋_GB2312" w:eastAsia="仿宋_GB2312"/>
                      <w:sz w:val="22"/>
                      <w:color w:val="000000"/>
                    </w:rPr>
                    <w:t xml:space="preserve">：国VI；                                             </w:t>
                  </w:r>
                </w:p>
                <w:p>
                  <w:pPr>
                    <w:pStyle w:val="null3"/>
                    <w:jc w:val="left"/>
                  </w:pPr>
                  <w:r>
                    <w:rPr>
                      <w:rFonts w:ascii="仿宋_GB2312" w:hAnsi="仿宋_GB2312" w:cs="仿宋_GB2312" w:eastAsia="仿宋_GB2312"/>
                      <w:sz w:val="22"/>
                      <w:b/>
                      <w:color w:val="000000"/>
                    </w:rPr>
                    <w:t>最大功率</w:t>
                  </w:r>
                  <w:r>
                    <w:rPr>
                      <w:rFonts w:ascii="仿宋_GB2312" w:hAnsi="仿宋_GB2312" w:cs="仿宋_GB2312" w:eastAsia="仿宋_GB2312"/>
                      <w:sz w:val="22"/>
                      <w:color w:val="000000"/>
                    </w:rPr>
                    <w:t xml:space="preserve">：≥ 70kW；                                       </w:t>
                  </w:r>
                </w:p>
                <w:p>
                  <w:pPr>
                    <w:pStyle w:val="null3"/>
                    <w:jc w:val="left"/>
                  </w:pPr>
                  <w:r>
                    <w:rPr>
                      <w:rFonts w:ascii="仿宋_GB2312" w:hAnsi="仿宋_GB2312" w:cs="仿宋_GB2312" w:eastAsia="仿宋_GB2312"/>
                      <w:sz w:val="22"/>
                      <w:b/>
                      <w:color w:val="000000"/>
                    </w:rPr>
                    <w:t>电机功率</w:t>
                  </w:r>
                  <w:r>
                    <w:rPr>
                      <w:rFonts w:ascii="仿宋_GB2312" w:hAnsi="仿宋_GB2312" w:cs="仿宋_GB2312" w:eastAsia="仿宋_GB2312"/>
                      <w:sz w:val="22"/>
                      <w:color w:val="000000"/>
                    </w:rPr>
                    <w:t xml:space="preserve">：≥ 150kW；                                             </w:t>
                  </w:r>
                </w:p>
                <w:p>
                  <w:pPr>
                    <w:pStyle w:val="null3"/>
                    <w:jc w:val="left"/>
                  </w:pPr>
                  <w:r>
                    <w:rPr>
                      <w:rFonts w:ascii="仿宋_GB2312" w:hAnsi="仿宋_GB2312" w:cs="仿宋_GB2312" w:eastAsia="仿宋_GB2312"/>
                      <w:sz w:val="22"/>
                      <w:b/>
                      <w:color w:val="000000"/>
                    </w:rPr>
                    <w:t>电池容量</w:t>
                  </w:r>
                  <w:r>
                    <w:rPr>
                      <w:rFonts w:ascii="仿宋_GB2312" w:hAnsi="仿宋_GB2312" w:cs="仿宋_GB2312" w:eastAsia="仿宋_GB2312"/>
                      <w:sz w:val="22"/>
                      <w:color w:val="000000"/>
                    </w:rPr>
                    <w:t xml:space="preserve">：≥25kWh；                                     </w:t>
                  </w:r>
                </w:p>
                <w:p>
                  <w:pPr>
                    <w:pStyle w:val="null3"/>
                    <w:jc w:val="left"/>
                  </w:pPr>
                  <w:r>
                    <w:rPr>
                      <w:rFonts w:ascii="仿宋_GB2312" w:hAnsi="仿宋_GB2312" w:cs="仿宋_GB2312" w:eastAsia="仿宋_GB2312"/>
                      <w:sz w:val="22"/>
                      <w:b/>
                      <w:color w:val="000000"/>
                    </w:rPr>
                    <w:t>电池类型</w:t>
                  </w:r>
                  <w:r>
                    <w:rPr>
                      <w:rFonts w:ascii="仿宋_GB2312" w:hAnsi="仿宋_GB2312" w:cs="仿宋_GB2312" w:eastAsia="仿宋_GB2312"/>
                      <w:sz w:val="22"/>
                      <w:color w:val="000000"/>
                    </w:rPr>
                    <w:t xml:space="preserve">：磷酸铁锂；                                      </w:t>
                  </w:r>
                </w:p>
                <w:p>
                  <w:pPr>
                    <w:pStyle w:val="null3"/>
                    <w:jc w:val="left"/>
                  </w:pP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变速箱</w:t>
                  </w:r>
                  <w:r>
                    <w:rPr>
                      <w:rFonts w:ascii="仿宋_GB2312" w:hAnsi="仿宋_GB2312" w:cs="仿宋_GB2312" w:eastAsia="仿宋_GB2312"/>
                      <w:sz w:val="22"/>
                      <w:color w:val="000000"/>
                    </w:rPr>
                    <w:t xml:space="preserve">：自动变速；                                      </w:t>
                  </w:r>
                </w:p>
                <w:p>
                  <w:pPr>
                    <w:pStyle w:val="null3"/>
                    <w:jc w:val="left"/>
                  </w:pP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WLTC纯电续航</w:t>
                  </w:r>
                  <w:r>
                    <w:rPr>
                      <w:rFonts w:ascii="仿宋_GB2312" w:hAnsi="仿宋_GB2312" w:cs="仿宋_GB2312" w:eastAsia="仿宋_GB2312"/>
                      <w:sz w:val="22"/>
                      <w:color w:val="000000"/>
                    </w:rPr>
                    <w:t xml:space="preserve"> ：≥200km ；                                 </w:t>
                  </w:r>
                </w:p>
                <w:p>
                  <w:pPr>
                    <w:pStyle w:val="null3"/>
                    <w:jc w:val="left"/>
                  </w:pPr>
                  <w:r>
                    <w:rPr>
                      <w:rFonts w:ascii="仿宋_GB2312" w:hAnsi="仿宋_GB2312" w:cs="仿宋_GB2312" w:eastAsia="仿宋_GB2312"/>
                      <w:sz w:val="22"/>
                      <w:b/>
                      <w:color w:val="000000"/>
                    </w:rPr>
                    <w:t>底盘悬挂</w:t>
                  </w:r>
                  <w:r>
                    <w:rPr>
                      <w:rFonts w:ascii="仿宋_GB2312" w:hAnsi="仿宋_GB2312" w:cs="仿宋_GB2312" w:eastAsia="仿宋_GB2312"/>
                      <w:sz w:val="22"/>
                      <w:b/>
                      <w:color w:val="000000"/>
                    </w:rPr>
                    <w:t>：</w:t>
                  </w:r>
                  <w:r>
                    <w:rPr>
                      <w:rFonts w:ascii="仿宋_GB2312" w:hAnsi="仿宋_GB2312" w:cs="仿宋_GB2312" w:eastAsia="仿宋_GB2312"/>
                      <w:sz w:val="22"/>
                      <w:color w:val="000000"/>
                    </w:rPr>
                    <w:t>前麦弗逊式独立悬挂 + 后多连杆式独立悬挂；</w:t>
                  </w:r>
                </w:p>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b/>
                      <w:color w:val="000000"/>
                    </w:rPr>
                    <w:t>配置要求</w:t>
                  </w:r>
                  <w:r>
                    <w:rPr>
                      <w:rFonts w:ascii="仿宋_GB2312" w:hAnsi="仿宋_GB2312" w:cs="仿宋_GB2312" w:eastAsia="仿宋_GB2312"/>
                      <w:sz w:val="22"/>
                      <w:color w:val="000000"/>
                    </w:rPr>
                    <w:t xml:space="preserve">：配备毫米波雷达、超声波雷达及摄像头、具有全速自适应巡航、 360度全景影像、中控屏：≥15英寸； 真皮座椅、胎压自动监测显示；                                              </w:t>
                  </w:r>
                </w:p>
                <w:p>
                  <w:pPr>
                    <w:pStyle w:val="null3"/>
                    <w:jc w:val="left"/>
                  </w:pPr>
                  <w:r>
                    <w:rPr>
                      <w:rFonts w:ascii="仿宋_GB2312" w:hAnsi="仿宋_GB2312" w:cs="仿宋_GB2312" w:eastAsia="仿宋_GB2312"/>
                      <w:sz w:val="22"/>
                      <w:b/>
                      <w:color w:val="000000"/>
                    </w:rPr>
                    <w:t>质保期</w:t>
                  </w:r>
                  <w:r>
                    <w:rPr>
                      <w:rFonts w:ascii="仿宋_GB2312" w:hAnsi="仿宋_GB2312" w:cs="仿宋_GB2312" w:eastAsia="仿宋_GB2312"/>
                      <w:sz w:val="22"/>
                      <w:color w:val="000000"/>
                    </w:rPr>
                    <w:t>：整车不</w:t>
                  </w:r>
                  <w:r>
                    <w:rPr>
                      <w:rFonts w:ascii="仿宋_GB2312" w:hAnsi="仿宋_GB2312" w:cs="仿宋_GB2312" w:eastAsia="仿宋_GB2312"/>
                      <w:sz w:val="22"/>
                      <w:color w:val="000000"/>
                    </w:rPr>
                    <w:t>小于六年或15万公里</w:t>
                  </w:r>
                  <w:r>
                    <w:rPr>
                      <w:rFonts w:ascii="仿宋_GB2312" w:hAnsi="仿宋_GB2312" w:cs="仿宋_GB2312" w:eastAsia="仿宋_GB2312"/>
                      <w:sz w:val="22"/>
                      <w:color w:val="000000"/>
                    </w:rPr>
                    <w:t xml:space="preserve">、其中三电系统：不低于八年 ；                                                      </w:t>
                  </w:r>
                </w:p>
                <w:p>
                  <w:pPr>
                    <w:pStyle w:val="null3"/>
                    <w:jc w:val="left"/>
                  </w:pPr>
                  <w:r>
                    <w:rPr>
                      <w:rFonts w:ascii="仿宋_GB2312" w:hAnsi="仿宋_GB2312" w:cs="仿宋_GB2312" w:eastAsia="仿宋_GB2312"/>
                      <w:sz w:val="22"/>
                      <w:b/>
                      <w:color w:val="000000"/>
                    </w:rPr>
                    <w:t>其他要求</w:t>
                  </w:r>
                  <w:r>
                    <w:rPr>
                      <w:rFonts w:ascii="仿宋_GB2312" w:hAnsi="仿宋_GB2312" w:cs="仿宋_GB2312" w:eastAsia="仿宋_GB2312"/>
                      <w:sz w:val="22"/>
                      <w:color w:val="000000"/>
                    </w:rPr>
                    <w:t>：警灯、警报、车身涂装等符合GB13954-2009及GA524标准要求。</w:t>
                  </w:r>
                </w:p>
              </w:tc>
              <w:tc>
                <w:tcPr>
                  <w:tcW w:type="dxa" w:w="331"/>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458"/>
                  <w:vMerge/>
                  <w:tcBorders>
                    <w:top w:val="single" w:color="000000" w:sz="4"/>
                    <w:left w:val="single" w:color="000000" w:sz="4"/>
                    <w:bottom w:val="none" w:color="000000" w:sz="4"/>
                    <w:right w:val="single" w:color="000000" w:sz="4"/>
                  </w:tcBorders>
                </w:tcPr>
                <w:p/>
              </w:tc>
              <w:tc>
                <w:tcPr>
                  <w:tcW w:type="dxa" w:w="1505"/>
                  <w:vMerge/>
                  <w:tcBorders>
                    <w:top w:val="single" w:color="000000" w:sz="4"/>
                    <w:left w:val="single" w:color="000000" w:sz="4"/>
                    <w:bottom w:val="none" w:color="000000" w:sz="4"/>
                    <w:right w:val="single" w:color="000000" w:sz="4"/>
                  </w:tcBorders>
                </w:tcPr>
                <w:p/>
              </w:tc>
              <w:tc>
                <w:tcPr>
                  <w:tcW w:type="dxa" w:w="331"/>
                  <w:vMerge/>
                  <w:tcBorders>
                    <w:top w:val="single" w:color="000000" w:sz="4"/>
                    <w:left w:val="single" w:color="000000" w:sz="4"/>
                    <w:bottom w:val="none" w:color="000000" w:sz="4"/>
                    <w:right w:val="single" w:color="000000" w:sz="4"/>
                  </w:tcBorders>
                </w:tcPr>
                <w:p/>
              </w:tc>
            </w:tr>
            <w:tr>
              <w:tc>
                <w:tcPr>
                  <w:tcW w:type="dxa" w:w="458"/>
                  <w:vMerge/>
                  <w:tcBorders>
                    <w:top w:val="single" w:color="000000" w:sz="4"/>
                    <w:left w:val="single" w:color="000000" w:sz="4"/>
                    <w:bottom w:val="none" w:color="000000" w:sz="4"/>
                    <w:right w:val="single" w:color="000000" w:sz="4"/>
                  </w:tcBorders>
                </w:tcPr>
                <w:p/>
              </w:tc>
              <w:tc>
                <w:tcPr>
                  <w:tcW w:type="dxa" w:w="1505"/>
                  <w:vMerge/>
                  <w:tcBorders>
                    <w:top w:val="single" w:color="000000" w:sz="4"/>
                    <w:left w:val="single" w:color="000000" w:sz="4"/>
                    <w:bottom w:val="none" w:color="000000" w:sz="4"/>
                    <w:right w:val="single" w:color="000000" w:sz="4"/>
                  </w:tcBorders>
                </w:tcPr>
                <w:p/>
              </w:tc>
              <w:tc>
                <w:tcPr>
                  <w:tcW w:type="dxa" w:w="331"/>
                  <w:vMerge/>
                  <w:tcBorders>
                    <w:top w:val="single" w:color="000000" w:sz="4"/>
                    <w:left w:val="single" w:color="000000" w:sz="4"/>
                    <w:bottom w:val="non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自合同签订之日起20日历天内供货完毕。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货物全部运到采购人指定地方，安装完毕并经终验合格后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验收标准：以国家标准、行业标准或合同文本供货清单中描述的有关技术要求为准。 验收方法：1、初验：货物到达交货地点后，由使用单位根据合同对货物 (设备) 的名称、品牌、规格、型号、产地、数量进行检查。2、终验：所有货物(设备)正常使用30个日历日后，由采购人进行终验 (最终验收) ，合格后签发《终验合格单》。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整车不小于六年或15万公里、其中三电系统：不低于八年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一、供应商需要在线上提交所有通过电子化交易平台实施的政府采购项目的投标文件并在开标截止时间30分钟前，通过项目电子化交易系统进行签到，如未进行签到，产生的一起后果由供应商自行承担。 二、供应商的投标报价是供应商投标的全部工作内容的价格体现，包括供应商完成本项目所需的直接费、间接费、利润、税金及其它相关的一切费用。包括但不限于：人工费、设备费、管理费、验收费、采购代理服务费、利润和税金等全部费用。在提供货物/服务的过程中的任何遗漏，均由成交供应商免费提供，采购人将不再支付任何费用。 三、1）中标单位在领取中标通知书前，须向采购代理机构提供纸质版投标文件3套，且提供的投标文件必须与在陕西省政府采购综合管理平台的项目电子化交易系统中递交的电子投标文件内容一致，纸质版投标文件必须装订成册签字盖章。2）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 件；自然人提供身份证明文件）；（2）具有良好的商业信誉和健全的财务会计制度（提供2024或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3）具有履行合同所必需的设备和专业技术能力的书面声明； （4）具有依法缴纳税收和社会保障资金的良好记录 （提供开标前12个月内任意一个月的社保和缴纳税收的证明，依法不需要缴纳社会保障资金、 免税或无须缴纳税款的供应商，应提供相关证明文件)；（5）参加政府采购活动前 3 年内在经营活动中没有重大违法记录的书面声明； （6）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资格审查资料docx.docx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或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投标函 资格审查资料docx.docx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法定代表人授权书及被授权人身份证复印件</w:t>
            </w:r>
          </w:p>
        </w:tc>
        <w:tc>
          <w:tcPr>
            <w:tcW w:type="dxa" w:w="3322"/>
          </w:tcPr>
          <w:p>
            <w:pPr>
              <w:pStyle w:val="null3"/>
            </w:pPr>
            <w:r>
              <w:rPr>
                <w:rFonts w:ascii="仿宋_GB2312" w:hAnsi="仿宋_GB2312" w:cs="仿宋_GB2312" w:eastAsia="仿宋_GB2312"/>
              </w:rPr>
              <w:t>法定代表人授权书及被授权人身份证复印件（法定代表人直接参加投标，须提供法定代表人身份证明及身份证复印件）；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资格审查资料docx.docx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资格审查资料docx.docx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资格审查资料docx.docx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商务响应表.docx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投标文件封面 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1、内容无重大缺漏项，报价唯一，且不能高于最高限价。 2、投标人的报价明显低于其他通过符合性审查投标人的报价时，按照财政部87号令第六十条的相关规定进行处理。</w:t>
            </w:r>
          </w:p>
        </w:tc>
        <w:tc>
          <w:tcPr>
            <w:tcW w:type="dxa" w:w="1661"/>
          </w:tcPr>
          <w:p>
            <w:pPr>
              <w:pStyle w:val="null3"/>
            </w:pPr>
            <w:r>
              <w:rPr>
                <w:rFonts w:ascii="仿宋_GB2312" w:hAnsi="仿宋_GB2312" w:cs="仿宋_GB2312" w:eastAsia="仿宋_GB2312"/>
              </w:rPr>
              <w:t>投标文件封面 商务响应表.docx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投标文件的签署、加盖印章是否合格、有效。</w:t>
            </w:r>
          </w:p>
        </w:tc>
        <w:tc>
          <w:tcPr>
            <w:tcW w:type="dxa" w:w="1661"/>
          </w:tcPr>
          <w:p>
            <w:pPr>
              <w:pStyle w:val="null3"/>
            </w:pPr>
            <w:r>
              <w:rPr>
                <w:rFonts w:ascii="仿宋_GB2312" w:hAnsi="仿宋_GB2312" w:cs="仿宋_GB2312" w:eastAsia="仿宋_GB2312"/>
              </w:rPr>
              <w:t>投标文件封面 商务响应表.docx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投标文件封面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投标文件封面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法律、法规和招标文件规定的其他无效情形</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投标文件封面 商务响应表.docx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对照招标文件，对技术参数和要求等内容做出的实质性响应，按其响应程度计分，产品品牌、规格、型号描述详细，性能全部满足招标文件得基本分（20分）。 参数每负偏离一项扣1分, 扣完为止。在技术响应偏离表“备注”栏中标明证明材料的页码，未提供证明材料视为负偏离。（备注：证明材料包含但不限于技术白皮书、官网功能截图、产品彩页、产品技术说明、相关检测报告等资料任意一种。） 注：若证明材料低于招标文件规定的相应参数时视为负偏离。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根据项目需求编制实施方案：包含①供货方案；②进度计划措施；③人员配备；④验收组织措施；⑤车辆调试方案；⑥应急预案。 以上内容专门针对本项目且阐述明晰、全面、合理得18分，每缺一项内容扣3分，若上述内容存在瑕疵，每存在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其他相关资料.docx</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投标函</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所投产品为原厂正品、全新原装，无假冒伪劣产品情况，供货渠道规范可查，提供产品正规来源渠道合法的证明文件（包括但不限于：①产品制造商授权；②销售协议/代理协议。 以上资料每提供一项得2分，最高得4分。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1、针对本项目有具体的质量保证方案，包含但不限于： ①质量管理制度； ②质量保证期限及质量保证范围； ③投标产品备品备件储备齐全，维修及更换频次较低 。 以上内容专门针对本项目且阐述明晰、全面、合理得6分，每缺一项内容扣2分，若上述内容存在瑕疵，每存在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投标函</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1、针对本项目拟定的技术培训及售后服务方案：包含不限于①日常使用操作； ②保养与管理；③常见故障的排除；④紧急情况的处理。 以上内容专门针对本项目且阐述明晰、全面、合理得8分，每缺一项内容扣2分，若上述内容存在瑕疵，每存在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1、针对本项目拟定的售后服务方案：①健全的售后服务机构、配备专职售后人员；②售后服务方案（须包含解决问题能力、故障处理预案、故障维修响应时间等）；③售后服务保障措施；④售后服务承诺。 以上内容专门针对本项目且阐述明晰、全面、合理得8分，每缺一项内容扣2分，若上述内容存在瑕疵，每存在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提供2023年04月01日至今类似项目的合同，每提供一份业绩计1分，最高6分。 注：（以合同签订时间为准，投标文件中附复印件或扫描件并加盖公章）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节能环保、环境标志产品明细表.docx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详见附件：其他相关资料.docx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详见附件：资格审查资料docx.docx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