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0AA70D">
      <w:pPr>
        <w:numPr>
          <w:ilvl w:val="0"/>
          <w:numId w:val="0"/>
        </w:numPr>
        <w:jc w:val="center"/>
        <w:rPr>
          <w:rFonts w:hint="eastAsia" w:ascii="宋体" w:hAnsi="宋体" w:cs="宋体"/>
          <w:b/>
          <w:bCs/>
          <w:color w:val="auto"/>
          <w:sz w:val="36"/>
          <w:szCs w:val="44"/>
          <w:lang w:val="en-US" w:eastAsia="zh-CN"/>
        </w:rPr>
      </w:pPr>
      <w:r>
        <w:rPr>
          <w:rFonts w:hint="eastAsia" w:ascii="宋体" w:hAnsi="宋体" w:cs="宋体"/>
          <w:b/>
          <w:bCs/>
          <w:color w:val="auto"/>
          <w:sz w:val="36"/>
          <w:szCs w:val="44"/>
          <w:lang w:val="en-US" w:eastAsia="zh-CN"/>
        </w:rPr>
        <w:t xml:space="preserve">前坪村组人居环境综合整治工程   </w:t>
      </w:r>
    </w:p>
    <w:p w14:paraId="3AFE9566">
      <w:pPr>
        <w:numPr>
          <w:ilvl w:val="0"/>
          <w:numId w:val="0"/>
        </w:numPr>
        <w:jc w:val="center"/>
        <w:rPr>
          <w:rFonts w:hint="eastAsia" w:ascii="宋体" w:hAnsi="宋体" w:eastAsia="宋体" w:cs="宋体"/>
          <w:color w:val="auto"/>
          <w:sz w:val="18"/>
          <w:szCs w:val="21"/>
        </w:rPr>
      </w:pPr>
      <w:r>
        <w:rPr>
          <w:rFonts w:hint="eastAsia" w:ascii="宋体" w:hAnsi="宋体" w:eastAsia="宋体" w:cs="宋体"/>
          <w:b/>
          <w:bCs/>
          <w:color w:val="auto"/>
          <w:sz w:val="36"/>
          <w:szCs w:val="44"/>
        </w:rPr>
        <w:t>采购</w:t>
      </w:r>
      <w:r>
        <w:rPr>
          <w:rFonts w:hint="eastAsia" w:ascii="宋体" w:hAnsi="宋体" w:eastAsia="宋体" w:cs="宋体"/>
          <w:b/>
          <w:bCs/>
          <w:color w:val="auto"/>
          <w:sz w:val="36"/>
          <w:szCs w:val="44"/>
          <w:lang w:val="en-US" w:eastAsia="zh-CN"/>
        </w:rPr>
        <w:t>计划文件</w:t>
      </w:r>
    </w:p>
    <w:p w14:paraId="5B4FE3E5">
      <w:pPr>
        <w:numPr>
          <w:ilvl w:val="0"/>
          <w:numId w:val="0"/>
        </w:numPr>
        <w:spacing w:line="360" w:lineRule="auto"/>
        <w:rPr>
          <w:rFonts w:hint="eastAsia" w:ascii="宋体" w:hAnsi="宋体" w:eastAsia="宋体" w:cs="宋体"/>
          <w:b/>
          <w:bCs/>
          <w:color w:val="auto"/>
          <w:sz w:val="28"/>
          <w:szCs w:val="36"/>
        </w:rPr>
      </w:pPr>
      <w:r>
        <w:rPr>
          <w:rFonts w:hint="eastAsia" w:ascii="宋体" w:hAnsi="宋体" w:eastAsia="宋体" w:cs="宋体"/>
          <w:b/>
          <w:bCs/>
          <w:color w:val="auto"/>
          <w:kern w:val="2"/>
          <w:sz w:val="28"/>
          <w:szCs w:val="36"/>
          <w:lang w:val="en-US" w:eastAsia="zh-CN" w:bidi="ar-SA"/>
        </w:rPr>
        <w:t>一、</w:t>
      </w:r>
      <w:r>
        <w:rPr>
          <w:rFonts w:hint="eastAsia" w:ascii="宋体" w:hAnsi="宋体" w:eastAsia="宋体" w:cs="宋体"/>
          <w:b/>
          <w:bCs/>
          <w:color w:val="auto"/>
          <w:sz w:val="28"/>
          <w:szCs w:val="36"/>
        </w:rPr>
        <w:t>采购项目名称</w:t>
      </w:r>
    </w:p>
    <w:p w14:paraId="1025566D">
      <w:pPr>
        <w:numPr>
          <w:ilvl w:val="0"/>
          <w:numId w:val="0"/>
        </w:numPr>
        <w:spacing w:line="360" w:lineRule="auto"/>
        <w:rPr>
          <w:rFonts w:hint="eastAsia" w:ascii="宋体" w:hAnsi="宋体" w:cs="宋体"/>
          <w:b w:val="0"/>
          <w:bCs w:val="0"/>
          <w:color w:val="auto"/>
          <w:sz w:val="28"/>
          <w:szCs w:val="36"/>
          <w:lang w:val="en-US" w:eastAsia="zh-CN"/>
        </w:rPr>
      </w:pPr>
      <w:r>
        <w:rPr>
          <w:rFonts w:hint="eastAsia" w:ascii="宋体" w:hAnsi="宋体" w:cs="宋体"/>
          <w:b w:val="0"/>
          <w:bCs w:val="0"/>
          <w:color w:val="auto"/>
          <w:sz w:val="28"/>
          <w:szCs w:val="36"/>
          <w:lang w:val="en-US" w:eastAsia="zh-CN"/>
        </w:rPr>
        <w:t xml:space="preserve">前坪村组人居环境综合整治工程   </w:t>
      </w:r>
    </w:p>
    <w:p w14:paraId="0E8E0B2E">
      <w:pPr>
        <w:numPr>
          <w:ilvl w:val="0"/>
          <w:numId w:val="0"/>
        </w:numPr>
        <w:spacing w:line="360" w:lineRule="auto"/>
        <w:rPr>
          <w:rFonts w:hint="eastAsia" w:ascii="宋体" w:hAnsi="宋体" w:eastAsia="宋体" w:cs="宋体"/>
          <w:b/>
          <w:bCs/>
          <w:color w:val="auto"/>
          <w:sz w:val="28"/>
          <w:szCs w:val="36"/>
        </w:rPr>
      </w:pPr>
      <w:r>
        <w:rPr>
          <w:rFonts w:hint="eastAsia" w:ascii="宋体" w:hAnsi="宋体" w:cs="宋体"/>
          <w:b/>
          <w:bCs/>
          <w:color w:val="auto"/>
          <w:sz w:val="28"/>
          <w:szCs w:val="36"/>
          <w:lang w:val="en-US" w:eastAsia="zh-CN"/>
        </w:rPr>
        <w:t>二、</w:t>
      </w:r>
      <w:r>
        <w:rPr>
          <w:rFonts w:hint="eastAsia" w:ascii="宋体" w:hAnsi="宋体" w:eastAsia="宋体" w:cs="宋体"/>
          <w:b/>
          <w:bCs/>
          <w:color w:val="auto"/>
          <w:sz w:val="28"/>
          <w:szCs w:val="36"/>
        </w:rPr>
        <w:t>采购项目预算、资金构成和采购方式</w:t>
      </w:r>
    </w:p>
    <w:p w14:paraId="01FBCD9B">
      <w:pPr>
        <w:numPr>
          <w:ilvl w:val="0"/>
          <w:numId w:val="0"/>
        </w:numPr>
        <w:spacing w:line="360" w:lineRule="auto"/>
        <w:rPr>
          <w:rFonts w:hint="default" w:ascii="宋体" w:hAnsi="宋体" w:eastAsia="宋体" w:cs="宋体"/>
          <w:color w:val="auto"/>
          <w:sz w:val="28"/>
          <w:szCs w:val="36"/>
          <w:lang w:val="en-US"/>
        </w:rPr>
      </w:pPr>
      <w:r>
        <w:rPr>
          <w:rFonts w:hint="eastAsia" w:ascii="宋体" w:hAnsi="宋体" w:cs="宋体"/>
          <w:color w:val="auto"/>
          <w:kern w:val="2"/>
          <w:sz w:val="28"/>
          <w:szCs w:val="36"/>
          <w:lang w:val="en-US" w:eastAsia="zh-CN" w:bidi="ar-SA"/>
        </w:rPr>
        <w:t>1</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采购项目预算：1978785.00</w:t>
      </w:r>
      <w:r>
        <w:rPr>
          <w:rFonts w:hint="eastAsia" w:ascii="宋体" w:hAnsi="宋体" w:eastAsia="宋体" w:cs="宋体"/>
          <w:color w:val="auto"/>
          <w:sz w:val="28"/>
          <w:szCs w:val="36"/>
          <w:lang w:val="en-US" w:eastAsia="zh-CN"/>
        </w:rPr>
        <w:t>元</w:t>
      </w:r>
    </w:p>
    <w:p w14:paraId="11848945">
      <w:pPr>
        <w:numPr>
          <w:ilvl w:val="0"/>
          <w:numId w:val="0"/>
        </w:numPr>
        <w:spacing w:line="360" w:lineRule="auto"/>
        <w:rPr>
          <w:rFonts w:hint="eastAsia" w:ascii="宋体" w:hAnsi="宋体" w:eastAsia="宋体" w:cs="宋体"/>
          <w:color w:val="auto"/>
          <w:sz w:val="28"/>
          <w:szCs w:val="36"/>
        </w:rPr>
      </w:pPr>
      <w:r>
        <w:rPr>
          <w:rFonts w:hint="eastAsia" w:ascii="宋体" w:hAnsi="宋体" w:cs="宋体"/>
          <w:color w:val="auto"/>
          <w:kern w:val="2"/>
          <w:sz w:val="28"/>
          <w:szCs w:val="36"/>
          <w:lang w:val="en-US" w:eastAsia="zh-CN" w:bidi="ar-SA"/>
        </w:rPr>
        <w:t>2</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资金来源：</w:t>
      </w:r>
      <w:r>
        <w:rPr>
          <w:rFonts w:hint="eastAsia" w:ascii="宋体" w:hAnsi="宋体" w:cs="宋体"/>
          <w:color w:val="auto"/>
          <w:sz w:val="28"/>
          <w:szCs w:val="36"/>
          <w:lang w:val="en-US" w:eastAsia="zh-CN"/>
        </w:rPr>
        <w:t>自筹</w:t>
      </w:r>
      <w:bookmarkStart w:id="6" w:name="_GoBack"/>
      <w:bookmarkEnd w:id="6"/>
      <w:r>
        <w:rPr>
          <w:rFonts w:hint="eastAsia" w:ascii="宋体" w:hAnsi="宋体" w:eastAsia="宋体" w:cs="宋体"/>
          <w:color w:val="auto"/>
          <w:sz w:val="28"/>
          <w:szCs w:val="36"/>
        </w:rPr>
        <w:t xml:space="preserve"> </w:t>
      </w:r>
    </w:p>
    <w:p w14:paraId="7EF92388">
      <w:pPr>
        <w:numPr>
          <w:ilvl w:val="0"/>
          <w:numId w:val="0"/>
        </w:numPr>
        <w:spacing w:line="360" w:lineRule="auto"/>
        <w:ind w:left="0" w:leftChars="0" w:firstLine="0" w:firstLineChars="0"/>
        <w:rPr>
          <w:rFonts w:hint="default" w:ascii="宋体" w:hAnsi="宋体" w:eastAsia="宋体" w:cs="宋体"/>
          <w:color w:val="auto"/>
          <w:sz w:val="28"/>
          <w:szCs w:val="36"/>
          <w:lang w:val="en-US"/>
        </w:rPr>
      </w:pPr>
      <w:r>
        <w:rPr>
          <w:rFonts w:hint="eastAsia" w:ascii="宋体" w:hAnsi="宋体" w:cs="宋体"/>
          <w:color w:val="auto"/>
          <w:kern w:val="2"/>
          <w:sz w:val="28"/>
          <w:szCs w:val="36"/>
          <w:lang w:val="en-US" w:eastAsia="zh-CN" w:bidi="ar-SA"/>
        </w:rPr>
        <w:t>3</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采购方式：</w:t>
      </w:r>
      <w:r>
        <w:rPr>
          <w:rFonts w:hint="eastAsia" w:ascii="宋体" w:hAnsi="宋体" w:eastAsia="宋体" w:cs="宋体"/>
          <w:color w:val="auto"/>
          <w:sz w:val="28"/>
          <w:szCs w:val="36"/>
          <w:lang w:val="en-US" w:eastAsia="zh-CN"/>
        </w:rPr>
        <w:t>竞争性</w:t>
      </w:r>
      <w:r>
        <w:rPr>
          <w:rFonts w:hint="eastAsia" w:ascii="宋体" w:hAnsi="宋体" w:cs="宋体"/>
          <w:color w:val="auto"/>
          <w:sz w:val="28"/>
          <w:szCs w:val="36"/>
          <w:lang w:val="en-US" w:eastAsia="zh-CN"/>
        </w:rPr>
        <w:t>磋商</w:t>
      </w:r>
    </w:p>
    <w:p w14:paraId="65CDCA6E">
      <w:pPr>
        <w:numPr>
          <w:ilvl w:val="0"/>
          <w:numId w:val="0"/>
        </w:numPr>
        <w:spacing w:line="360" w:lineRule="auto"/>
        <w:ind w:left="0" w:leftChars="0" w:firstLine="0" w:firstLineChars="0"/>
        <w:rPr>
          <w:rFonts w:hint="eastAsia" w:ascii="宋体" w:hAnsi="宋体" w:eastAsia="宋体" w:cs="宋体"/>
          <w:color w:val="auto"/>
          <w:sz w:val="28"/>
          <w:szCs w:val="36"/>
          <w:lang w:val="en-US" w:eastAsia="zh-CN"/>
        </w:rPr>
      </w:pPr>
      <w:r>
        <w:rPr>
          <w:rFonts w:hint="eastAsia" w:ascii="宋体" w:hAnsi="宋体" w:eastAsia="宋体" w:cs="宋体"/>
          <w:color w:val="auto"/>
          <w:kern w:val="2"/>
          <w:sz w:val="28"/>
          <w:szCs w:val="36"/>
          <w:lang w:val="en-US" w:eastAsia="zh-CN" w:bidi="ar-SA"/>
        </w:rPr>
        <w:t>二、</w:t>
      </w:r>
      <w:r>
        <w:rPr>
          <w:rFonts w:hint="eastAsia" w:ascii="宋体" w:hAnsi="宋体" w:eastAsia="宋体" w:cs="宋体"/>
          <w:b/>
          <w:bCs/>
          <w:color w:val="auto"/>
          <w:sz w:val="28"/>
          <w:szCs w:val="36"/>
        </w:rPr>
        <w:t>具体采购需求</w:t>
      </w:r>
      <w:r>
        <w:rPr>
          <w:rFonts w:hint="eastAsia" w:ascii="宋体" w:hAnsi="宋体" w:eastAsia="宋体" w:cs="宋体"/>
          <w:color w:val="auto"/>
          <w:sz w:val="28"/>
          <w:szCs w:val="36"/>
        </w:rPr>
        <w:t xml:space="preserve">  </w:t>
      </w:r>
      <w:r>
        <w:rPr>
          <w:rFonts w:hint="eastAsia" w:ascii="宋体" w:hAnsi="宋体" w:cs="宋体"/>
          <w:color w:val="auto"/>
          <w:sz w:val="28"/>
          <w:szCs w:val="36"/>
          <w:lang w:val="en-US" w:eastAsia="zh-CN"/>
        </w:rPr>
        <w:t xml:space="preserve"> </w:t>
      </w:r>
    </w:p>
    <w:p w14:paraId="2EEC57C5">
      <w:pPr>
        <w:numPr>
          <w:ilvl w:val="0"/>
          <w:numId w:val="1"/>
        </w:numPr>
        <w:shd w:val="clear"/>
        <w:spacing w:line="360" w:lineRule="auto"/>
        <w:rPr>
          <w:rFonts w:hint="eastAsia" w:ascii="宋体" w:hAnsi="宋体" w:eastAsia="宋体" w:cs="宋体"/>
          <w:color w:val="auto"/>
          <w:sz w:val="28"/>
          <w:szCs w:val="36"/>
          <w:lang w:val="en-US"/>
        </w:rPr>
      </w:pPr>
      <w:r>
        <w:rPr>
          <w:rFonts w:hint="eastAsia" w:ascii="宋体" w:hAnsi="宋体" w:cs="宋体"/>
          <w:color w:val="auto"/>
          <w:sz w:val="28"/>
          <w:szCs w:val="36"/>
          <w:highlight w:val="none"/>
          <w:lang w:val="en-US" w:eastAsia="zh-CN"/>
        </w:rPr>
        <w:t>工期</w:t>
      </w:r>
      <w:r>
        <w:rPr>
          <w:rFonts w:hint="eastAsia" w:ascii="宋体" w:hAnsi="宋体" w:eastAsia="宋体" w:cs="宋体"/>
          <w:color w:val="auto"/>
          <w:sz w:val="28"/>
          <w:szCs w:val="36"/>
          <w:highlight w:val="none"/>
          <w:lang w:val="en-US" w:eastAsia="zh-CN"/>
        </w:rPr>
        <w:t>：</w:t>
      </w:r>
      <w:r>
        <w:rPr>
          <w:rFonts w:hint="eastAsia" w:ascii="宋体" w:hAnsi="宋体" w:cs="宋体"/>
          <w:color w:val="auto"/>
          <w:sz w:val="28"/>
          <w:szCs w:val="36"/>
          <w:highlight w:val="none"/>
          <w:lang w:val="en-US" w:eastAsia="zh-CN"/>
        </w:rPr>
        <w:t>90日历天</w:t>
      </w:r>
      <w:r>
        <w:rPr>
          <w:rFonts w:hint="eastAsia" w:ascii="宋体" w:hAnsi="宋体" w:eastAsia="宋体" w:cs="宋体"/>
          <w:color w:val="auto"/>
          <w:sz w:val="28"/>
          <w:szCs w:val="36"/>
          <w:highlight w:val="none"/>
          <w:lang w:val="en-US" w:eastAsia="zh-CN"/>
        </w:rPr>
        <w:t>。</w:t>
      </w:r>
    </w:p>
    <w:p w14:paraId="26FE98C3">
      <w:pPr>
        <w:numPr>
          <w:ilvl w:val="0"/>
          <w:numId w:val="0"/>
        </w:numPr>
        <w:spacing w:line="360" w:lineRule="auto"/>
        <w:ind w:leftChars="0"/>
        <w:rPr>
          <w:rFonts w:hint="default" w:ascii="宋体" w:hAnsi="宋体" w:eastAsia="宋体" w:cs="宋体"/>
          <w:color w:val="auto"/>
          <w:sz w:val="28"/>
          <w:szCs w:val="36"/>
          <w:lang w:val="en-US" w:eastAsia="zh-CN"/>
        </w:rPr>
      </w:pPr>
      <w:r>
        <w:rPr>
          <w:rFonts w:hint="eastAsia" w:ascii="宋体" w:hAnsi="宋体" w:cs="宋体"/>
          <w:color w:val="auto"/>
          <w:sz w:val="28"/>
          <w:szCs w:val="36"/>
          <w:lang w:val="en-US" w:eastAsia="zh-CN"/>
        </w:rPr>
        <w:t>2</w:t>
      </w:r>
      <w:r>
        <w:rPr>
          <w:rFonts w:hint="eastAsia" w:ascii="宋体" w:hAnsi="宋体" w:eastAsia="宋体" w:cs="宋体"/>
          <w:color w:val="auto"/>
          <w:sz w:val="28"/>
          <w:szCs w:val="36"/>
          <w:lang w:val="en-US" w:eastAsia="zh-CN"/>
        </w:rPr>
        <w:t>、</w:t>
      </w:r>
      <w:r>
        <w:rPr>
          <w:rFonts w:hint="eastAsia" w:ascii="宋体" w:hAnsi="宋体" w:cs="宋体"/>
          <w:color w:val="auto"/>
          <w:sz w:val="28"/>
          <w:szCs w:val="36"/>
          <w:lang w:val="en-US" w:eastAsia="zh-CN"/>
        </w:rPr>
        <w:t>项目地址：古城行政村前坪村组。</w:t>
      </w:r>
    </w:p>
    <w:p w14:paraId="2BAB27DC">
      <w:pPr>
        <w:numPr>
          <w:ilvl w:val="0"/>
          <w:numId w:val="0"/>
        </w:numPr>
        <w:spacing w:line="360" w:lineRule="auto"/>
        <w:ind w:leftChars="0"/>
        <w:rPr>
          <w:rFonts w:hint="eastAsia" w:ascii="宋体" w:hAnsi="宋体" w:eastAsia="宋体" w:cs="宋体"/>
          <w:color w:val="auto"/>
          <w:sz w:val="28"/>
          <w:szCs w:val="36"/>
          <w:lang w:val="en-US" w:eastAsia="zh-CN"/>
        </w:rPr>
      </w:pPr>
      <w:r>
        <w:rPr>
          <w:rFonts w:hint="eastAsia" w:ascii="宋体" w:hAnsi="宋体" w:cs="宋体"/>
          <w:color w:val="auto"/>
          <w:sz w:val="28"/>
          <w:szCs w:val="36"/>
          <w:lang w:val="en-US" w:eastAsia="zh-CN"/>
        </w:rPr>
        <w:t>3、</w:t>
      </w:r>
      <w:r>
        <w:rPr>
          <w:rFonts w:hint="eastAsia" w:ascii="宋体" w:hAnsi="宋体" w:eastAsia="宋体" w:cs="宋体"/>
          <w:color w:val="auto"/>
          <w:sz w:val="28"/>
          <w:szCs w:val="36"/>
          <w:lang w:val="en-US" w:eastAsia="zh-CN"/>
        </w:rPr>
        <w:t>采购需求</w:t>
      </w:r>
      <w:r>
        <w:rPr>
          <w:rFonts w:hint="eastAsia" w:ascii="宋体" w:hAnsi="宋体" w:eastAsia="宋体" w:cs="宋体"/>
          <w:color w:val="auto"/>
          <w:sz w:val="28"/>
          <w:szCs w:val="36"/>
        </w:rPr>
        <w:t>：</w:t>
      </w:r>
    </w:p>
    <w:p w14:paraId="26B66D1A">
      <w:pPr>
        <w:numPr>
          <w:ilvl w:val="0"/>
          <w:numId w:val="0"/>
        </w:numPr>
        <w:spacing w:line="360" w:lineRule="auto"/>
        <w:ind w:left="0" w:leftChars="0" w:firstLine="560" w:firstLineChars="200"/>
        <w:rPr>
          <w:rFonts w:hint="eastAsia" w:ascii="宋体" w:hAnsi="宋体" w:cs="宋体"/>
          <w:b w:val="0"/>
          <w:bCs w:val="0"/>
          <w:color w:val="auto"/>
          <w:sz w:val="28"/>
          <w:szCs w:val="36"/>
          <w:lang w:val="en-US" w:eastAsia="zh-CN"/>
        </w:rPr>
      </w:pPr>
      <w:r>
        <w:rPr>
          <w:rFonts w:hint="eastAsia" w:ascii="宋体" w:hAnsi="宋体" w:cs="宋体"/>
          <w:b w:val="0"/>
          <w:bCs w:val="0"/>
          <w:color w:val="auto"/>
          <w:sz w:val="28"/>
          <w:szCs w:val="36"/>
          <w:lang w:val="en-US" w:eastAsia="zh-CN"/>
        </w:rPr>
        <w:t>三、建设规模及内容：对古城行政村前坪村组进行道路硬化，</w:t>
      </w:r>
    </w:p>
    <w:p w14:paraId="473C6DA0">
      <w:pPr>
        <w:numPr>
          <w:ilvl w:val="0"/>
          <w:numId w:val="0"/>
        </w:numPr>
        <w:spacing w:line="360" w:lineRule="auto"/>
        <w:ind w:left="0" w:leftChars="0" w:firstLine="560" w:firstLineChars="200"/>
        <w:rPr>
          <w:rFonts w:hint="eastAsia" w:ascii="宋体" w:hAnsi="宋体" w:cs="宋体"/>
          <w:b w:val="0"/>
          <w:bCs w:val="0"/>
          <w:color w:val="auto"/>
          <w:sz w:val="28"/>
          <w:szCs w:val="36"/>
          <w:lang w:val="en-US" w:eastAsia="zh-CN"/>
        </w:rPr>
      </w:pPr>
      <w:r>
        <w:rPr>
          <w:rFonts w:hint="eastAsia" w:ascii="宋体" w:hAnsi="宋体" w:cs="宋体"/>
          <w:b w:val="0"/>
          <w:bCs w:val="0"/>
          <w:color w:val="auto"/>
          <w:sz w:val="28"/>
          <w:szCs w:val="36"/>
          <w:lang w:val="en-US" w:eastAsia="zh-CN"/>
        </w:rPr>
        <w:t>采用水泥混凝土路面，道路全长5.148公里，总硬化面积1578</w:t>
      </w:r>
    </w:p>
    <w:p w14:paraId="09BEE44C">
      <w:pPr>
        <w:numPr>
          <w:ilvl w:val="0"/>
          <w:numId w:val="0"/>
        </w:numPr>
        <w:spacing w:line="360" w:lineRule="auto"/>
        <w:ind w:left="0" w:leftChars="0" w:firstLine="560" w:firstLineChars="200"/>
        <w:rPr>
          <w:rFonts w:hint="eastAsia" w:ascii="宋体" w:hAnsi="宋体" w:cs="宋体"/>
          <w:b w:val="0"/>
          <w:bCs w:val="0"/>
          <w:color w:val="auto"/>
          <w:sz w:val="28"/>
          <w:szCs w:val="36"/>
          <w:lang w:val="en-US" w:eastAsia="zh-CN"/>
        </w:rPr>
      </w:pPr>
      <w:r>
        <w:rPr>
          <w:rFonts w:hint="eastAsia" w:ascii="宋体" w:hAnsi="宋体" w:cs="宋体"/>
          <w:b w:val="0"/>
          <w:bCs w:val="0"/>
          <w:color w:val="auto"/>
          <w:sz w:val="28"/>
          <w:szCs w:val="36"/>
          <w:lang w:val="en-US" w:eastAsia="zh-CN"/>
        </w:rPr>
        <w:t>立方米，配套新建40×40cm矩形边沟合计1457米，拆除原有旧</w:t>
      </w:r>
    </w:p>
    <w:p w14:paraId="1F78203E">
      <w:pPr>
        <w:numPr>
          <w:ilvl w:val="0"/>
          <w:numId w:val="0"/>
        </w:numPr>
        <w:spacing w:line="360" w:lineRule="auto"/>
        <w:ind w:left="0" w:leftChars="0" w:firstLine="560" w:firstLineChars="200"/>
        <w:rPr>
          <w:rFonts w:hint="eastAsia" w:ascii="宋体" w:hAnsi="宋体" w:eastAsia="宋体" w:cs="宋体"/>
          <w:b w:val="0"/>
          <w:bCs w:val="0"/>
          <w:color w:val="auto"/>
          <w:kern w:val="2"/>
          <w:sz w:val="28"/>
          <w:szCs w:val="36"/>
          <w:lang w:val="en-US" w:eastAsia="zh-CN" w:bidi="ar-SA"/>
        </w:rPr>
      </w:pPr>
      <w:r>
        <w:rPr>
          <w:rFonts w:hint="eastAsia" w:ascii="宋体" w:hAnsi="宋体" w:cs="宋体"/>
          <w:b w:val="0"/>
          <w:bCs w:val="0"/>
          <w:color w:val="auto"/>
          <w:sz w:val="28"/>
          <w:szCs w:val="36"/>
          <w:lang w:val="en-US" w:eastAsia="zh-CN"/>
        </w:rPr>
        <w:t>边沟共计50米等。（详见采购预算清单）。</w:t>
      </w:r>
    </w:p>
    <w:p w14:paraId="24E550A4">
      <w:pPr>
        <w:numPr>
          <w:ilvl w:val="0"/>
          <w:numId w:val="0"/>
        </w:numPr>
        <w:spacing w:line="360" w:lineRule="auto"/>
        <w:ind w:left="0" w:leftChars="0" w:firstLine="0" w:firstLineChars="0"/>
        <w:rPr>
          <w:rFonts w:hint="eastAsia" w:ascii="宋体" w:hAnsi="宋体" w:eastAsia="宋体" w:cs="宋体"/>
          <w:b/>
          <w:bCs/>
          <w:color w:val="auto"/>
          <w:sz w:val="28"/>
          <w:szCs w:val="36"/>
          <w:lang w:val="en-US" w:eastAsia="zh-CN"/>
        </w:rPr>
      </w:pPr>
      <w:r>
        <w:rPr>
          <w:rFonts w:hint="eastAsia" w:ascii="宋体" w:hAnsi="宋体" w:eastAsia="宋体" w:cs="宋体"/>
          <w:b/>
          <w:bCs/>
          <w:color w:val="auto"/>
          <w:kern w:val="2"/>
          <w:sz w:val="28"/>
          <w:szCs w:val="36"/>
          <w:lang w:val="en-US" w:eastAsia="zh-CN" w:bidi="ar-SA"/>
        </w:rPr>
        <w:t>三、</w:t>
      </w:r>
      <w:r>
        <w:rPr>
          <w:rFonts w:hint="eastAsia" w:ascii="宋体" w:hAnsi="宋体" w:eastAsia="宋体" w:cs="宋体"/>
          <w:b/>
          <w:bCs/>
          <w:color w:val="auto"/>
          <w:sz w:val="28"/>
          <w:szCs w:val="36"/>
          <w:lang w:val="en-US" w:eastAsia="zh-CN"/>
        </w:rPr>
        <w:t>合同模板：</w:t>
      </w:r>
    </w:p>
    <w:p w14:paraId="5D742934">
      <w:pPr>
        <w:pStyle w:val="6"/>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合同格式（参考）</w:t>
      </w:r>
    </w:p>
    <w:p w14:paraId="6463D19B">
      <w:pPr>
        <w:rPr>
          <w:rFonts w:hint="eastAsia" w:ascii="宋体" w:hAnsi="宋体" w:eastAsia="宋体" w:cs="宋体"/>
          <w:sz w:val="52"/>
          <w:szCs w:val="52"/>
        </w:rPr>
      </w:pPr>
      <w:r>
        <w:rPr>
          <w:rFonts w:hint="eastAsia" w:ascii="宋体" w:hAnsi="宋体" w:eastAsia="宋体" w:cs="宋体"/>
          <w:sz w:val="52"/>
          <w:szCs w:val="52"/>
        </w:rPr>
        <w:br w:type="page"/>
      </w:r>
    </w:p>
    <w:p w14:paraId="73E17A7D">
      <w:pPr>
        <w:spacing w:line="360" w:lineRule="auto"/>
        <w:jc w:val="center"/>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前坪村组人居环境综合整治工程</w:t>
      </w:r>
      <w:r>
        <w:rPr>
          <w:rFonts w:hint="eastAsia" w:ascii="宋体" w:hAnsi="宋体" w:eastAsia="宋体" w:cs="宋体"/>
          <w:b/>
          <w:bCs/>
          <w:color w:val="auto"/>
          <w:sz w:val="28"/>
          <w:szCs w:val="28"/>
          <w:lang w:val="en-US" w:eastAsia="zh-CN"/>
        </w:rPr>
        <w:t>采购</w:t>
      </w:r>
      <w:r>
        <w:rPr>
          <w:rFonts w:hint="eastAsia" w:ascii="宋体" w:hAnsi="宋体" w:eastAsia="宋体" w:cs="宋体"/>
          <w:b/>
          <w:bCs/>
          <w:color w:val="auto"/>
          <w:sz w:val="28"/>
          <w:szCs w:val="28"/>
        </w:rPr>
        <w:t>合同</w:t>
      </w:r>
    </w:p>
    <w:p w14:paraId="37669746">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甲方（</w:t>
      </w:r>
      <w:r>
        <w:rPr>
          <w:rFonts w:hint="eastAsia" w:ascii="宋体" w:hAnsi="宋体" w:eastAsia="宋体" w:cs="宋体"/>
          <w:snapToGrid w:val="0"/>
          <w:color w:val="auto"/>
          <w:kern w:val="0"/>
          <w:sz w:val="28"/>
          <w:szCs w:val="28"/>
        </w:rPr>
        <w:t>采购人</w:t>
      </w:r>
      <w:r>
        <w:rPr>
          <w:rFonts w:hint="eastAsia" w:ascii="宋体" w:hAnsi="宋体" w:eastAsia="宋体" w:cs="宋体"/>
          <w:snapToGrid w:val="0"/>
          <w:color w:val="auto"/>
          <w:kern w:val="0"/>
          <w:sz w:val="28"/>
          <w:szCs w:val="28"/>
          <w:lang w:eastAsia="zh-Hans"/>
        </w:rPr>
        <w:t>）：</w:t>
      </w:r>
    </w:p>
    <w:p w14:paraId="234F8C0F">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乙方（</w:t>
      </w:r>
      <w:r>
        <w:rPr>
          <w:rFonts w:hint="eastAsia" w:ascii="宋体" w:hAnsi="宋体" w:eastAsia="宋体" w:cs="宋体"/>
          <w:snapToGrid w:val="0"/>
          <w:color w:val="auto"/>
          <w:kern w:val="0"/>
          <w:sz w:val="28"/>
          <w:szCs w:val="28"/>
        </w:rPr>
        <w:t>中标人</w:t>
      </w:r>
      <w:r>
        <w:rPr>
          <w:rFonts w:hint="eastAsia" w:ascii="宋体" w:hAnsi="宋体" w:eastAsia="宋体" w:cs="宋体"/>
          <w:snapToGrid w:val="0"/>
          <w:color w:val="auto"/>
          <w:kern w:val="0"/>
          <w:sz w:val="28"/>
          <w:szCs w:val="28"/>
          <w:lang w:eastAsia="zh-Hans"/>
        </w:rPr>
        <w:t>）：</w:t>
      </w:r>
    </w:p>
    <w:p w14:paraId="53532AB7">
      <w:pPr>
        <w:autoSpaceDN w:val="0"/>
        <w:adjustRightInd w:val="0"/>
        <w:snapToGrid w:val="0"/>
        <w:spacing w:line="360" w:lineRule="auto"/>
        <w:ind w:firstLine="560" w:firstLineChars="200"/>
        <w:jc w:val="left"/>
        <w:rPr>
          <w:rFonts w:hint="eastAsia" w:ascii="宋体" w:hAnsi="宋体" w:eastAsia="宋体" w:cs="宋体"/>
          <w:b/>
          <w:snapToGrid w:val="0"/>
          <w:color w:val="auto"/>
          <w:kern w:val="0"/>
          <w:sz w:val="28"/>
          <w:szCs w:val="28"/>
        </w:rPr>
      </w:pPr>
      <w:r>
        <w:rPr>
          <w:rFonts w:hint="eastAsia" w:ascii="宋体" w:hAnsi="宋体" w:eastAsia="宋体" w:cs="宋体"/>
          <w:snapToGrid w:val="0"/>
          <w:color w:val="auto"/>
          <w:kern w:val="0"/>
          <w:sz w:val="28"/>
          <w:szCs w:val="28"/>
        </w:rPr>
        <w:t>根据《中华人民共和国政府采购法》、《中华人民共和国合同法》等相关法律，甲、乙双方经平等协商一致，就“</w:t>
      </w:r>
      <w:r>
        <w:rPr>
          <w:rFonts w:hint="eastAsia" w:ascii="宋体" w:hAnsi="宋体" w:cs="宋体"/>
          <w:snapToGrid w:val="0"/>
          <w:color w:val="auto"/>
          <w:kern w:val="0"/>
          <w:sz w:val="28"/>
          <w:szCs w:val="28"/>
          <w:lang w:val="en-US" w:eastAsia="zh-CN"/>
        </w:rPr>
        <w:t xml:space="preserve">前坪村组人居环境综合整治工程   </w:t>
      </w:r>
      <w:r>
        <w:rPr>
          <w:rFonts w:hint="eastAsia" w:ascii="宋体" w:hAnsi="宋体" w:eastAsia="宋体" w:cs="宋体"/>
          <w:snapToGrid w:val="0"/>
          <w:color w:val="auto"/>
          <w:kern w:val="0"/>
          <w:sz w:val="28"/>
          <w:szCs w:val="28"/>
        </w:rPr>
        <w:t>”承办达成合同如下：</w:t>
      </w:r>
    </w:p>
    <w:p w14:paraId="2BED6D2F">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一、合同文件</w:t>
      </w:r>
    </w:p>
    <w:p w14:paraId="31AFDB2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本合同所附下列文件是构成本合同不可分割的部分，组成合同的各项文件应互相解释，互为说明，解释合同文件的优先顺序如下：</w:t>
      </w:r>
    </w:p>
    <w:p w14:paraId="25155C9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1.合同条款</w:t>
      </w:r>
    </w:p>
    <w:p w14:paraId="6ED9311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2.中标通知书</w:t>
      </w:r>
    </w:p>
    <w:p w14:paraId="6ED4051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3.中标人在评标过程中做出的有关澄清、说明、承诺或者补正文件</w:t>
      </w:r>
    </w:p>
    <w:p w14:paraId="056D2405">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4.招标文件</w:t>
      </w:r>
    </w:p>
    <w:p w14:paraId="1994197E">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5.中标人的投标文件</w:t>
      </w:r>
    </w:p>
    <w:p w14:paraId="2BD2733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6.本合同附件</w:t>
      </w:r>
    </w:p>
    <w:p w14:paraId="26F91A1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同一层次的合同文件规定有矛盾的以较后时间制定的为准。</w:t>
      </w:r>
    </w:p>
    <w:p w14:paraId="67CA6D91">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二、合同的范围和条件</w:t>
      </w:r>
    </w:p>
    <w:p w14:paraId="456E445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本合同的范围和条件应与上述合同文件的规定相一致。</w:t>
      </w:r>
    </w:p>
    <w:p w14:paraId="59C468C5">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ascii="宋体" w:hAnsi="宋体" w:cs="宋体"/>
          <w:b/>
          <w:color w:val="auto"/>
          <w:sz w:val="28"/>
          <w:szCs w:val="28"/>
          <w:lang w:eastAsia="zh-CN"/>
        </w:rPr>
        <w:t>工程</w:t>
      </w:r>
      <w:r>
        <w:rPr>
          <w:rFonts w:hint="eastAsia" w:ascii="宋体" w:hAnsi="宋体" w:eastAsia="宋体" w:cs="宋体"/>
          <w:b/>
          <w:color w:val="auto"/>
          <w:sz w:val="28"/>
          <w:szCs w:val="28"/>
        </w:rPr>
        <w:t>项目</w:t>
      </w:r>
    </w:p>
    <w:p w14:paraId="43A988B2">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rPr>
        <w:t>本合同所提供的</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项目内容：（与报价文件中</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明细表一致）。</w:t>
      </w:r>
    </w:p>
    <w:p w14:paraId="3AA1A8AD">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四、合同金额</w:t>
      </w:r>
    </w:p>
    <w:p w14:paraId="3B07AD4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合同金额为人民币大写</w:t>
      </w:r>
      <w:r>
        <w:rPr>
          <w:rFonts w:hint="eastAsia" w:hAnsi="宋体" w:cs="宋体"/>
          <w:color w:val="auto"/>
          <w:sz w:val="28"/>
          <w:szCs w:val="28"/>
          <w:u w:val="single"/>
          <w:lang w:val="en-US" w:eastAsia="zh-CN"/>
        </w:rPr>
        <w:t xml:space="preserve">       </w:t>
      </w:r>
      <w:r>
        <w:rPr>
          <w:rFonts w:hint="eastAsia" w:ascii="宋体" w:hAnsi="宋体" w:eastAsia="宋体" w:cs="宋体"/>
          <w:color w:val="auto"/>
          <w:sz w:val="28"/>
          <w:szCs w:val="28"/>
        </w:rPr>
        <w:t>元，(￥</w:t>
      </w:r>
      <w:r>
        <w:rPr>
          <w:rFonts w:hint="eastAsia" w:hAnsi="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3B41A8FA">
      <w:pPr>
        <w:adjustRightInd w:val="0"/>
        <w:snapToGrid w:val="0"/>
        <w:spacing w:line="360" w:lineRule="auto"/>
        <w:ind w:firstLine="562" w:firstLineChars="200"/>
        <w:rPr>
          <w:rFonts w:hint="eastAsia" w:ascii="宋体" w:hAnsi="宋体" w:eastAsia="宋体" w:cs="宋体"/>
          <w:color w:val="auto"/>
          <w:sz w:val="28"/>
          <w:szCs w:val="28"/>
        </w:rPr>
      </w:pPr>
      <w:r>
        <w:rPr>
          <w:rFonts w:hint="eastAsia" w:ascii="宋体" w:hAnsi="宋体" w:eastAsia="宋体" w:cs="宋体"/>
          <w:b/>
          <w:color w:val="auto"/>
          <w:sz w:val="28"/>
          <w:szCs w:val="28"/>
        </w:rPr>
        <w:t>五、付款途径</w:t>
      </w:r>
      <w:r>
        <w:rPr>
          <w:rFonts w:hint="eastAsia" w:ascii="宋体" w:hAnsi="宋体" w:eastAsia="宋体" w:cs="宋体"/>
          <w:color w:val="auto"/>
          <w:sz w:val="28"/>
          <w:szCs w:val="28"/>
        </w:rPr>
        <w:t>：</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w:t>
      </w:r>
    </w:p>
    <w:p w14:paraId="0A6BC24C">
      <w:pPr>
        <w:adjustRightInd w:val="0"/>
        <w:snapToGrid w:val="0"/>
        <w:spacing w:line="360" w:lineRule="auto"/>
        <w:ind w:firstLine="562" w:firstLineChars="200"/>
        <w:rPr>
          <w:rFonts w:hint="eastAsia" w:hAnsi="宋体" w:cs="宋体"/>
          <w:color w:val="auto"/>
          <w:sz w:val="28"/>
          <w:szCs w:val="28"/>
          <w:lang w:val="en-US" w:eastAsia="zh-CN"/>
        </w:rPr>
      </w:pPr>
      <w:r>
        <w:rPr>
          <w:rFonts w:hint="eastAsia" w:ascii="宋体" w:hAnsi="宋体" w:eastAsia="宋体" w:cs="宋体"/>
          <w:b/>
          <w:color w:val="auto"/>
          <w:sz w:val="28"/>
          <w:szCs w:val="28"/>
          <w:shd w:val="clear"/>
        </w:rPr>
        <w:t>六、付款方式</w:t>
      </w:r>
      <w:r>
        <w:rPr>
          <w:rFonts w:hint="eastAsia" w:ascii="宋体" w:hAnsi="宋体" w:eastAsia="宋体" w:cs="宋体"/>
          <w:color w:val="auto"/>
          <w:sz w:val="28"/>
          <w:szCs w:val="28"/>
          <w:shd w:val="clear"/>
        </w:rPr>
        <w:t>：</w:t>
      </w:r>
      <w:r>
        <w:rPr>
          <w:rFonts w:hint="eastAsia" w:ascii="宋体" w:hAnsi="宋体" w:cs="宋体"/>
          <w:color w:val="auto"/>
          <w:sz w:val="28"/>
          <w:szCs w:val="28"/>
          <w:shd w:val="clear"/>
          <w:lang w:val="en-US" w:eastAsia="zh-CN"/>
        </w:rPr>
        <w:t>总工程款最终以审计结论为准。甲方按照工程进度支付乙方工程款，根据监理提供的工程进度单，支付已完工的工程款，验收决算后支付到总工程款的90%，剩余款项根据审计结果支付。</w:t>
      </w:r>
    </w:p>
    <w:p w14:paraId="286C5EC7">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七、知识产权</w:t>
      </w:r>
    </w:p>
    <w:p w14:paraId="55F9C4E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乙方应保证甲方所使用的服务成果免受第三方提出的侵犯其知识产权的诉讼。</w:t>
      </w:r>
    </w:p>
    <w:p w14:paraId="675253C7">
      <w:pPr>
        <w:adjustRightInd w:val="0"/>
        <w:snapToGrid w:val="0"/>
        <w:spacing w:line="360" w:lineRule="auto"/>
        <w:ind w:firstLine="562" w:firstLineChars="200"/>
        <w:rPr>
          <w:rFonts w:hint="eastAsia" w:ascii="宋体" w:hAnsi="宋体" w:eastAsia="宋体" w:cs="宋体"/>
          <w:b/>
          <w:bCs/>
          <w:color w:val="auto"/>
          <w:sz w:val="28"/>
          <w:szCs w:val="28"/>
        </w:rPr>
      </w:pPr>
      <w:bookmarkStart w:id="0" w:name="_Toc223404485"/>
      <w:r>
        <w:rPr>
          <w:rFonts w:hint="eastAsia" w:ascii="宋体" w:hAnsi="宋体" w:eastAsia="宋体" w:cs="宋体"/>
          <w:b/>
          <w:bCs/>
          <w:color w:val="auto"/>
          <w:sz w:val="28"/>
          <w:szCs w:val="28"/>
        </w:rPr>
        <w:t>八、违约条款</w:t>
      </w:r>
      <w:bookmarkEnd w:id="0"/>
    </w:p>
    <w:p w14:paraId="5FFCA1C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1.一方不按期履行合同，并经另一方提示后日内仍不履行合同的，守约方有权解除合同，违约方要承担相应的法律责任。</w:t>
      </w:r>
    </w:p>
    <w:p w14:paraId="4EC0F5E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2.如因一方违约，双方未能就赔偿损失达成协议，引起诉讼或仲裁时，违约方除应赔偿对方经济损失外，还应承担因诉讼或仲裁所支付的律师代理费等相关费用。</w:t>
      </w:r>
    </w:p>
    <w:p w14:paraId="7B21CE4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3.其它应承担的违约责任，以《中华人民共和国合同法》和其它有关法律、法规规定为准，无相关规定的，双方协商解决。</w:t>
      </w:r>
    </w:p>
    <w:p w14:paraId="78CD2E4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4.按照本合同规定应该偿付的违约金、赔偿金等，应当在明确责任后7日内，按银行规定或双方商定的结算办法付清，否则按逾期付款处理。</w:t>
      </w:r>
    </w:p>
    <w:p w14:paraId="03016538">
      <w:pPr>
        <w:pStyle w:val="3"/>
        <w:spacing w:line="360" w:lineRule="auto"/>
        <w:ind w:left="0" w:leftChars="0" w:firstLine="562" w:firstLineChars="200"/>
        <w:rPr>
          <w:rFonts w:hint="eastAsia" w:ascii="宋体" w:hAnsi="宋体" w:eastAsia="宋体" w:cs="宋体"/>
          <w:b/>
          <w:bCs/>
          <w:color w:val="auto"/>
          <w:kern w:val="2"/>
          <w:sz w:val="28"/>
          <w:szCs w:val="28"/>
          <w:lang w:val="en-US" w:eastAsia="zh-CN" w:bidi="ar-SA"/>
        </w:rPr>
      </w:pPr>
      <w:bookmarkStart w:id="1" w:name="_Toc56066561"/>
      <w:bookmarkStart w:id="2" w:name="_Toc31057"/>
      <w:r>
        <w:rPr>
          <w:rFonts w:hint="eastAsia" w:ascii="宋体" w:hAnsi="宋体" w:eastAsia="宋体" w:cs="宋体"/>
          <w:b/>
          <w:bCs/>
          <w:color w:val="auto"/>
          <w:kern w:val="2"/>
          <w:sz w:val="28"/>
          <w:szCs w:val="28"/>
          <w:lang w:val="en-US" w:eastAsia="zh-CN" w:bidi="ar-SA"/>
        </w:rPr>
        <w:t>九、履约验收</w:t>
      </w:r>
      <w:bookmarkEnd w:id="1"/>
      <w:bookmarkEnd w:id="2"/>
      <w:r>
        <w:rPr>
          <w:rFonts w:hint="eastAsia" w:ascii="宋体" w:hAnsi="宋体" w:eastAsia="宋体" w:cs="宋体"/>
          <w:b/>
          <w:bCs/>
          <w:color w:val="auto"/>
          <w:kern w:val="2"/>
          <w:sz w:val="28"/>
          <w:szCs w:val="28"/>
          <w:lang w:val="en-US" w:eastAsia="zh-CN" w:bidi="ar-SA"/>
        </w:rPr>
        <w:t>标准和方式</w:t>
      </w:r>
    </w:p>
    <w:p w14:paraId="28794E62">
      <w:pPr>
        <w:adjustRightInd w:val="0"/>
        <w:snapToGrid w:val="0"/>
        <w:spacing w:line="360" w:lineRule="auto"/>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1.履约验收时间：</w:t>
      </w:r>
      <w:r>
        <w:rPr>
          <w:rFonts w:hint="eastAsia" w:ascii="宋体" w:hAnsi="宋体" w:eastAsia="宋体" w:cs="宋体"/>
          <w:color w:val="auto"/>
          <w:sz w:val="28"/>
          <w:szCs w:val="28"/>
          <w:u w:val="single"/>
          <w:lang w:val="en-US" w:eastAsia="zh-CN"/>
        </w:rPr>
        <w:t>服务期结束后15个工作日内。</w:t>
      </w:r>
    </w:p>
    <w:p w14:paraId="1604CEB9">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2.履约验收主体及内容：</w:t>
      </w:r>
      <w:r>
        <w:rPr>
          <w:rFonts w:hint="eastAsia" w:ascii="宋体" w:hAnsi="宋体" w:eastAsia="宋体" w:cs="宋体"/>
          <w:color w:val="auto"/>
          <w:sz w:val="28"/>
          <w:szCs w:val="28"/>
          <w:u w:val="single"/>
          <w:lang w:val="en-US" w:eastAsia="zh-CN"/>
        </w:rPr>
        <w:t>由采购人根据合同要求，进行验收。</w:t>
      </w:r>
    </w:p>
    <w:p w14:paraId="7D73DD1E">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3.验收标准：</w:t>
      </w:r>
    </w:p>
    <w:p w14:paraId="0A98898C">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4.验收方式：</w:t>
      </w:r>
      <w:r>
        <w:rPr>
          <w:rFonts w:hint="eastAsia" w:ascii="宋体" w:hAnsi="宋体" w:eastAsia="宋体" w:cs="宋体"/>
          <w:color w:val="auto"/>
          <w:sz w:val="28"/>
          <w:szCs w:val="28"/>
          <w:u w:val="single"/>
          <w:lang w:val="en-US" w:eastAsia="zh-CN"/>
        </w:rPr>
        <w:t>由采购单位技术人员按照相关验收标准进行验收。</w:t>
      </w:r>
    </w:p>
    <w:p w14:paraId="5756BA7A">
      <w:pPr>
        <w:adjustRightInd w:val="0"/>
        <w:snapToGrid w:val="0"/>
        <w:spacing w:line="360" w:lineRule="auto"/>
        <w:ind w:firstLine="560" w:firstLineChars="200"/>
        <w:rPr>
          <w:rFonts w:hint="eastAsia" w:ascii="宋体" w:hAnsi="宋体" w:eastAsia="宋体" w:cs="宋体"/>
          <w:sz w:val="28"/>
          <w:szCs w:val="28"/>
          <w:lang w:val="en-US"/>
        </w:rPr>
      </w:pPr>
      <w:r>
        <w:rPr>
          <w:rFonts w:hint="eastAsia" w:ascii="宋体" w:hAnsi="宋体" w:eastAsia="宋体" w:cs="宋体"/>
          <w:color w:val="auto"/>
          <w:sz w:val="28"/>
          <w:szCs w:val="28"/>
          <w:lang w:val="en-US" w:eastAsia="zh-CN"/>
        </w:rPr>
        <w:t>5.验收依据：</w:t>
      </w:r>
    </w:p>
    <w:p w14:paraId="01050299">
      <w:pPr>
        <w:adjustRightInd w:val="0"/>
        <w:snapToGrid w:val="0"/>
        <w:spacing w:line="360" w:lineRule="auto"/>
        <w:ind w:firstLine="562" w:firstLineChars="200"/>
        <w:rPr>
          <w:rFonts w:hint="eastAsia" w:ascii="宋体" w:hAnsi="宋体" w:eastAsia="宋体" w:cs="宋体"/>
          <w:b/>
          <w:bCs/>
          <w:color w:val="auto"/>
          <w:sz w:val="28"/>
          <w:szCs w:val="28"/>
        </w:rPr>
      </w:pPr>
      <w:bookmarkStart w:id="3" w:name="_Toc223404486"/>
      <w:r>
        <w:rPr>
          <w:rFonts w:hint="eastAsia" w:ascii="宋体" w:hAnsi="宋体" w:eastAsia="宋体" w:cs="宋体"/>
          <w:b/>
          <w:bCs/>
          <w:color w:val="auto"/>
          <w:sz w:val="28"/>
          <w:szCs w:val="28"/>
          <w:lang w:eastAsia="zh-CN"/>
        </w:rPr>
        <w:t>十</w:t>
      </w:r>
      <w:r>
        <w:rPr>
          <w:rFonts w:hint="eastAsia" w:ascii="宋体" w:hAnsi="宋体" w:eastAsia="宋体" w:cs="宋体"/>
          <w:b/>
          <w:bCs/>
          <w:color w:val="auto"/>
          <w:sz w:val="28"/>
          <w:szCs w:val="28"/>
        </w:rPr>
        <w:t>、不可抗力条款</w:t>
      </w:r>
      <w:bookmarkEnd w:id="3"/>
    </w:p>
    <w:p w14:paraId="6FD9665F">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因不可抗力致使一方不能及时或完全履行合同的，应及时通知采购代理机构及另一方，双方互不承担责任，并在15天内提供有关不可抗力的相应证明。合同未履行部分是否继续履行、如何履行等问题，可由双方协商解决。</w:t>
      </w:r>
    </w:p>
    <w:p w14:paraId="37967A09">
      <w:pPr>
        <w:adjustRightInd w:val="0"/>
        <w:snapToGrid w:val="0"/>
        <w:spacing w:line="360" w:lineRule="auto"/>
        <w:ind w:firstLine="562" w:firstLineChars="200"/>
        <w:rPr>
          <w:rFonts w:hint="eastAsia" w:ascii="宋体" w:hAnsi="宋体" w:eastAsia="宋体" w:cs="宋体"/>
          <w:b/>
          <w:bCs/>
          <w:color w:val="auto"/>
          <w:sz w:val="28"/>
          <w:szCs w:val="28"/>
        </w:rPr>
      </w:pPr>
      <w:bookmarkStart w:id="4" w:name="_Toc223404487"/>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一</w:t>
      </w:r>
      <w:r>
        <w:rPr>
          <w:rFonts w:hint="eastAsia" w:ascii="宋体" w:hAnsi="宋体" w:eastAsia="宋体" w:cs="宋体"/>
          <w:b/>
          <w:bCs/>
          <w:color w:val="auto"/>
          <w:sz w:val="28"/>
          <w:szCs w:val="28"/>
        </w:rPr>
        <w:t>、争议的解决方式</w:t>
      </w:r>
      <w:bookmarkEnd w:id="4"/>
    </w:p>
    <w:p w14:paraId="0FAA648E">
      <w:pPr>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本合同执行过程中如发生争议，应本着友好的原则协商解决。协商不成产生的诉讼，由甲方所在地人民法院管辖</w:t>
      </w:r>
      <w:r>
        <w:rPr>
          <w:rFonts w:hint="eastAsia" w:ascii="宋体" w:hAnsi="宋体" w:cs="宋体"/>
          <w:color w:val="auto"/>
          <w:sz w:val="28"/>
          <w:szCs w:val="28"/>
          <w:lang w:eastAsia="zh-CN"/>
        </w:rPr>
        <w:t>。</w:t>
      </w:r>
    </w:p>
    <w:p w14:paraId="782DC749">
      <w:pPr>
        <w:adjustRightInd w:val="0"/>
        <w:snapToGrid w:val="0"/>
        <w:spacing w:line="360" w:lineRule="auto"/>
        <w:ind w:firstLine="562" w:firstLineChars="200"/>
        <w:rPr>
          <w:rFonts w:hint="eastAsia" w:ascii="宋体" w:hAnsi="宋体" w:eastAsia="宋体" w:cs="宋体"/>
          <w:b/>
          <w:bCs/>
          <w:color w:val="auto"/>
          <w:sz w:val="28"/>
          <w:szCs w:val="28"/>
        </w:rPr>
      </w:pPr>
      <w:bookmarkStart w:id="5" w:name="_Toc223404488"/>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rPr>
        <w:t>、补充协议</w:t>
      </w:r>
      <w:bookmarkEnd w:id="5"/>
    </w:p>
    <w:p w14:paraId="33E1D98E">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合同未尽事宜，经双方协商可签订补充协议，所签订的补充协议与本合同具有同等的法律效力，补充协议的生效应符合本合同的有关规定。</w:t>
      </w:r>
    </w:p>
    <w:p w14:paraId="470AD6D0">
      <w:pPr>
        <w:spacing w:line="240" w:lineRule="auto"/>
        <w:ind w:firstLine="843" w:firstLineChars="300"/>
        <w:rPr>
          <w:rFonts w:hint="eastAsia" w:ascii="宋体" w:hAnsi="宋体" w:eastAsia="宋体" w:cs="宋体"/>
          <w:color w:val="auto"/>
          <w:sz w:val="28"/>
          <w:szCs w:val="28"/>
        </w:rPr>
      </w:pPr>
      <w:r>
        <w:rPr>
          <w:rFonts w:hint="eastAsia" w:ascii="宋体" w:hAnsi="宋体" w:eastAsia="宋体" w:cs="宋体"/>
          <w:b/>
          <w:bCs/>
          <w:color w:val="auto"/>
          <w:sz w:val="28"/>
          <w:szCs w:val="28"/>
        </w:rPr>
        <w:t>十三、本合同一式</w:t>
      </w:r>
      <w:r>
        <w:rPr>
          <w:rFonts w:hint="eastAsia" w:ascii="宋体" w:hAnsi="宋体" w:eastAsia="宋体" w:cs="宋体"/>
          <w:b/>
          <w:bCs/>
          <w:color w:val="auto"/>
          <w:sz w:val="28"/>
          <w:szCs w:val="28"/>
          <w:lang w:eastAsia="zh-CN"/>
        </w:rPr>
        <w:t>四份</w:t>
      </w:r>
      <w:r>
        <w:rPr>
          <w:rFonts w:hint="eastAsia" w:ascii="宋体" w:hAnsi="宋体" w:eastAsia="宋体" w:cs="宋体"/>
          <w:b/>
          <w:bCs/>
          <w:color w:val="auto"/>
          <w:sz w:val="28"/>
          <w:szCs w:val="28"/>
        </w:rPr>
        <w:t>，甲方执</w:t>
      </w:r>
      <w:r>
        <w:rPr>
          <w:rFonts w:hint="eastAsia" w:ascii="宋体" w:hAnsi="宋体" w:eastAsia="宋体" w:cs="宋体"/>
          <w:b/>
          <w:bCs/>
          <w:color w:val="auto"/>
          <w:sz w:val="28"/>
          <w:szCs w:val="28"/>
          <w:lang w:eastAsia="zh-CN"/>
        </w:rPr>
        <w:t>两</w:t>
      </w:r>
      <w:r>
        <w:rPr>
          <w:rFonts w:hint="eastAsia" w:ascii="宋体" w:hAnsi="宋体" w:eastAsia="宋体" w:cs="宋体"/>
          <w:b/>
          <w:bCs/>
          <w:color w:val="auto"/>
          <w:sz w:val="28"/>
          <w:szCs w:val="28"/>
        </w:rPr>
        <w:t>份，乙方执</w:t>
      </w:r>
      <w:r>
        <w:rPr>
          <w:rFonts w:hint="eastAsia" w:ascii="宋体" w:hAnsi="宋体" w:eastAsia="宋体" w:cs="宋体"/>
          <w:b/>
          <w:bCs/>
          <w:color w:val="auto"/>
          <w:sz w:val="28"/>
          <w:szCs w:val="28"/>
          <w:lang w:eastAsia="zh-CN"/>
        </w:rPr>
        <w:t>两</w:t>
      </w:r>
      <w:r>
        <w:rPr>
          <w:rFonts w:hint="eastAsia" w:ascii="宋体" w:hAnsi="宋体" w:eastAsia="宋体" w:cs="宋体"/>
          <w:b/>
          <w:bCs/>
          <w:color w:val="auto"/>
          <w:sz w:val="28"/>
          <w:szCs w:val="28"/>
        </w:rPr>
        <w:t>份。本合同自双方签订之日起生效。</w:t>
      </w:r>
    </w:p>
    <w:p w14:paraId="0656C8A6">
      <w:pPr>
        <w:spacing w:line="360" w:lineRule="auto"/>
        <w:ind w:firstLine="240" w:firstLineChars="100"/>
        <w:rPr>
          <w:rFonts w:hint="eastAsia" w:ascii="宋体" w:hAnsi="宋体" w:eastAsia="宋体" w:cs="宋体"/>
          <w:color w:val="auto"/>
          <w:sz w:val="24"/>
          <w:szCs w:val="24"/>
        </w:rPr>
      </w:pPr>
    </w:p>
    <w:p w14:paraId="478F6B33">
      <w:pPr>
        <w:adjustRightInd w:val="0"/>
        <w:snapToGrid w:val="0"/>
        <w:spacing w:line="360" w:lineRule="auto"/>
        <w:ind w:firstLine="560" w:firstLineChars="200"/>
        <w:rPr>
          <w:rFonts w:hint="eastAsia" w:ascii="宋体" w:hAnsi="宋体" w:eastAsia="宋体" w:cs="宋体"/>
          <w:color w:val="auto"/>
          <w:sz w:val="28"/>
          <w:szCs w:val="28"/>
        </w:rPr>
      </w:pPr>
    </w:p>
    <w:p w14:paraId="2D013C0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建设单位(甲方)：</w:t>
      </w:r>
    </w:p>
    <w:p w14:paraId="217EF6C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法定代表人：（签章）</w:t>
      </w:r>
    </w:p>
    <w:p w14:paraId="043B1A9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经办人：</w:t>
      </w:r>
    </w:p>
    <w:p w14:paraId="3BD708B1">
      <w:pPr>
        <w:pStyle w:val="2"/>
        <w:rPr>
          <w:rFonts w:hint="eastAsia"/>
        </w:rPr>
      </w:pPr>
    </w:p>
    <w:p w14:paraId="6CF548A1">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施工单位(乙方)：</w:t>
      </w:r>
    </w:p>
    <w:p w14:paraId="243C3FF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法定代表人：（签章）</w:t>
      </w:r>
    </w:p>
    <w:p w14:paraId="748ED0B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开户银行：</w:t>
      </w:r>
    </w:p>
    <w:p w14:paraId="47E17ED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账号：</w:t>
      </w:r>
    </w:p>
    <w:p w14:paraId="33418DE5">
      <w:pPr>
        <w:spacing w:line="360" w:lineRule="auto"/>
        <w:ind w:firstLine="3360" w:firstLineChars="1400"/>
        <w:rPr>
          <w:rFonts w:hint="eastAsia" w:ascii="宋体" w:hAnsi="宋体" w:eastAsia="宋体" w:cs="宋体"/>
          <w:color w:val="auto"/>
          <w:sz w:val="24"/>
          <w:szCs w:val="24"/>
        </w:rPr>
      </w:pPr>
    </w:p>
    <w:p w14:paraId="487E5A3D">
      <w:pPr>
        <w:spacing w:line="360" w:lineRule="auto"/>
        <w:ind w:firstLine="5520" w:firstLineChars="2300"/>
        <w:rPr>
          <w:rFonts w:hint="eastAsia" w:ascii="宋体" w:hAnsi="宋体" w:eastAsia="宋体" w:cs="宋体"/>
          <w:color w:val="auto"/>
          <w:sz w:val="24"/>
          <w:szCs w:val="24"/>
        </w:rPr>
      </w:pPr>
      <w:r>
        <w:rPr>
          <w:rFonts w:hint="eastAsia" w:ascii="宋体" w:hAnsi="宋体" w:eastAsia="宋体" w:cs="宋体"/>
          <w:color w:val="auto"/>
          <w:sz w:val="24"/>
          <w:szCs w:val="24"/>
        </w:rPr>
        <w:t>签订日期：年月日</w:t>
      </w:r>
    </w:p>
    <w:p w14:paraId="6BD5C729">
      <w:pPr>
        <w:spacing w:line="360" w:lineRule="auto"/>
        <w:ind w:firstLine="3840" w:firstLineChars="1600"/>
        <w:rPr>
          <w:rFonts w:hint="eastAsia" w:ascii="宋体" w:hAnsi="宋体" w:eastAsia="宋体" w:cs="宋体"/>
          <w:color w:val="auto"/>
          <w:sz w:val="24"/>
          <w:szCs w:val="24"/>
        </w:rPr>
      </w:pPr>
    </w:p>
    <w:p w14:paraId="4EFF4F72">
      <w:pPr>
        <w:pStyle w:val="4"/>
        <w:rPr>
          <w:rFonts w:hint="eastAsia" w:ascii="宋体" w:hAnsi="宋体" w:eastAsia="宋体" w:cs="宋体"/>
          <w:color w:val="auto"/>
        </w:rPr>
      </w:pPr>
    </w:p>
    <w:p w14:paraId="412A9FC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-------以下无正文------</w:t>
      </w:r>
    </w:p>
    <w:p w14:paraId="16CAD6A9">
      <w:pPr>
        <w:spacing w:line="360" w:lineRule="auto"/>
        <w:ind w:firstLine="560" w:firstLineChars="200"/>
        <w:rPr>
          <w:rFonts w:hint="eastAsia" w:ascii="宋体" w:hAnsi="宋体" w:eastAsia="宋体" w:cs="宋体"/>
          <w:color w:val="auto"/>
          <w:sz w:val="28"/>
          <w:szCs w:val="28"/>
        </w:rPr>
      </w:pPr>
    </w:p>
    <w:p w14:paraId="2F9EAE94">
      <w:pPr>
        <w:spacing w:line="360" w:lineRule="auto"/>
        <w:rPr>
          <w:rFonts w:hint="eastAsia" w:ascii="宋体" w:hAnsi="宋体" w:eastAsia="宋体" w:cs="宋体"/>
          <w:color w:val="auto"/>
          <w:sz w:val="28"/>
          <w:szCs w:val="40"/>
        </w:rPr>
      </w:pPr>
      <w:r>
        <w:rPr>
          <w:rFonts w:hint="eastAsia" w:ascii="宋体" w:hAnsi="宋体" w:eastAsia="宋体" w:cs="宋体"/>
          <w:b/>
          <w:color w:val="auto"/>
          <w:sz w:val="24"/>
        </w:rPr>
        <w:t>注：本合同为简易版本</w:t>
      </w:r>
      <w:r>
        <w:rPr>
          <w:rFonts w:hint="eastAsia" w:ascii="宋体" w:hAnsi="宋体" w:eastAsia="宋体" w:cs="宋体"/>
          <w:b/>
          <w:color w:val="auto"/>
          <w:sz w:val="24"/>
          <w:lang w:eastAsia="zh-CN"/>
        </w:rPr>
        <w:t>，仅供参考</w:t>
      </w:r>
      <w:r>
        <w:rPr>
          <w:rFonts w:hint="eastAsia" w:ascii="宋体" w:hAnsi="宋体" w:eastAsia="宋体" w:cs="宋体"/>
          <w:b/>
          <w:color w:val="auto"/>
          <w:sz w:val="24"/>
        </w:rPr>
        <w:t>，使用过程中，请结合具体项目，充实细化。</w:t>
      </w:r>
    </w:p>
    <w:p w14:paraId="1BA2FBCB">
      <w:pPr>
        <w:keepNext w:val="0"/>
        <w:keepLines w:val="0"/>
        <w:pageBreakBefore w:val="0"/>
        <w:widowControl w:val="0"/>
        <w:wordWrap/>
        <w:overflowPunct/>
        <w:topLinePunct w:val="0"/>
        <w:autoSpaceDE/>
        <w:autoSpaceDN/>
        <w:bidi w:val="0"/>
        <w:adjustRightInd w:val="0"/>
        <w:snapToGrid w:val="0"/>
        <w:spacing w:line="336" w:lineRule="auto"/>
        <w:ind w:left="0" w:leftChars="0" w:firstLine="415" w:firstLineChars="198"/>
        <w:textAlignment w:val="auto"/>
        <w:outlineLvl w:val="9"/>
        <w:rPr>
          <w:rFonts w:ascii="宋体" w:hAnsi="宋体"/>
          <w:color w:val="auto"/>
          <w:sz w:val="21"/>
          <w:szCs w:val="21"/>
          <w:u w:val="single"/>
        </w:rPr>
      </w:pPr>
    </w:p>
    <w:p w14:paraId="08444FB7">
      <w:pPr>
        <w:spacing w:line="36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五、</w:t>
      </w:r>
      <w:r>
        <w:rPr>
          <w:rFonts w:hint="eastAsia" w:ascii="宋体" w:hAnsi="宋体" w:eastAsia="宋体" w:cs="宋体"/>
          <w:b/>
          <w:bCs/>
          <w:sz w:val="28"/>
          <w:szCs w:val="28"/>
        </w:rPr>
        <w:t>履约验收标准和方法</w:t>
      </w:r>
    </w:p>
    <w:p w14:paraId="1810084D">
      <w:pPr>
        <w:pStyle w:val="9"/>
        <w:spacing w:line="360" w:lineRule="auto"/>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（一）履约验收时间：</w:t>
      </w:r>
      <w:r>
        <w:rPr>
          <w:rFonts w:hint="eastAsia" w:ascii="宋体" w:hAnsi="宋体" w:cs="宋体"/>
          <w:sz w:val="28"/>
          <w:szCs w:val="28"/>
          <w:u w:val="single"/>
          <w:lang w:val="en-US" w:eastAsia="zh-CN"/>
        </w:rPr>
        <w:t>工</w:t>
      </w:r>
      <w:r>
        <w:rPr>
          <w:rFonts w:hint="eastAsia" w:ascii="宋体" w:hAnsi="宋体" w:eastAsia="宋体" w:cs="宋体"/>
          <w:sz w:val="28"/>
          <w:szCs w:val="28"/>
          <w:u w:val="single"/>
          <w:lang w:val="en-US" w:eastAsia="zh-CN"/>
        </w:rPr>
        <w:t>期结束后15个工作日内。</w:t>
      </w:r>
    </w:p>
    <w:p w14:paraId="70F61C99">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（二）履约验收主体及内容：</w:t>
      </w:r>
    </w:p>
    <w:p w14:paraId="75DF9C63">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验收主体：府谷县古城镇人民政府  </w:t>
      </w:r>
    </w:p>
    <w:p w14:paraId="1B3364A1">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验收内容：采购人根据合同要求，对项目所包含的审查内容进行验收。</w:t>
      </w:r>
    </w:p>
    <w:p w14:paraId="28A778C5">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（三）验收依据：</w:t>
      </w:r>
    </w:p>
    <w:p w14:paraId="05679174">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1.招标文件、投标文件、澄清表（函）；</w:t>
      </w:r>
    </w:p>
    <w:p w14:paraId="1EB1C23E">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2.验收合格证、质检报告；</w:t>
      </w:r>
    </w:p>
    <w:p w14:paraId="2EADF5AE">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3.合同及附件文本；</w:t>
      </w:r>
    </w:p>
    <w:p w14:paraId="63732818">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4.同签订时国家及行业现行的标准和技术规范。</w:t>
      </w:r>
    </w:p>
    <w:p w14:paraId="031E51D9">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（四）验收标准：</w:t>
      </w:r>
    </w:p>
    <w:p w14:paraId="3C587766">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1.编制的服务方案应符合国家、省、市现行有关标准、规范的规定，并对检测成果承担相应的法津责任；</w:t>
      </w:r>
    </w:p>
    <w:p w14:paraId="4D9AA565">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（五）验收方法：</w:t>
      </w:r>
    </w:p>
    <w:p w14:paraId="046D3176">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采购人组织验收人员，按照相关验收标准对采购项目的履约结果进行验收。</w:t>
      </w:r>
    </w:p>
    <w:p w14:paraId="062DD740">
      <w:pPr>
        <w:spacing w:line="360" w:lineRule="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六、支付方式：</w:t>
      </w:r>
    </w:p>
    <w:p w14:paraId="7A0B2F69">
      <w:pPr>
        <w:adjustRightInd w:val="0"/>
        <w:snapToGrid w:val="0"/>
        <w:spacing w:line="360" w:lineRule="auto"/>
        <w:ind w:firstLine="560" w:firstLineChars="200"/>
        <w:rPr>
          <w:rFonts w:hint="eastAsia" w:hAnsi="宋体" w:cs="宋体"/>
          <w:color w:val="auto"/>
          <w:sz w:val="28"/>
          <w:szCs w:val="28"/>
          <w:lang w:val="en-US" w:eastAsia="zh-CN"/>
        </w:rPr>
      </w:pPr>
      <w:r>
        <w:rPr>
          <w:rFonts w:hint="eastAsia" w:ascii="宋体" w:hAnsi="宋体" w:eastAsia="宋体" w:cs="宋体"/>
          <w:color w:val="auto"/>
          <w:kern w:val="2"/>
          <w:sz w:val="28"/>
          <w:szCs w:val="28"/>
          <w:lang w:val="en-US" w:eastAsia="zh-CN" w:bidi="ar-SA"/>
        </w:rPr>
        <w:t>付款方式：</w:t>
      </w:r>
      <w:r>
        <w:rPr>
          <w:rFonts w:hint="eastAsia" w:ascii="宋体" w:hAnsi="宋体" w:cs="宋体"/>
          <w:color w:val="auto"/>
          <w:sz w:val="28"/>
          <w:szCs w:val="28"/>
          <w:shd w:val="clear"/>
          <w:lang w:val="en-US" w:eastAsia="zh-CN"/>
        </w:rPr>
        <w:t>总工程款最终以审计结论为准。甲方按照工程进度支付乙方工程款，根据监理提供的工程进度单，支付已完工的工程款，验收决算后支付到总工程款的90%，剩余款项根据审计结果支付。</w:t>
      </w:r>
    </w:p>
    <w:p w14:paraId="6CE9B051">
      <w:pPr>
        <w:shd w:val="clear"/>
        <w:spacing w:line="360" w:lineRule="auto"/>
        <w:ind w:firstLine="562" w:firstLineChars="200"/>
        <w:rPr>
          <w:rFonts w:hint="eastAsia" w:ascii="宋体" w:hAnsi="宋体" w:eastAsia="宋体" w:cs="宋体"/>
          <w:b/>
          <w:bCs/>
          <w:color w:val="auto"/>
          <w:kern w:val="2"/>
          <w:sz w:val="28"/>
          <w:szCs w:val="28"/>
          <w:shd w:val="clear" w:fill="FF0000"/>
          <w:lang w:val="en-US" w:eastAsia="zh-CN" w:bidi="ar-SA"/>
        </w:rPr>
      </w:pPr>
    </w:p>
    <w:p w14:paraId="190AFC8C">
      <w:pPr>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七、采购单位、采购单位地址、项目联系人及联系电话</w:t>
      </w:r>
    </w:p>
    <w:p w14:paraId="693CBA11">
      <w:pPr>
        <w:pStyle w:val="9"/>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1、采购单位：府谷县古城镇人民政府 </w:t>
      </w:r>
    </w:p>
    <w:p w14:paraId="3317A7E7">
      <w:pPr>
        <w:pStyle w:val="9"/>
        <w:keepNext w:val="0"/>
        <w:keepLines w:val="0"/>
        <w:pageBreakBefore w:val="0"/>
        <w:widowControl w:val="0"/>
        <w:kinsoku/>
        <w:wordWrap/>
        <w:overflowPunct/>
        <w:topLinePunct w:val="0"/>
        <w:autoSpaceDE/>
        <w:bidi w:val="0"/>
        <w:spacing w:line="360" w:lineRule="auto"/>
        <w:textAlignment w:val="auto"/>
        <w:rPr>
          <w:rFonts w:hint="default"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2、采购单位地址：陕西省榆林市府谷县</w:t>
      </w:r>
      <w:r>
        <w:rPr>
          <w:rFonts w:hint="eastAsia" w:ascii="宋体" w:hAnsi="宋体" w:cs="宋体"/>
          <w:kern w:val="2"/>
          <w:sz w:val="28"/>
          <w:szCs w:val="28"/>
          <w:lang w:val="en-US" w:eastAsia="zh-CN" w:bidi="ar-SA"/>
        </w:rPr>
        <w:t>古城镇</w:t>
      </w:r>
    </w:p>
    <w:p w14:paraId="63E5809A">
      <w:pPr>
        <w:pStyle w:val="9"/>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3、项目联系人：刘志鹏</w:t>
      </w:r>
      <w:r>
        <w:rPr>
          <w:rFonts w:hint="eastAsia" w:ascii="宋体" w:hAnsi="宋体" w:cs="宋体"/>
          <w:color w:val="auto"/>
          <w:kern w:val="2"/>
          <w:sz w:val="28"/>
          <w:szCs w:val="28"/>
          <w:lang w:val="en-US" w:eastAsia="zh-CN" w:bidi="ar-SA"/>
        </w:rPr>
        <w:t xml:space="preserve">      </w:t>
      </w:r>
      <w:r>
        <w:rPr>
          <w:rFonts w:hint="eastAsia" w:ascii="宋体" w:hAnsi="宋体" w:eastAsia="宋体" w:cs="宋体"/>
          <w:color w:val="auto"/>
          <w:kern w:val="2"/>
          <w:sz w:val="28"/>
          <w:szCs w:val="28"/>
          <w:lang w:val="en-US" w:eastAsia="zh-CN" w:bidi="ar-SA"/>
        </w:rPr>
        <w:t xml:space="preserve">联系电话： 18891510518 </w:t>
      </w:r>
    </w:p>
    <w:p w14:paraId="5BA87F5F">
      <w:pPr>
        <w:pStyle w:val="9"/>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p>
    <w:p w14:paraId="10A82212">
      <w:pPr>
        <w:pStyle w:val="9"/>
        <w:keepNext w:val="0"/>
        <w:keepLines w:val="0"/>
        <w:pageBreakBefore w:val="0"/>
        <w:widowControl w:val="0"/>
        <w:kinsoku/>
        <w:wordWrap/>
        <w:overflowPunct/>
        <w:topLinePunct w:val="0"/>
        <w:autoSpaceDE/>
        <w:bidi w:val="0"/>
        <w:spacing w:line="360" w:lineRule="auto"/>
        <w:ind w:left="0" w:leftChars="0" w:firstLine="0" w:firstLineChars="0"/>
        <w:textAlignment w:val="auto"/>
        <w:rPr>
          <w:rFonts w:hint="eastAsia" w:ascii="宋体" w:hAnsi="宋体" w:eastAsia="宋体" w:cs="宋体"/>
          <w:kern w:val="2"/>
          <w:sz w:val="28"/>
          <w:szCs w:val="28"/>
          <w:lang w:val="en-US" w:eastAsia="zh-CN" w:bidi="ar-SA"/>
        </w:rPr>
      </w:pPr>
    </w:p>
    <w:p w14:paraId="168B561C">
      <w:pPr>
        <w:keepNext w:val="0"/>
        <w:keepLines w:val="0"/>
        <w:pageBreakBefore w:val="0"/>
        <w:widowControl w:val="0"/>
        <w:tabs>
          <w:tab w:val="left" w:pos="756"/>
        </w:tabs>
        <w:kinsoku/>
        <w:wordWrap/>
        <w:overflowPunct/>
        <w:topLinePunct w:val="0"/>
        <w:autoSpaceDE/>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                              </w:t>
      </w:r>
      <w:r>
        <w:rPr>
          <w:rFonts w:hint="eastAsia" w:ascii="宋体" w:hAnsi="宋体" w:cs="宋体"/>
          <w:kern w:val="2"/>
          <w:sz w:val="28"/>
          <w:szCs w:val="28"/>
          <w:lang w:val="en-US" w:eastAsia="zh-CN" w:bidi="ar-SA"/>
        </w:rPr>
        <w:t xml:space="preserve">府谷县古城镇人民政府 </w:t>
      </w:r>
    </w:p>
    <w:p w14:paraId="689BE92D">
      <w:pPr>
        <w:tabs>
          <w:tab w:val="left" w:pos="756"/>
        </w:tabs>
        <w:jc w:val="center"/>
        <w:rPr>
          <w:rFonts w:hint="eastAsia" w:ascii="宋体" w:hAnsi="宋体" w:eastAsia="宋体" w:cs="宋体"/>
          <w:sz w:val="28"/>
          <w:szCs w:val="28"/>
        </w:rPr>
      </w:pPr>
      <w:r>
        <w:rPr>
          <w:rFonts w:hint="eastAsia" w:ascii="宋体" w:hAnsi="宋体" w:eastAsia="宋体" w:cs="宋体"/>
          <w:kern w:val="2"/>
          <w:sz w:val="28"/>
          <w:szCs w:val="28"/>
          <w:lang w:val="en-US" w:eastAsia="zh-CN" w:bidi="ar-SA"/>
        </w:rPr>
        <w:t xml:space="preserve">                                202</w:t>
      </w:r>
      <w:r>
        <w:rPr>
          <w:rFonts w:hint="eastAsia" w:ascii="宋体" w:hAnsi="宋体" w:cs="宋体"/>
          <w:kern w:val="2"/>
          <w:sz w:val="28"/>
          <w:szCs w:val="28"/>
          <w:lang w:val="en-US" w:eastAsia="zh-CN" w:bidi="ar-SA"/>
        </w:rPr>
        <w:t>6</w:t>
      </w:r>
      <w:r>
        <w:rPr>
          <w:rFonts w:hint="eastAsia" w:ascii="宋体" w:hAnsi="宋体" w:eastAsia="宋体" w:cs="宋体"/>
          <w:kern w:val="2"/>
          <w:sz w:val="28"/>
          <w:szCs w:val="28"/>
          <w:lang w:val="en-US" w:eastAsia="zh-CN" w:bidi="ar-SA"/>
        </w:rPr>
        <w:t>年</w:t>
      </w:r>
      <w:r>
        <w:rPr>
          <w:rFonts w:hint="eastAsia" w:ascii="宋体" w:hAnsi="宋体" w:cs="宋体"/>
          <w:kern w:val="2"/>
          <w:sz w:val="28"/>
          <w:szCs w:val="28"/>
          <w:lang w:val="en-US" w:eastAsia="zh-CN" w:bidi="ar-SA"/>
        </w:rPr>
        <w:t>06</w:t>
      </w:r>
      <w:r>
        <w:rPr>
          <w:rFonts w:hint="eastAsia" w:ascii="宋体" w:hAnsi="宋体" w:eastAsia="宋体" w:cs="宋体"/>
          <w:kern w:val="2"/>
          <w:sz w:val="28"/>
          <w:szCs w:val="28"/>
          <w:lang w:val="en-US" w:eastAsia="zh-CN" w:bidi="ar-SA"/>
        </w:rPr>
        <w:t>月</w:t>
      </w:r>
      <w:r>
        <w:rPr>
          <w:rFonts w:hint="eastAsia" w:ascii="宋体" w:hAnsi="宋体" w:cs="宋体"/>
          <w:kern w:val="2"/>
          <w:sz w:val="28"/>
          <w:szCs w:val="28"/>
          <w:lang w:val="en-US" w:eastAsia="zh-CN" w:bidi="ar-SA"/>
        </w:rPr>
        <w:t>10</w:t>
      </w:r>
      <w:r>
        <w:rPr>
          <w:rFonts w:hint="eastAsia" w:ascii="宋体" w:hAnsi="宋体" w:eastAsia="宋体" w:cs="宋体"/>
          <w:kern w:val="2"/>
          <w:sz w:val="28"/>
          <w:szCs w:val="28"/>
          <w:lang w:val="en-US" w:eastAsia="zh-CN" w:bidi="ar-SA"/>
        </w:rPr>
        <w:t>日</w:t>
      </w:r>
    </w:p>
    <w:p w14:paraId="43E06377">
      <w:pPr>
        <w:rPr>
          <w:rFonts w:hint="eastAsia" w:ascii="宋体" w:hAnsi="宋体" w:eastAsia="宋体" w:cs="宋体"/>
        </w:rPr>
      </w:pPr>
    </w:p>
    <w:p w14:paraId="653E8358"/>
    <w:p w14:paraId="2F7CEB42"/>
    <w:p w14:paraId="4B7935F1"/>
    <w:p w14:paraId="2480B48B"/>
    <w:p w14:paraId="0EE75131"/>
    <w:p w14:paraId="6A83E32E"/>
    <w:p w14:paraId="52CF5C58"/>
    <w:p w14:paraId="64E938E2"/>
    <w:sectPr>
      <w:pgSz w:w="11906" w:h="16838"/>
      <w:pgMar w:top="1440" w:right="1689" w:bottom="1440" w:left="1633"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3C632D"/>
    <w:multiLevelType w:val="singleLevel"/>
    <w:tmpl w:val="F13C632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U5MmM3OGRkYWFjYmFjN2U0ZWRjMTNhMmYxMTNmYWMifQ=="/>
  </w:docVars>
  <w:rsids>
    <w:rsidRoot w:val="488F75B9"/>
    <w:rsid w:val="06A01E68"/>
    <w:rsid w:val="079E79DA"/>
    <w:rsid w:val="09DE67B4"/>
    <w:rsid w:val="0AC05EBA"/>
    <w:rsid w:val="10D95F27"/>
    <w:rsid w:val="12323B41"/>
    <w:rsid w:val="14AE30D9"/>
    <w:rsid w:val="17D63B85"/>
    <w:rsid w:val="188B5D59"/>
    <w:rsid w:val="262B2929"/>
    <w:rsid w:val="274F7C48"/>
    <w:rsid w:val="33824C56"/>
    <w:rsid w:val="35E548A3"/>
    <w:rsid w:val="38451629"/>
    <w:rsid w:val="3EFB22A8"/>
    <w:rsid w:val="41F77CE6"/>
    <w:rsid w:val="488F75B9"/>
    <w:rsid w:val="4A0F410B"/>
    <w:rsid w:val="4D561559"/>
    <w:rsid w:val="50D51D5C"/>
    <w:rsid w:val="54963F0F"/>
    <w:rsid w:val="549F1511"/>
    <w:rsid w:val="578D049F"/>
    <w:rsid w:val="5857621B"/>
    <w:rsid w:val="61840B64"/>
    <w:rsid w:val="69FF6FDA"/>
    <w:rsid w:val="6B581098"/>
    <w:rsid w:val="732E0930"/>
    <w:rsid w:val="77530965"/>
    <w:rsid w:val="7C8B6D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qFormat/>
    <w:uiPriority w:val="9"/>
    <w:pPr>
      <w:keepNext/>
      <w:keepLines/>
      <w:spacing w:line="240" w:lineRule="auto"/>
      <w:outlineLvl w:val="1"/>
    </w:pPr>
    <w:rPr>
      <w:rFonts w:ascii="Cambria" w:hAnsi="Cambria" w:eastAsia="宋体" w:cs="Times New Roman"/>
      <w:b/>
      <w:bCs/>
      <w:sz w:val="32"/>
      <w:szCs w:val="32"/>
    </w:rPr>
  </w:style>
  <w:style w:type="paragraph" w:styleId="4">
    <w:name w:val="heading 4"/>
    <w:basedOn w:val="1"/>
    <w:next w:val="1"/>
    <w:qFormat/>
    <w:uiPriority w:val="0"/>
    <w:pPr>
      <w:keepNext/>
      <w:keepLines/>
      <w:spacing w:line="360" w:lineRule="auto"/>
      <w:outlineLvl w:val="3"/>
    </w:pPr>
    <w:rPr>
      <w:rFonts w:ascii="Arial" w:hAnsi="Arial"/>
      <w:b/>
      <w:bCs/>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rPr>
      <w:szCs w:val="20"/>
    </w:rPr>
  </w:style>
  <w:style w:type="paragraph" w:styleId="5">
    <w:name w:val="toc 4"/>
    <w:basedOn w:val="1"/>
    <w:next w:val="1"/>
    <w:unhideWhenUsed/>
    <w:qFormat/>
    <w:uiPriority w:val="39"/>
    <w:pPr>
      <w:ind w:left="1260" w:leftChars="600"/>
    </w:pPr>
  </w:style>
  <w:style w:type="paragraph" w:styleId="6">
    <w:name w:val="Normal (Web)"/>
    <w:basedOn w:val="1"/>
    <w:qFormat/>
    <w:uiPriority w:val="99"/>
    <w:pPr>
      <w:widowControl/>
      <w:spacing w:before="100" w:beforeLines="0" w:beforeAutospacing="1" w:after="100" w:afterLines="0" w:afterAutospacing="1"/>
      <w:jc w:val="left"/>
    </w:pPr>
    <w:rPr>
      <w:rFonts w:ascii="宋体" w:hAnsi="宋体"/>
      <w:kern w:val="0"/>
      <w:sz w:val="24"/>
      <w:szCs w:val="24"/>
    </w:rPr>
  </w:style>
  <w:style w:type="paragraph" w:customStyle="1" w:styleId="9">
    <w:name w:val="正文缩进1"/>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1886</Words>
  <Characters>1964</Characters>
  <Lines>0</Lines>
  <Paragraphs>0</Paragraphs>
  <TotalTime>12</TotalTime>
  <ScaleCrop>false</ScaleCrop>
  <LinksUpToDate>false</LinksUpToDate>
  <CharactersWithSpaces>2080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2024-05-14T09:29:00Z</dcterms:created>
  <dc:creator>从何说起</dc:creator>
  <cp:lastModifiedBy>阿莉</cp:lastModifiedBy>
  <dcterms:modified xsi:type="dcterms:W3CDTF">2026-06-10T02:55:22Z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91F8980227F64002BD53DEDF77458786_11</vt:lpwstr>
  </property>
  <property fmtid="{D5CDD505-2E9C-101B-9397-08002B2CF9AE}" pid="4" name="KSOTemplateDocerSaveRecord">
    <vt:lpwstr>eyJoZGlkIjoiZGEyZDNjNGE3NTA4M2Q2NzMxZTY1ZmFhM2I1YmFjMTAiLCJ1c2VySWQiOiIzNTQ4NDM1MDAifQ==</vt:lpwstr>
  </property>
</Properties>
</file>