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9FD2D">
      <w:pPr>
        <w:jc w:val="center"/>
        <w:rPr>
          <w:rFonts w:hint="eastAsia" w:ascii="宋体" w:hAnsi="宋体"/>
          <w:b/>
          <w:sz w:val="44"/>
          <w:szCs w:val="44"/>
          <w:highlight w:val="none"/>
        </w:rPr>
      </w:pPr>
    </w:p>
    <w:p w14:paraId="6095CE2E">
      <w:pPr>
        <w:jc w:val="center"/>
        <w:rPr>
          <w:rFonts w:ascii="宋体" w:hAnsi="宋体"/>
          <w:b/>
          <w:sz w:val="44"/>
          <w:szCs w:val="44"/>
          <w:highlight w:val="none"/>
        </w:rPr>
      </w:pPr>
    </w:p>
    <w:p w14:paraId="3D5AD9BA">
      <w:pPr>
        <w:jc w:val="center"/>
        <w:rPr>
          <w:rFonts w:ascii="宋体" w:hAnsi="宋体"/>
          <w:b/>
          <w:sz w:val="44"/>
          <w:szCs w:val="44"/>
          <w:highlight w:val="none"/>
        </w:rPr>
      </w:pPr>
      <w:r>
        <w:rPr>
          <w:rFonts w:hint="eastAsia" w:ascii="宋体" w:hAnsi="宋体"/>
          <w:b/>
          <w:sz w:val="44"/>
          <w:szCs w:val="44"/>
          <w:highlight w:val="none"/>
        </w:rPr>
        <w:t>政府采购货物项目</w:t>
      </w:r>
    </w:p>
    <w:p w14:paraId="162339DE">
      <w:pPr>
        <w:jc w:val="center"/>
        <w:rPr>
          <w:rFonts w:ascii="宋体" w:hAnsi="宋体"/>
          <w:b/>
          <w:sz w:val="36"/>
          <w:szCs w:val="36"/>
          <w:highlight w:val="none"/>
        </w:rPr>
      </w:pPr>
    </w:p>
    <w:p w14:paraId="574CD8AD">
      <w:pPr>
        <w:jc w:val="center"/>
        <w:rPr>
          <w:rFonts w:ascii="宋体" w:hAnsi="宋体"/>
          <w:b/>
          <w:sz w:val="84"/>
          <w:szCs w:val="84"/>
          <w:highlight w:val="none"/>
        </w:rPr>
      </w:pPr>
      <w:r>
        <w:rPr>
          <w:rFonts w:hint="eastAsia" w:ascii="宋体" w:hAnsi="宋体"/>
          <w:b/>
          <w:sz w:val="84"/>
          <w:szCs w:val="84"/>
          <w:highlight w:val="none"/>
        </w:rPr>
        <w:t>招 标 文 件</w:t>
      </w:r>
    </w:p>
    <w:p w14:paraId="0A390FD8">
      <w:pPr>
        <w:jc w:val="center"/>
        <w:rPr>
          <w:rFonts w:ascii="宋体" w:hAnsi="宋体"/>
          <w:b/>
          <w:sz w:val="36"/>
          <w:szCs w:val="36"/>
          <w:highlight w:val="none"/>
        </w:rPr>
      </w:pPr>
    </w:p>
    <w:p w14:paraId="19E56A4A">
      <w:pPr>
        <w:tabs>
          <w:tab w:val="left" w:pos="5543"/>
        </w:tabs>
        <w:jc w:val="left"/>
        <w:rPr>
          <w:rFonts w:hint="eastAsia" w:ascii="宋体" w:hAnsi="宋体" w:eastAsia="宋体"/>
          <w:b/>
          <w:sz w:val="36"/>
          <w:szCs w:val="36"/>
          <w:highlight w:val="none"/>
          <w:lang w:eastAsia="zh-CN"/>
        </w:rPr>
      </w:pPr>
      <w:r>
        <w:rPr>
          <w:rFonts w:hint="eastAsia" w:ascii="宋体" w:hAnsi="宋体"/>
          <w:b/>
          <w:sz w:val="36"/>
          <w:szCs w:val="36"/>
          <w:highlight w:val="none"/>
          <w:lang w:eastAsia="zh-CN"/>
        </w:rPr>
        <w:tab/>
      </w:r>
    </w:p>
    <w:p w14:paraId="1EDDF062">
      <w:pPr>
        <w:jc w:val="center"/>
        <w:rPr>
          <w:rFonts w:ascii="宋体" w:hAnsi="宋体"/>
          <w:b/>
          <w:sz w:val="36"/>
          <w:szCs w:val="36"/>
          <w:highlight w:val="none"/>
        </w:rPr>
      </w:pPr>
    </w:p>
    <w:p w14:paraId="705991BE">
      <w:pPr>
        <w:jc w:val="center"/>
        <w:rPr>
          <w:rFonts w:ascii="宋体" w:hAnsi="宋体"/>
          <w:b/>
          <w:sz w:val="36"/>
          <w:szCs w:val="36"/>
          <w:highlight w:val="none"/>
        </w:rPr>
      </w:pPr>
    </w:p>
    <w:p w14:paraId="6CE294EF">
      <w:pPr>
        <w:jc w:val="center"/>
        <w:rPr>
          <w:rFonts w:ascii="宋体" w:hAnsi="宋体"/>
          <w:b/>
          <w:sz w:val="36"/>
          <w:szCs w:val="36"/>
          <w:highlight w:val="none"/>
        </w:rPr>
      </w:pPr>
    </w:p>
    <w:p w14:paraId="5BB96202">
      <w:pPr>
        <w:spacing w:line="360" w:lineRule="auto"/>
        <w:ind w:firstLine="1285" w:firstLineChars="400"/>
        <w:jc w:val="left"/>
        <w:rPr>
          <w:rFonts w:ascii="宋体" w:hAnsi="宋体" w:cs="宋体"/>
          <w:b/>
          <w:sz w:val="32"/>
          <w:szCs w:val="32"/>
          <w:highlight w:val="none"/>
        </w:rPr>
      </w:pPr>
      <w:r>
        <w:rPr>
          <w:rFonts w:hint="eastAsia" w:ascii="宋体" w:hAnsi="宋体" w:cs="宋体"/>
          <w:b/>
          <w:sz w:val="32"/>
          <w:szCs w:val="32"/>
          <w:highlight w:val="none"/>
        </w:rPr>
        <w:t>项目名称：采供血试剂耗材及宣传品采购项目</w:t>
      </w:r>
    </w:p>
    <w:p w14:paraId="277BA6B5">
      <w:pPr>
        <w:spacing w:line="360" w:lineRule="auto"/>
        <w:ind w:firstLine="1285" w:firstLineChars="400"/>
        <w:rPr>
          <w:rFonts w:hint="eastAsia" w:ascii="宋体" w:hAnsi="宋体" w:eastAsia="宋体" w:cs="宋体"/>
          <w:b/>
          <w:sz w:val="32"/>
          <w:szCs w:val="32"/>
          <w:highlight w:val="none"/>
          <w:lang w:eastAsia="zh-CN"/>
        </w:rPr>
      </w:pPr>
      <w:r>
        <w:rPr>
          <w:rFonts w:hint="eastAsia" w:ascii="宋体" w:hAnsi="宋体" w:cs="宋体"/>
          <w:b/>
          <w:sz w:val="32"/>
          <w:szCs w:val="32"/>
          <w:highlight w:val="none"/>
        </w:rPr>
        <w:t>项目编号：</w:t>
      </w:r>
      <w:r>
        <w:rPr>
          <w:rFonts w:hint="eastAsia" w:ascii="宋体" w:hAnsi="宋体" w:cs="宋体"/>
          <w:b/>
          <w:sz w:val="32"/>
          <w:szCs w:val="32"/>
          <w:highlight w:val="none"/>
          <w:lang w:eastAsia="zh-CN"/>
        </w:rPr>
        <w:t>0617-2622HZ1797</w:t>
      </w:r>
    </w:p>
    <w:p w14:paraId="006292FF">
      <w:pPr>
        <w:spacing w:line="360" w:lineRule="auto"/>
        <w:ind w:firstLine="1285" w:firstLineChars="400"/>
        <w:rPr>
          <w:rFonts w:ascii="宋体" w:hAnsi="宋体" w:cs="宋体"/>
          <w:b/>
          <w:sz w:val="32"/>
          <w:szCs w:val="32"/>
          <w:highlight w:val="none"/>
        </w:rPr>
      </w:pPr>
      <w:r>
        <w:rPr>
          <w:rFonts w:hint="eastAsia" w:ascii="宋体" w:hAnsi="宋体" w:cs="宋体"/>
          <w:b/>
          <w:sz w:val="32"/>
          <w:szCs w:val="32"/>
          <w:highlight w:val="none"/>
        </w:rPr>
        <w:t>第7包：去白血袋四联装（取样装置）</w:t>
      </w:r>
    </w:p>
    <w:p w14:paraId="0B180AB0">
      <w:pPr>
        <w:ind w:firstLine="1370" w:firstLineChars="379"/>
        <w:rPr>
          <w:rFonts w:ascii="宋体" w:hAnsi="宋体"/>
          <w:b/>
          <w:sz w:val="36"/>
          <w:szCs w:val="36"/>
          <w:highlight w:val="none"/>
        </w:rPr>
      </w:pPr>
    </w:p>
    <w:p w14:paraId="2689231C">
      <w:pPr>
        <w:rPr>
          <w:rFonts w:ascii="宋体" w:hAnsi="宋体"/>
          <w:b/>
          <w:bCs/>
          <w:sz w:val="36"/>
          <w:highlight w:val="none"/>
        </w:rPr>
      </w:pPr>
      <w:r>
        <w:rPr>
          <w:rFonts w:hint="eastAsia" w:ascii="宋体" w:hAnsi="宋体"/>
          <w:b/>
          <w:bCs/>
          <w:sz w:val="36"/>
          <w:highlight w:val="none"/>
        </w:rPr>
        <w:t xml:space="preserve">       </w:t>
      </w:r>
    </w:p>
    <w:p w14:paraId="32EDDEC2">
      <w:pPr>
        <w:rPr>
          <w:rFonts w:ascii="宋体" w:hAnsi="宋体"/>
          <w:b/>
          <w:bCs/>
          <w:sz w:val="36"/>
          <w:highlight w:val="none"/>
        </w:rPr>
      </w:pPr>
    </w:p>
    <w:p w14:paraId="4B49DD04">
      <w:pPr>
        <w:rPr>
          <w:rFonts w:ascii="宋体" w:hAnsi="宋体"/>
          <w:b/>
          <w:bCs/>
          <w:sz w:val="36"/>
          <w:highlight w:val="none"/>
        </w:rPr>
      </w:pPr>
    </w:p>
    <w:p w14:paraId="0499D894">
      <w:pPr>
        <w:rPr>
          <w:rFonts w:ascii="宋体" w:hAnsi="宋体"/>
          <w:sz w:val="36"/>
          <w:szCs w:val="36"/>
          <w:highlight w:val="none"/>
        </w:rPr>
      </w:pPr>
    </w:p>
    <w:p w14:paraId="21AFD65C">
      <w:pPr>
        <w:spacing w:line="360" w:lineRule="auto"/>
        <w:jc w:val="center"/>
        <w:rPr>
          <w:rFonts w:ascii="宋体" w:hAnsi="宋体" w:cs="宋体"/>
          <w:b/>
          <w:bCs/>
          <w:sz w:val="36"/>
          <w:szCs w:val="36"/>
          <w:highlight w:val="none"/>
        </w:rPr>
      </w:pPr>
      <w:r>
        <w:rPr>
          <w:rFonts w:hint="eastAsia" w:ascii="宋体" w:hAnsi="宋体" w:cs="宋体"/>
          <w:b/>
          <w:bCs/>
          <w:sz w:val="36"/>
          <w:szCs w:val="36"/>
          <w:highlight w:val="none"/>
        </w:rPr>
        <w:t>西北（陕西）国际招标有限公司</w:t>
      </w:r>
    </w:p>
    <w:p w14:paraId="6D45C400">
      <w:pPr>
        <w:tabs>
          <w:tab w:val="left" w:pos="525"/>
        </w:tabs>
        <w:spacing w:line="360" w:lineRule="auto"/>
        <w:ind w:left="-2" w:leftChars="-1" w:firstLine="1"/>
        <w:jc w:val="center"/>
        <w:rPr>
          <w:rFonts w:ascii="宋体" w:hAnsi="宋体"/>
          <w:b/>
          <w:bCs/>
          <w:sz w:val="44"/>
          <w:highlight w:val="none"/>
        </w:rPr>
      </w:pPr>
      <w:r>
        <w:rPr>
          <w:rFonts w:hint="eastAsia" w:ascii="宋体" w:hAnsi="宋体" w:cs="宋体"/>
          <w:b/>
          <w:bCs/>
          <w:sz w:val="40"/>
          <w:szCs w:val="18"/>
          <w:highlight w:val="none"/>
        </w:rPr>
        <w:t>二〇二六年</w:t>
      </w:r>
      <w:r>
        <w:rPr>
          <w:rFonts w:hint="eastAsia" w:ascii="宋体" w:hAnsi="宋体" w:cs="宋体"/>
          <w:b/>
          <w:bCs/>
          <w:sz w:val="40"/>
          <w:szCs w:val="18"/>
          <w:highlight w:val="none"/>
          <w:lang w:val="en-US" w:eastAsia="zh-CN"/>
        </w:rPr>
        <w:t>七</w:t>
      </w:r>
      <w:r>
        <w:rPr>
          <w:rFonts w:hint="eastAsia" w:ascii="宋体" w:hAnsi="宋体" w:cs="宋体"/>
          <w:b/>
          <w:bCs/>
          <w:sz w:val="40"/>
          <w:szCs w:val="18"/>
          <w:highlight w:val="none"/>
        </w:rPr>
        <w:t>月</w:t>
      </w:r>
    </w:p>
    <w:p w14:paraId="159C80A0">
      <w:pPr>
        <w:rPr>
          <w:rFonts w:ascii="方正大标宋简体" w:eastAsia="方正大标宋简体"/>
          <w:b/>
          <w:sz w:val="48"/>
          <w:highlight w:val="none"/>
        </w:rPr>
      </w:pPr>
      <w:r>
        <w:rPr>
          <w:rFonts w:hint="eastAsia" w:ascii="仿宋_GB2312" w:eastAsia="仿宋_GB2312"/>
          <w:b/>
          <w:sz w:val="48"/>
          <w:highlight w:val="none"/>
        </w:rPr>
        <w:br w:type="page"/>
      </w:r>
    </w:p>
    <w:p w14:paraId="4741F413">
      <w:pPr>
        <w:jc w:val="center"/>
        <w:rPr>
          <w:rFonts w:ascii="宋体" w:hAnsi="宋体"/>
          <w:b/>
          <w:sz w:val="48"/>
          <w:szCs w:val="48"/>
          <w:highlight w:val="none"/>
        </w:rPr>
      </w:pPr>
    </w:p>
    <w:p w14:paraId="31AC20E5">
      <w:pPr>
        <w:jc w:val="center"/>
        <w:rPr>
          <w:rFonts w:ascii="宋体" w:hAnsi="宋体"/>
          <w:b/>
          <w:sz w:val="48"/>
          <w:szCs w:val="48"/>
          <w:highlight w:val="none"/>
        </w:rPr>
      </w:pPr>
    </w:p>
    <w:p w14:paraId="304442E8">
      <w:pPr>
        <w:jc w:val="center"/>
        <w:rPr>
          <w:rFonts w:ascii="宋体" w:hAnsi="宋体"/>
          <w:b/>
          <w:sz w:val="48"/>
          <w:szCs w:val="48"/>
          <w:highlight w:val="none"/>
        </w:rPr>
      </w:pPr>
      <w:r>
        <w:rPr>
          <w:rFonts w:hint="eastAsia" w:ascii="宋体" w:hAnsi="宋体"/>
          <w:b/>
          <w:sz w:val="48"/>
          <w:szCs w:val="48"/>
          <w:highlight w:val="none"/>
        </w:rPr>
        <w:t>目   录</w:t>
      </w:r>
    </w:p>
    <w:p w14:paraId="556E13C1">
      <w:pPr>
        <w:jc w:val="center"/>
        <w:rPr>
          <w:rFonts w:ascii="宋体"/>
          <w:sz w:val="32"/>
          <w:highlight w:val="none"/>
        </w:rPr>
      </w:pPr>
    </w:p>
    <w:p w14:paraId="7D615972">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TOC \o "1-3" \h \u </w:instrText>
      </w:r>
      <w:r>
        <w:rPr>
          <w:rFonts w:hint="eastAsia" w:ascii="宋体"/>
          <w:sz w:val="28"/>
          <w:szCs w:val="28"/>
          <w:highlight w:val="none"/>
        </w:rPr>
        <w:fldChar w:fldCharType="separate"/>
      </w:r>
      <w:r>
        <w:rPr>
          <w:highlight w:val="none"/>
        </w:rPr>
        <w:fldChar w:fldCharType="begin"/>
      </w:r>
      <w:r>
        <w:rPr>
          <w:highlight w:val="none"/>
        </w:rPr>
        <w:instrText xml:space="preserve"> HYPERLINK \l "_Toc8801" </w:instrText>
      </w:r>
      <w:r>
        <w:rPr>
          <w:highlight w:val="none"/>
        </w:rPr>
        <w:fldChar w:fldCharType="separate"/>
      </w:r>
      <w:r>
        <w:rPr>
          <w:rFonts w:hint="eastAsia" w:ascii="宋体"/>
          <w:sz w:val="28"/>
          <w:szCs w:val="28"/>
          <w:highlight w:val="none"/>
        </w:rPr>
        <w:t>第一章  招标公告</w:t>
      </w:r>
      <w:r>
        <w:rPr>
          <w:sz w:val="28"/>
          <w:szCs w:val="28"/>
          <w:highlight w:val="none"/>
        </w:rPr>
        <w:tab/>
      </w:r>
      <w:r>
        <w:rPr>
          <w:sz w:val="28"/>
          <w:szCs w:val="28"/>
          <w:highlight w:val="none"/>
        </w:rPr>
        <w:fldChar w:fldCharType="begin"/>
      </w:r>
      <w:r>
        <w:rPr>
          <w:sz w:val="28"/>
          <w:szCs w:val="28"/>
          <w:highlight w:val="none"/>
        </w:rPr>
        <w:instrText xml:space="preserve"> PAGEREF _Toc8801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6B73041F">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"_Toc29835" </w:instrText>
      </w:r>
      <w:r>
        <w:rPr>
          <w:highlight w:val="none"/>
        </w:rPr>
        <w:fldChar w:fldCharType="separate"/>
      </w:r>
      <w:r>
        <w:rPr>
          <w:rFonts w:hint="eastAsia" w:ascii="宋体" w:hAnsi="宋体"/>
          <w:sz w:val="28"/>
          <w:szCs w:val="28"/>
          <w:highlight w:val="none"/>
        </w:rPr>
        <w:t>第二章  投标人须知及前附表</w:t>
      </w:r>
      <w:r>
        <w:rPr>
          <w:sz w:val="28"/>
          <w:szCs w:val="28"/>
          <w:highlight w:val="none"/>
        </w:rPr>
        <w:tab/>
      </w:r>
      <w:r>
        <w:rPr>
          <w:sz w:val="28"/>
          <w:szCs w:val="28"/>
          <w:highlight w:val="none"/>
        </w:rPr>
        <w:fldChar w:fldCharType="begin"/>
      </w:r>
      <w:r>
        <w:rPr>
          <w:sz w:val="28"/>
          <w:szCs w:val="28"/>
          <w:highlight w:val="none"/>
        </w:rPr>
        <w:instrText xml:space="preserve"> PAGEREF _Toc29835 \h </w:instrText>
      </w:r>
      <w:r>
        <w:rPr>
          <w:sz w:val="28"/>
          <w:szCs w:val="28"/>
          <w:highlight w:val="none"/>
        </w:rPr>
        <w:fldChar w:fldCharType="separate"/>
      </w:r>
      <w:r>
        <w:rPr>
          <w:sz w:val="28"/>
          <w:szCs w:val="28"/>
          <w:highlight w:val="none"/>
        </w:rPr>
        <w:t>5</w:t>
      </w:r>
      <w:r>
        <w:rPr>
          <w:sz w:val="28"/>
          <w:szCs w:val="28"/>
          <w:highlight w:val="none"/>
        </w:rPr>
        <w:fldChar w:fldCharType="end"/>
      </w:r>
      <w:r>
        <w:rPr>
          <w:sz w:val="28"/>
          <w:szCs w:val="28"/>
          <w:highlight w:val="none"/>
        </w:rPr>
        <w:fldChar w:fldCharType="end"/>
      </w:r>
    </w:p>
    <w:p w14:paraId="23641A3B">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"_Toc6717" </w:instrText>
      </w:r>
      <w:r>
        <w:rPr>
          <w:highlight w:val="none"/>
        </w:rPr>
        <w:fldChar w:fldCharType="separate"/>
      </w:r>
      <w:r>
        <w:rPr>
          <w:rFonts w:hint="eastAsia" w:ascii="宋体" w:hAnsi="宋体"/>
          <w:sz w:val="28"/>
          <w:szCs w:val="28"/>
          <w:highlight w:val="none"/>
        </w:rPr>
        <w:t>第三章  合同文本</w:t>
      </w:r>
      <w:r>
        <w:rPr>
          <w:sz w:val="28"/>
          <w:szCs w:val="28"/>
          <w:highlight w:val="none"/>
        </w:rPr>
        <w:tab/>
      </w:r>
      <w:r>
        <w:rPr>
          <w:sz w:val="28"/>
          <w:szCs w:val="28"/>
          <w:highlight w:val="none"/>
        </w:rPr>
        <w:fldChar w:fldCharType="begin"/>
      </w:r>
      <w:r>
        <w:rPr>
          <w:sz w:val="28"/>
          <w:szCs w:val="28"/>
          <w:highlight w:val="none"/>
        </w:rPr>
        <w:instrText xml:space="preserve"> PAGEREF _Toc6717 \h </w:instrText>
      </w:r>
      <w:r>
        <w:rPr>
          <w:sz w:val="28"/>
          <w:szCs w:val="28"/>
          <w:highlight w:val="none"/>
        </w:rPr>
        <w:fldChar w:fldCharType="separate"/>
      </w:r>
      <w:r>
        <w:rPr>
          <w:sz w:val="28"/>
          <w:szCs w:val="28"/>
          <w:highlight w:val="none"/>
        </w:rPr>
        <w:t>33</w:t>
      </w:r>
      <w:r>
        <w:rPr>
          <w:sz w:val="28"/>
          <w:szCs w:val="28"/>
          <w:highlight w:val="none"/>
        </w:rPr>
        <w:fldChar w:fldCharType="end"/>
      </w:r>
      <w:r>
        <w:rPr>
          <w:sz w:val="28"/>
          <w:szCs w:val="28"/>
          <w:highlight w:val="none"/>
        </w:rPr>
        <w:fldChar w:fldCharType="end"/>
      </w:r>
    </w:p>
    <w:p w14:paraId="2389ACEA">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"_Toc15272" </w:instrText>
      </w:r>
      <w:r>
        <w:rPr>
          <w:highlight w:val="none"/>
        </w:rPr>
        <w:fldChar w:fldCharType="separate"/>
      </w:r>
      <w:r>
        <w:rPr>
          <w:rFonts w:hint="eastAsia"/>
          <w:sz w:val="28"/>
          <w:szCs w:val="28"/>
          <w:highlight w:val="none"/>
        </w:rPr>
        <w:t>第四章  招标内容及采购需求</w:t>
      </w:r>
      <w:r>
        <w:rPr>
          <w:sz w:val="28"/>
          <w:szCs w:val="28"/>
          <w:highlight w:val="none"/>
        </w:rPr>
        <w:tab/>
      </w:r>
      <w:r>
        <w:rPr>
          <w:sz w:val="28"/>
          <w:szCs w:val="28"/>
          <w:highlight w:val="none"/>
        </w:rPr>
        <w:fldChar w:fldCharType="begin"/>
      </w:r>
      <w:r>
        <w:rPr>
          <w:sz w:val="28"/>
          <w:szCs w:val="28"/>
          <w:highlight w:val="none"/>
        </w:rPr>
        <w:instrText xml:space="preserve"> PAGEREF _Toc15272 \h </w:instrText>
      </w:r>
      <w:r>
        <w:rPr>
          <w:sz w:val="28"/>
          <w:szCs w:val="28"/>
          <w:highlight w:val="none"/>
        </w:rPr>
        <w:fldChar w:fldCharType="separate"/>
      </w:r>
      <w:r>
        <w:rPr>
          <w:sz w:val="28"/>
          <w:szCs w:val="28"/>
          <w:highlight w:val="none"/>
        </w:rPr>
        <w:t>44</w:t>
      </w:r>
      <w:r>
        <w:rPr>
          <w:sz w:val="28"/>
          <w:szCs w:val="28"/>
          <w:highlight w:val="none"/>
        </w:rPr>
        <w:fldChar w:fldCharType="end"/>
      </w:r>
      <w:r>
        <w:rPr>
          <w:sz w:val="28"/>
          <w:szCs w:val="28"/>
          <w:highlight w:val="none"/>
        </w:rPr>
        <w:fldChar w:fldCharType="end"/>
      </w:r>
    </w:p>
    <w:p w14:paraId="3F747DBE">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"_Toc1000" </w:instrText>
      </w:r>
      <w:r>
        <w:rPr>
          <w:highlight w:val="none"/>
        </w:rPr>
        <w:fldChar w:fldCharType="separate"/>
      </w:r>
      <w:r>
        <w:rPr>
          <w:rFonts w:hint="eastAsia" w:ascii="宋体" w:hAnsi="宋体"/>
          <w:sz w:val="28"/>
          <w:szCs w:val="28"/>
          <w:highlight w:val="none"/>
        </w:rPr>
        <w:t>第五章  评标方法</w:t>
      </w:r>
      <w:r>
        <w:rPr>
          <w:sz w:val="28"/>
          <w:szCs w:val="28"/>
          <w:highlight w:val="none"/>
        </w:rPr>
        <w:tab/>
      </w:r>
      <w:r>
        <w:rPr>
          <w:sz w:val="28"/>
          <w:szCs w:val="28"/>
          <w:highlight w:val="none"/>
        </w:rPr>
        <w:fldChar w:fldCharType="begin"/>
      </w:r>
      <w:r>
        <w:rPr>
          <w:sz w:val="28"/>
          <w:szCs w:val="28"/>
          <w:highlight w:val="none"/>
        </w:rPr>
        <w:instrText xml:space="preserve"> PAGEREF _Toc1000 \h </w:instrText>
      </w:r>
      <w:r>
        <w:rPr>
          <w:sz w:val="28"/>
          <w:szCs w:val="28"/>
          <w:highlight w:val="none"/>
        </w:rPr>
        <w:fldChar w:fldCharType="separate"/>
      </w:r>
      <w:r>
        <w:rPr>
          <w:sz w:val="28"/>
          <w:szCs w:val="28"/>
          <w:highlight w:val="none"/>
        </w:rPr>
        <w:t>51</w:t>
      </w:r>
      <w:r>
        <w:rPr>
          <w:sz w:val="28"/>
          <w:szCs w:val="28"/>
          <w:highlight w:val="none"/>
        </w:rPr>
        <w:fldChar w:fldCharType="end"/>
      </w:r>
      <w:r>
        <w:rPr>
          <w:sz w:val="28"/>
          <w:szCs w:val="28"/>
          <w:highlight w:val="none"/>
        </w:rPr>
        <w:fldChar w:fldCharType="end"/>
      </w:r>
    </w:p>
    <w:p w14:paraId="232D17C8">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"_Toc158" </w:instrText>
      </w:r>
      <w:r>
        <w:rPr>
          <w:highlight w:val="none"/>
        </w:rPr>
        <w:fldChar w:fldCharType="separate"/>
      </w:r>
      <w:r>
        <w:rPr>
          <w:rFonts w:hint="eastAsia" w:ascii="宋体" w:hAnsi="宋体"/>
          <w:sz w:val="28"/>
          <w:szCs w:val="28"/>
          <w:highlight w:val="none"/>
        </w:rPr>
        <w:t>第六章  投标文件格式</w:t>
      </w:r>
      <w:r>
        <w:rPr>
          <w:sz w:val="28"/>
          <w:szCs w:val="28"/>
          <w:highlight w:val="none"/>
        </w:rPr>
        <w:tab/>
      </w:r>
      <w:r>
        <w:rPr>
          <w:sz w:val="28"/>
          <w:szCs w:val="28"/>
          <w:highlight w:val="none"/>
        </w:rPr>
        <w:fldChar w:fldCharType="begin"/>
      </w:r>
      <w:r>
        <w:rPr>
          <w:sz w:val="28"/>
          <w:szCs w:val="28"/>
          <w:highlight w:val="none"/>
        </w:rPr>
        <w:instrText xml:space="preserve"> PAGEREF _Toc158 \h </w:instrText>
      </w:r>
      <w:r>
        <w:rPr>
          <w:sz w:val="28"/>
          <w:szCs w:val="28"/>
          <w:highlight w:val="none"/>
        </w:rPr>
        <w:fldChar w:fldCharType="separate"/>
      </w:r>
      <w:r>
        <w:rPr>
          <w:sz w:val="28"/>
          <w:szCs w:val="28"/>
          <w:highlight w:val="none"/>
        </w:rPr>
        <w:t>62</w:t>
      </w:r>
      <w:r>
        <w:rPr>
          <w:sz w:val="28"/>
          <w:szCs w:val="28"/>
          <w:highlight w:val="none"/>
        </w:rPr>
        <w:fldChar w:fldCharType="end"/>
      </w:r>
      <w:r>
        <w:rPr>
          <w:sz w:val="28"/>
          <w:szCs w:val="28"/>
          <w:highlight w:val="none"/>
        </w:rPr>
        <w:fldChar w:fldCharType="end"/>
      </w:r>
    </w:p>
    <w:p w14:paraId="398E83AD">
      <w:pPr>
        <w:spacing w:line="480" w:lineRule="auto"/>
        <w:rPr>
          <w:rFonts w:ascii="宋体"/>
          <w:sz w:val="28"/>
          <w:szCs w:val="28"/>
          <w:highlight w:val="none"/>
        </w:rPr>
      </w:pPr>
      <w:r>
        <w:rPr>
          <w:rFonts w:hint="eastAsia" w:ascii="宋体"/>
          <w:sz w:val="28"/>
          <w:szCs w:val="28"/>
          <w:highlight w:val="none"/>
        </w:rPr>
        <w:fldChar w:fldCharType="end"/>
      </w:r>
    </w:p>
    <w:p w14:paraId="3D32E037">
      <w:pPr>
        <w:spacing w:line="800" w:lineRule="exact"/>
        <w:ind w:left="1260" w:leftChars="600"/>
        <w:rPr>
          <w:rFonts w:ascii="宋体" w:hAnsi="宋体"/>
          <w:color w:val="FFFFFF"/>
          <w:sz w:val="32"/>
          <w:highlight w:val="none"/>
        </w:rPr>
      </w:pPr>
    </w:p>
    <w:p w14:paraId="039335FC">
      <w:pPr>
        <w:spacing w:line="480" w:lineRule="auto"/>
        <w:rPr>
          <w:rFonts w:ascii="宋体" w:hAnsi="宋体"/>
          <w:sz w:val="32"/>
          <w:highlight w:val="none"/>
        </w:rPr>
      </w:pPr>
    </w:p>
    <w:p w14:paraId="5264F8A1">
      <w:pPr>
        <w:jc w:val="center"/>
        <w:rPr>
          <w:rFonts w:ascii="宋体"/>
          <w:b/>
          <w:sz w:val="44"/>
          <w:highlight w:val="none"/>
        </w:rPr>
      </w:pPr>
    </w:p>
    <w:p w14:paraId="5F96C520">
      <w:pPr>
        <w:jc w:val="center"/>
        <w:rPr>
          <w:rFonts w:ascii="宋体"/>
          <w:b/>
          <w:sz w:val="44"/>
          <w:highlight w:val="none"/>
        </w:rPr>
      </w:pPr>
    </w:p>
    <w:p w14:paraId="12B6AB89">
      <w:pPr>
        <w:spacing w:line="480" w:lineRule="auto"/>
        <w:jc w:val="center"/>
        <w:outlineLvl w:val="0"/>
        <w:rPr>
          <w:rFonts w:ascii="宋体"/>
          <w:b/>
          <w:sz w:val="44"/>
          <w:szCs w:val="44"/>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180" w:header="851" w:footer="992" w:gutter="0"/>
          <w:pgNumType w:start="0"/>
          <w:cols w:space="720" w:num="1"/>
          <w:titlePg/>
          <w:docGrid w:type="lines" w:linePitch="312" w:charSpace="0"/>
        </w:sectPr>
      </w:pPr>
      <w:bookmarkStart w:id="0" w:name="_Toc8801"/>
      <w:bookmarkStart w:id="1" w:name="_Hlk36453955"/>
    </w:p>
    <w:p w14:paraId="00602A52">
      <w:pPr>
        <w:spacing w:line="480" w:lineRule="auto"/>
        <w:jc w:val="center"/>
        <w:outlineLvl w:val="0"/>
        <w:rPr>
          <w:rFonts w:ascii="宋体"/>
          <w:b/>
          <w:sz w:val="44"/>
          <w:szCs w:val="44"/>
          <w:highlight w:val="none"/>
        </w:rPr>
      </w:pPr>
      <w:r>
        <w:rPr>
          <w:rFonts w:hint="eastAsia" w:ascii="宋体"/>
          <w:b/>
          <w:sz w:val="44"/>
          <w:szCs w:val="44"/>
          <w:highlight w:val="none"/>
        </w:rPr>
        <w:t>第一章 招标公告</w:t>
      </w:r>
      <w:bookmarkEnd w:id="0"/>
    </w:p>
    <w:p w14:paraId="01B50FBA">
      <w:pPr>
        <w:spacing w:line="360" w:lineRule="auto"/>
        <w:rPr>
          <w:rFonts w:ascii="宋体" w:hAnsi="宋体"/>
          <w:b/>
          <w:bCs/>
          <w:sz w:val="24"/>
          <w:szCs w:val="24"/>
          <w:highlight w:val="none"/>
        </w:rPr>
      </w:pPr>
      <w:r>
        <w:rPr>
          <w:rFonts w:hint="eastAsia" w:ascii="宋体" w:hAnsi="宋体"/>
          <w:b/>
          <w:bCs/>
          <w:sz w:val="24"/>
          <w:szCs w:val="24"/>
          <w:highlight w:val="none"/>
        </w:rPr>
        <w:t>项目概况</w:t>
      </w:r>
    </w:p>
    <w:p w14:paraId="4B6F1C85">
      <w:pPr>
        <w:spacing w:line="360" w:lineRule="auto"/>
        <w:ind w:firstLine="480" w:firstLineChars="200"/>
        <w:rPr>
          <w:rFonts w:ascii="宋体" w:hAnsi="宋体"/>
          <w:sz w:val="24"/>
          <w:szCs w:val="24"/>
          <w:highlight w:val="none"/>
        </w:rPr>
      </w:pPr>
      <w:r>
        <w:rPr>
          <w:rFonts w:hint="eastAsia" w:ascii="宋体" w:hAnsi="宋体"/>
          <w:sz w:val="24"/>
          <w:szCs w:val="24"/>
          <w:highlight w:val="none"/>
        </w:rPr>
        <w:t>采供血试剂耗材及宣传品采购项目的潜在投标人应在</w:t>
      </w:r>
      <w:r>
        <w:rPr>
          <w:rFonts w:hint="eastAsia" w:ascii="宋体" w:hAnsi="宋体" w:cs="宋体"/>
          <w:sz w:val="24"/>
          <w:szCs w:val="24"/>
          <w:highlight w:val="none"/>
          <w:u w:val="single"/>
          <w:lang w:eastAsia="zh-CN"/>
        </w:rPr>
        <w:t>西安市雁塔区南二环西段58号成长大厦11层1108</w:t>
      </w:r>
      <w:r>
        <w:rPr>
          <w:rFonts w:hint="eastAsia" w:ascii="宋体" w:hAnsi="宋体"/>
          <w:sz w:val="24"/>
          <w:szCs w:val="24"/>
          <w:highlight w:val="none"/>
        </w:rPr>
        <w:t>获取招标文件，并于2026年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日09时30分（北京时间）前递交投标文件。</w:t>
      </w:r>
    </w:p>
    <w:p w14:paraId="437AED5E">
      <w:pPr>
        <w:spacing w:line="360" w:lineRule="auto"/>
        <w:rPr>
          <w:rFonts w:ascii="宋体" w:hAnsi="宋体"/>
          <w:b/>
          <w:bCs/>
          <w:sz w:val="24"/>
          <w:szCs w:val="24"/>
          <w:highlight w:val="none"/>
        </w:rPr>
      </w:pPr>
      <w:r>
        <w:rPr>
          <w:rFonts w:hint="eastAsia" w:ascii="宋体" w:hAnsi="宋体"/>
          <w:b/>
          <w:bCs/>
          <w:sz w:val="24"/>
          <w:szCs w:val="24"/>
          <w:highlight w:val="none"/>
        </w:rPr>
        <w:t>一、项目基本情况</w:t>
      </w:r>
    </w:p>
    <w:p w14:paraId="743590A8">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项目编号：</w:t>
      </w:r>
      <w:r>
        <w:rPr>
          <w:rFonts w:hint="eastAsia" w:ascii="宋体" w:hAnsi="宋体"/>
          <w:sz w:val="24"/>
          <w:szCs w:val="24"/>
          <w:highlight w:val="none"/>
          <w:lang w:eastAsia="zh-CN"/>
        </w:rPr>
        <w:t>0617-2622HZ1797</w:t>
      </w:r>
    </w:p>
    <w:p w14:paraId="29F22A3F">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项目名称：采供血试剂耗材及宣传品采购项目</w:t>
      </w:r>
    </w:p>
    <w:p w14:paraId="0DDAB0C5">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采购方式：公开招标</w:t>
      </w:r>
    </w:p>
    <w:p w14:paraId="5F1D0514">
      <w:pPr>
        <w:spacing w:line="360" w:lineRule="auto"/>
        <w:ind w:firstLine="480" w:firstLineChars="200"/>
        <w:rPr>
          <w:rFonts w:ascii="宋体" w:hAnsi="宋体"/>
          <w:sz w:val="24"/>
          <w:szCs w:val="24"/>
          <w:highlight w:val="none"/>
        </w:rPr>
      </w:pPr>
      <w:r>
        <w:rPr>
          <w:rFonts w:hint="eastAsia" w:ascii="宋体" w:hAnsi="宋体"/>
          <w:sz w:val="24"/>
          <w:szCs w:val="24"/>
          <w:highlight w:val="none"/>
        </w:rPr>
        <w:t>预算金额：14629430.00元</w:t>
      </w:r>
    </w:p>
    <w:p w14:paraId="6C3EF123">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采购需求：</w:t>
      </w:r>
    </w:p>
    <w:p w14:paraId="29CD51EB">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合同包7(去白血袋四联装（取样装置）):</w:t>
      </w:r>
    </w:p>
    <w:tbl>
      <w:tblPr>
        <w:tblStyle w:val="22"/>
        <w:tblW w:w="5063"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752"/>
        <w:gridCol w:w="870"/>
        <w:gridCol w:w="1947"/>
        <w:gridCol w:w="961"/>
        <w:gridCol w:w="1555"/>
        <w:gridCol w:w="1557"/>
        <w:gridCol w:w="1639"/>
      </w:tblGrid>
      <w:tr w14:paraId="187E8FF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E6D34A3">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品目号</w:t>
            </w:r>
          </w:p>
        </w:tc>
        <w:tc>
          <w:tcPr>
            <w:tcW w:w="46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FEDBBED">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shd w:val="clear" w:color="auto" w:fill="FFFFFF"/>
              </w:rPr>
              <w:t>品目名称</w:t>
            </w:r>
          </w:p>
        </w:tc>
        <w:tc>
          <w:tcPr>
            <w:tcW w:w="104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F288B7A">
            <w:pPr>
              <w:widowControl/>
              <w:wordWrap w:val="0"/>
              <w:spacing w:line="360" w:lineRule="auto"/>
              <w:jc w:val="center"/>
              <w:rPr>
                <w:rFonts w:ascii="宋体" w:hAnsi="宋体" w:cs="宋体"/>
                <w:kern w:val="0"/>
                <w:sz w:val="24"/>
                <w:szCs w:val="24"/>
                <w:highlight w:val="none"/>
                <w:lang w:bidi="ar"/>
              </w:rPr>
            </w:pPr>
            <w:r>
              <w:rPr>
                <w:rFonts w:hint="eastAsia" w:ascii="宋体" w:hAnsi="宋体" w:cs="宋体"/>
                <w:kern w:val="0"/>
                <w:sz w:val="24"/>
                <w:szCs w:val="24"/>
                <w:highlight w:val="none"/>
                <w:lang w:bidi="ar"/>
              </w:rPr>
              <w:t>采购标的</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6406167">
            <w:pPr>
              <w:widowControl/>
              <w:wordWrap w:val="0"/>
              <w:spacing w:line="360" w:lineRule="auto"/>
              <w:jc w:val="center"/>
              <w:rPr>
                <w:rFonts w:ascii="宋体" w:hAnsi="宋体" w:cs="宋体"/>
                <w:sz w:val="24"/>
                <w:szCs w:val="24"/>
                <w:highlight w:val="none"/>
                <w:shd w:val="clear" w:color="auto" w:fill="FFFFFF"/>
              </w:rPr>
            </w:pPr>
            <w:r>
              <w:rPr>
                <w:rFonts w:hint="eastAsia" w:ascii="宋体" w:hAnsi="宋体" w:cs="宋体"/>
                <w:sz w:val="24"/>
                <w:szCs w:val="24"/>
                <w:highlight w:val="none"/>
                <w:shd w:val="clear" w:color="auto" w:fill="FFFFFF"/>
              </w:rPr>
              <w:t>数量</w:t>
            </w:r>
          </w:p>
          <w:p w14:paraId="3E49875B">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（单位）</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50EBFD6">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技术规格、参数及要求</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D06A944">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品目预算（元）</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C3F4B55">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最高限价（元）</w:t>
            </w:r>
          </w:p>
        </w:tc>
      </w:tr>
      <w:tr w14:paraId="4BB0196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32B68E1">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1-1</w:t>
            </w:r>
          </w:p>
        </w:tc>
        <w:tc>
          <w:tcPr>
            <w:tcW w:w="46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ECCC49E">
            <w:pPr>
              <w:widowControl/>
              <w:wordWrap w:val="0"/>
              <w:spacing w:line="360" w:lineRule="auto"/>
              <w:jc w:val="center"/>
              <w:rPr>
                <w:rFonts w:ascii="宋体" w:hAnsi="宋体" w:cs="宋体"/>
                <w:sz w:val="24"/>
                <w:szCs w:val="24"/>
                <w:highlight w:val="none"/>
              </w:rPr>
            </w:pPr>
            <w:r>
              <w:rPr>
                <w:rFonts w:hint="eastAsia" w:ascii="宋体" w:hAnsi="宋体" w:cs="宋体"/>
                <w:sz w:val="22"/>
                <w:szCs w:val="22"/>
                <w:highlight w:val="none"/>
                <w:shd w:val="clear" w:color="auto" w:fill="FFFFFF"/>
              </w:rPr>
              <w:t>其他医药品</w:t>
            </w:r>
          </w:p>
        </w:tc>
        <w:tc>
          <w:tcPr>
            <w:tcW w:w="104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AB877D5">
            <w:pPr>
              <w:widowControl/>
              <w:wordWrap w:val="0"/>
              <w:spacing w:line="360" w:lineRule="auto"/>
              <w:jc w:val="center"/>
              <w:rPr>
                <w:rFonts w:ascii="宋体" w:hAnsi="宋体" w:cs="宋体"/>
                <w:kern w:val="0"/>
                <w:sz w:val="24"/>
                <w:szCs w:val="24"/>
                <w:highlight w:val="none"/>
                <w:lang w:bidi="ar"/>
              </w:rPr>
            </w:pPr>
            <w:r>
              <w:rPr>
                <w:rFonts w:hint="eastAsia" w:ascii="宋体" w:hAnsi="宋体"/>
                <w:sz w:val="24"/>
                <w:szCs w:val="24"/>
                <w:highlight w:val="none"/>
              </w:rPr>
              <w:t>去白血袋四联装（取样装置）</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5734DA2">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1(批)</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3DEA4F4">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详见采购文件</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54D70C2">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515000.00</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6B83130C">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515000.00</w:t>
            </w:r>
          </w:p>
        </w:tc>
      </w:tr>
    </w:tbl>
    <w:p w14:paraId="55D81959">
      <w:pPr>
        <w:spacing w:line="360" w:lineRule="auto"/>
        <w:ind w:firstLine="480" w:firstLineChars="200"/>
        <w:rPr>
          <w:rFonts w:ascii="宋体" w:hAnsi="宋体"/>
          <w:sz w:val="24"/>
          <w:szCs w:val="24"/>
          <w:highlight w:val="none"/>
        </w:rPr>
      </w:pPr>
      <w:r>
        <w:rPr>
          <w:rFonts w:hint="eastAsia" w:ascii="宋体" w:hAnsi="宋体"/>
          <w:sz w:val="24"/>
          <w:szCs w:val="24"/>
          <w:highlight w:val="none"/>
        </w:rPr>
        <w:t>本合同包不接受联合体投标</w:t>
      </w:r>
    </w:p>
    <w:p w14:paraId="779D24BF">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合同履行期限：接到订单通知后10个工作日内</w:t>
      </w:r>
    </w:p>
    <w:p w14:paraId="488E60A7">
      <w:pPr>
        <w:spacing w:line="360" w:lineRule="auto"/>
        <w:rPr>
          <w:rFonts w:ascii="宋体" w:hAnsi="宋体"/>
          <w:sz w:val="24"/>
          <w:szCs w:val="24"/>
          <w:highlight w:val="none"/>
        </w:rPr>
      </w:pPr>
      <w:r>
        <w:rPr>
          <w:rFonts w:hint="eastAsia" w:ascii="宋体" w:hAnsi="宋体"/>
          <w:sz w:val="24"/>
          <w:szCs w:val="24"/>
          <w:highlight w:val="none"/>
        </w:rPr>
        <w:t>二、</w:t>
      </w:r>
      <w:r>
        <w:rPr>
          <w:rFonts w:hint="eastAsia" w:ascii="宋体" w:hAnsi="宋体"/>
          <w:b/>
          <w:kern w:val="0"/>
          <w:sz w:val="24"/>
          <w:szCs w:val="24"/>
          <w:highlight w:val="none"/>
        </w:rPr>
        <w:t>投标人的资格要求</w:t>
      </w:r>
      <w:r>
        <w:rPr>
          <w:rFonts w:hint="eastAsia" w:ascii="宋体" w:hAnsi="宋体"/>
          <w:sz w:val="24"/>
          <w:szCs w:val="24"/>
          <w:highlight w:val="none"/>
        </w:rPr>
        <w:t>：</w:t>
      </w:r>
    </w:p>
    <w:p w14:paraId="52BAF3F4">
      <w:pPr>
        <w:spacing w:line="360" w:lineRule="auto"/>
        <w:ind w:firstLine="480" w:firstLineChars="200"/>
        <w:rPr>
          <w:rFonts w:ascii="宋体" w:hAnsi="宋体"/>
          <w:kern w:val="0"/>
          <w:sz w:val="24"/>
          <w:szCs w:val="24"/>
          <w:highlight w:val="none"/>
        </w:rPr>
      </w:pPr>
      <w:r>
        <w:rPr>
          <w:rFonts w:hint="eastAsia" w:ascii="宋体" w:hAnsi="宋体"/>
          <w:kern w:val="0"/>
          <w:sz w:val="24"/>
          <w:szCs w:val="24"/>
          <w:highlight w:val="none"/>
        </w:rPr>
        <w:t>1.满足《中华人民共和国政府采购法》第二十二条规定；</w:t>
      </w:r>
    </w:p>
    <w:p w14:paraId="2F9ED1D2">
      <w:pPr>
        <w:spacing w:line="360" w:lineRule="auto"/>
        <w:ind w:firstLine="480" w:firstLineChars="200"/>
        <w:rPr>
          <w:rFonts w:ascii="宋体" w:hAnsi="宋体"/>
          <w:kern w:val="0"/>
          <w:sz w:val="24"/>
          <w:szCs w:val="24"/>
          <w:highlight w:val="none"/>
        </w:rPr>
      </w:pPr>
      <w:r>
        <w:rPr>
          <w:rFonts w:ascii="宋体" w:hAnsi="宋体"/>
          <w:kern w:val="0"/>
          <w:sz w:val="24"/>
          <w:szCs w:val="24"/>
          <w:highlight w:val="none"/>
        </w:rPr>
        <w:t>2</w:t>
      </w:r>
      <w:r>
        <w:rPr>
          <w:rFonts w:hint="eastAsia" w:ascii="宋体" w:hAnsi="宋体"/>
          <w:kern w:val="0"/>
          <w:sz w:val="24"/>
          <w:szCs w:val="24"/>
          <w:highlight w:val="none"/>
        </w:rPr>
        <w:t>.落实政府采购政策需满足的资格要求：</w:t>
      </w:r>
      <w:r>
        <w:rPr>
          <w:rFonts w:hint="eastAsia" w:ascii="宋体" w:hAnsi="宋体" w:cs="宋体"/>
          <w:sz w:val="24"/>
          <w:szCs w:val="24"/>
          <w:highlight w:val="none"/>
          <w:shd w:val="clear" w:color="auto" w:fill="FFFFFF"/>
        </w:rPr>
        <w:t>无</w:t>
      </w:r>
    </w:p>
    <w:p w14:paraId="1091DE6B">
      <w:pPr>
        <w:pStyle w:val="20"/>
        <w:spacing w:before="0" w:beforeAutospacing="0" w:after="0" w:afterAutospacing="0" w:line="360" w:lineRule="auto"/>
        <w:ind w:firstLine="480" w:firstLineChars="200"/>
        <w:jc w:val="both"/>
        <w:textAlignment w:val="baseline"/>
        <w:rPr>
          <w:highlight w:val="none"/>
        </w:rPr>
      </w:pPr>
      <w:r>
        <w:rPr>
          <w:rFonts w:hint="eastAsia"/>
          <w:highlight w:val="none"/>
        </w:rPr>
        <w:t>3.本项目的特定资格要求：</w:t>
      </w:r>
    </w:p>
    <w:p w14:paraId="37C3B163">
      <w:pPr>
        <w:pStyle w:val="20"/>
        <w:spacing w:before="0" w:beforeAutospacing="0" w:after="0" w:afterAutospacing="0" w:line="360" w:lineRule="auto"/>
        <w:ind w:firstLine="480" w:firstLineChars="200"/>
        <w:jc w:val="both"/>
        <w:textAlignment w:val="baseline"/>
        <w:rPr>
          <w:highlight w:val="none"/>
          <w:shd w:val="clear" w:color="auto" w:fill="FFFFFF"/>
        </w:rPr>
      </w:pPr>
      <w:r>
        <w:rPr>
          <w:rFonts w:hint="eastAsia"/>
          <w:highlight w:val="none"/>
          <w:shd w:val="clear" w:color="auto" w:fill="FFFFFF"/>
        </w:rPr>
        <w:t>（1）</w:t>
      </w:r>
      <w:r>
        <w:rPr>
          <w:rFonts w:hint="eastAsia"/>
          <w:color w:val="000000"/>
          <w:highlight w:val="none"/>
          <w:shd w:val="clear" w:color="auto" w:fill="FFFFFF"/>
        </w:rPr>
        <w:t>纳入医疗器械管理的，投标人须具有与本次招标货物相符的医疗器械经营资质；</w:t>
      </w:r>
    </w:p>
    <w:p w14:paraId="7E812463">
      <w:pPr>
        <w:pStyle w:val="20"/>
        <w:spacing w:before="0" w:beforeAutospacing="0" w:after="0" w:afterAutospacing="0" w:line="360" w:lineRule="auto"/>
        <w:ind w:firstLine="480" w:firstLineChars="200"/>
        <w:jc w:val="both"/>
        <w:textAlignment w:val="baseline"/>
        <w:rPr>
          <w:rFonts w:hint="eastAsia"/>
          <w:highlight w:val="none"/>
          <w:shd w:val="clear" w:color="auto" w:fill="FFFFFF"/>
          <w:lang w:eastAsia="zh-CN"/>
        </w:rPr>
      </w:pPr>
      <w:r>
        <w:rPr>
          <w:rFonts w:hint="eastAsia"/>
          <w:highlight w:val="none"/>
          <w:shd w:val="clear" w:color="auto" w:fill="FFFFFF"/>
        </w:rPr>
        <w:t>（2）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543D9AB5">
      <w:pPr>
        <w:pStyle w:val="20"/>
        <w:spacing w:before="0" w:beforeAutospacing="0" w:after="0" w:afterAutospacing="0" w:line="360" w:lineRule="auto"/>
        <w:ind w:firstLine="480" w:firstLineChars="200"/>
        <w:jc w:val="both"/>
        <w:textAlignment w:val="baseline"/>
        <w:rPr>
          <w:highlight w:val="none"/>
          <w:shd w:val="clear" w:color="auto" w:fill="FFFFFF"/>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p w14:paraId="50A2C4A4">
      <w:pPr>
        <w:spacing w:line="360" w:lineRule="auto"/>
        <w:rPr>
          <w:rFonts w:ascii="宋体" w:hAnsi="宋体"/>
          <w:b/>
          <w:bCs/>
          <w:sz w:val="24"/>
          <w:szCs w:val="24"/>
          <w:highlight w:val="none"/>
        </w:rPr>
      </w:pPr>
      <w:r>
        <w:rPr>
          <w:rFonts w:hint="eastAsia" w:ascii="宋体" w:hAnsi="宋体"/>
          <w:b/>
          <w:bCs/>
          <w:sz w:val="24"/>
          <w:szCs w:val="24"/>
          <w:highlight w:val="none"/>
        </w:rPr>
        <w:t>三、获取招标文件</w:t>
      </w:r>
    </w:p>
    <w:p w14:paraId="4DF32388">
      <w:pPr>
        <w:wordWrap w:val="0"/>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7</w:t>
      </w:r>
      <w:r>
        <w:rPr>
          <w:rFonts w:hint="eastAsia" w:ascii="宋体" w:hAnsi="宋体"/>
          <w:sz w:val="24"/>
          <w:szCs w:val="24"/>
          <w:highlight w:val="none"/>
        </w:rPr>
        <w:t>日至2026年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14</w:t>
      </w:r>
      <w:r>
        <w:rPr>
          <w:rFonts w:hint="eastAsia" w:ascii="宋体" w:hAnsi="宋体"/>
          <w:sz w:val="24"/>
          <w:szCs w:val="24"/>
          <w:highlight w:val="none"/>
        </w:rPr>
        <w:t>日，每天上午08:30:00至12:00:00，下午13:30:00至17:00:00（北京时间,法定节假日除外）</w:t>
      </w:r>
    </w:p>
    <w:p w14:paraId="7360B5A0">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途径：</w:t>
      </w:r>
      <w:r>
        <w:rPr>
          <w:rFonts w:hint="eastAsia" w:ascii="宋体" w:hAnsi="宋体"/>
          <w:sz w:val="24"/>
          <w:szCs w:val="24"/>
          <w:highlight w:val="none"/>
          <w:lang w:eastAsia="zh-CN"/>
        </w:rPr>
        <w:t>西安市雁塔区南二环西段58号成长大厦11层1108</w:t>
      </w:r>
    </w:p>
    <w:p w14:paraId="3A85468C">
      <w:pPr>
        <w:spacing w:line="360" w:lineRule="auto"/>
        <w:ind w:firstLine="480" w:firstLineChars="200"/>
        <w:rPr>
          <w:rFonts w:ascii="宋体" w:hAnsi="宋体"/>
          <w:sz w:val="24"/>
          <w:szCs w:val="24"/>
          <w:highlight w:val="none"/>
        </w:rPr>
      </w:pPr>
      <w:r>
        <w:rPr>
          <w:rFonts w:hint="eastAsia" w:ascii="宋体" w:hAnsi="宋体"/>
          <w:sz w:val="24"/>
          <w:szCs w:val="24"/>
          <w:highlight w:val="none"/>
        </w:rPr>
        <w:t>方式：现场获取</w:t>
      </w:r>
    </w:p>
    <w:p w14:paraId="7655FC99">
      <w:pPr>
        <w:spacing w:line="360" w:lineRule="auto"/>
        <w:ind w:firstLine="480" w:firstLineChars="200"/>
        <w:rPr>
          <w:rFonts w:ascii="宋体" w:hAnsi="宋体"/>
          <w:sz w:val="24"/>
          <w:szCs w:val="24"/>
          <w:highlight w:val="none"/>
        </w:rPr>
      </w:pPr>
      <w:r>
        <w:rPr>
          <w:rFonts w:hint="eastAsia" w:ascii="宋体" w:hAnsi="宋体"/>
          <w:sz w:val="24"/>
          <w:szCs w:val="24"/>
          <w:highlight w:val="none"/>
        </w:rPr>
        <w:t>售价：免费获取</w:t>
      </w:r>
    </w:p>
    <w:p w14:paraId="64364B55">
      <w:pPr>
        <w:spacing w:line="360" w:lineRule="auto"/>
        <w:rPr>
          <w:rFonts w:ascii="宋体" w:hAnsi="宋体"/>
          <w:b/>
          <w:bCs/>
          <w:sz w:val="24"/>
          <w:szCs w:val="24"/>
          <w:highlight w:val="none"/>
        </w:rPr>
      </w:pPr>
      <w:r>
        <w:rPr>
          <w:rFonts w:hint="eastAsia" w:ascii="宋体" w:hAnsi="宋体"/>
          <w:b/>
          <w:bCs/>
          <w:sz w:val="24"/>
          <w:szCs w:val="24"/>
          <w:highlight w:val="none"/>
        </w:rPr>
        <w:t>四、提交投标文件截止时间、开标时间和地点</w:t>
      </w:r>
    </w:p>
    <w:p w14:paraId="10EE8833">
      <w:pPr>
        <w:spacing w:line="360" w:lineRule="auto"/>
        <w:ind w:firstLine="480" w:firstLineChars="200"/>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日09时30分00秒（北京时间）</w:t>
      </w:r>
    </w:p>
    <w:p w14:paraId="49095B9F">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提交投标文件地点：西安市南二环西段58号成长大厦10层会议室。</w:t>
      </w:r>
    </w:p>
    <w:p w14:paraId="44E2769B">
      <w:pPr>
        <w:spacing w:line="360" w:lineRule="auto"/>
        <w:ind w:firstLine="480" w:firstLineChars="200"/>
        <w:rPr>
          <w:rFonts w:ascii="宋体" w:hAnsi="宋体"/>
          <w:sz w:val="24"/>
          <w:szCs w:val="24"/>
          <w:highlight w:val="none"/>
        </w:rPr>
      </w:pPr>
      <w:r>
        <w:rPr>
          <w:rFonts w:hint="eastAsia" w:ascii="宋体" w:hAnsi="宋体"/>
          <w:sz w:val="24"/>
          <w:szCs w:val="24"/>
          <w:highlight w:val="none"/>
        </w:rPr>
        <w:t>开标地点：西安市南二环西段58号成长大厦10层会议室。</w:t>
      </w:r>
    </w:p>
    <w:p w14:paraId="5E9ACF5B">
      <w:pPr>
        <w:spacing w:line="360" w:lineRule="auto"/>
        <w:rPr>
          <w:rFonts w:ascii="宋体" w:hAnsi="宋体"/>
          <w:b/>
          <w:bCs/>
          <w:sz w:val="24"/>
          <w:szCs w:val="24"/>
          <w:highlight w:val="none"/>
        </w:rPr>
      </w:pPr>
      <w:r>
        <w:rPr>
          <w:rFonts w:hint="eastAsia" w:ascii="宋体" w:hAnsi="宋体"/>
          <w:b/>
          <w:bCs/>
          <w:sz w:val="24"/>
          <w:szCs w:val="24"/>
          <w:highlight w:val="none"/>
        </w:rPr>
        <w:t>五、公告期限</w:t>
      </w:r>
    </w:p>
    <w:p w14:paraId="733D8625">
      <w:pPr>
        <w:spacing w:line="360" w:lineRule="auto"/>
        <w:ind w:firstLine="480" w:firstLineChars="200"/>
        <w:rPr>
          <w:rFonts w:ascii="宋体" w:hAnsi="宋体"/>
          <w:sz w:val="24"/>
          <w:szCs w:val="24"/>
          <w:highlight w:val="none"/>
        </w:rPr>
      </w:pPr>
      <w:r>
        <w:rPr>
          <w:rFonts w:hint="eastAsia" w:ascii="宋体" w:hAnsi="宋体"/>
          <w:sz w:val="24"/>
          <w:szCs w:val="24"/>
          <w:highlight w:val="none"/>
        </w:rPr>
        <w:t>自本公告发布之日起5个工作日。</w:t>
      </w:r>
    </w:p>
    <w:p w14:paraId="072388E4">
      <w:pPr>
        <w:spacing w:line="360" w:lineRule="auto"/>
        <w:rPr>
          <w:rFonts w:ascii="宋体" w:hAnsi="宋体"/>
          <w:b/>
          <w:bCs/>
          <w:sz w:val="24"/>
          <w:szCs w:val="24"/>
          <w:highlight w:val="none"/>
        </w:rPr>
      </w:pPr>
      <w:r>
        <w:rPr>
          <w:rFonts w:hint="eastAsia" w:ascii="宋体" w:hAnsi="宋体"/>
          <w:b/>
          <w:bCs/>
          <w:sz w:val="24"/>
          <w:szCs w:val="24"/>
          <w:highlight w:val="none"/>
        </w:rPr>
        <w:t>六、其他补充事宜</w:t>
      </w:r>
    </w:p>
    <w:p w14:paraId="445E842F">
      <w:pPr>
        <w:spacing w:line="360" w:lineRule="auto"/>
        <w:ind w:firstLine="480" w:firstLineChars="200"/>
        <w:rPr>
          <w:rFonts w:ascii="宋体" w:hAnsi="宋体"/>
          <w:sz w:val="24"/>
          <w:szCs w:val="24"/>
          <w:highlight w:val="none"/>
        </w:rPr>
      </w:pPr>
      <w:r>
        <w:rPr>
          <w:rFonts w:hint="eastAsia" w:ascii="宋体" w:hAnsi="宋体"/>
          <w:sz w:val="24"/>
          <w:szCs w:val="24"/>
          <w:highlight w:val="none"/>
        </w:rPr>
        <w:t>1.获取招标文件请携带有效的单位介绍信、经办人身份证复印件并加盖单位鲜章（谢绝邮寄）。</w:t>
      </w:r>
    </w:p>
    <w:p w14:paraId="444DA4DC">
      <w:pPr>
        <w:spacing w:line="360" w:lineRule="auto"/>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cs="宋体"/>
          <w:sz w:val="24"/>
          <w:szCs w:val="24"/>
          <w:highlight w:val="none"/>
        </w:rPr>
        <w:t>本项目非专门面向中小企业采购。</w:t>
      </w:r>
    </w:p>
    <w:p w14:paraId="139FF832">
      <w:pPr>
        <w:spacing w:line="360" w:lineRule="auto"/>
        <w:ind w:firstLine="480" w:firstLineChars="200"/>
        <w:rPr>
          <w:rFonts w:ascii="宋体" w:hAnsi="宋体"/>
          <w:sz w:val="24"/>
          <w:szCs w:val="24"/>
          <w:highlight w:val="none"/>
        </w:rPr>
      </w:pPr>
      <w:r>
        <w:rPr>
          <w:rFonts w:hint="eastAsia" w:ascii="宋体" w:hAnsi="宋体"/>
          <w:sz w:val="24"/>
          <w:szCs w:val="24"/>
          <w:highlight w:val="none"/>
        </w:rPr>
        <w:t>3.本项目采购标的对应的中小企业划分标准所属行业为“工业”。</w:t>
      </w:r>
    </w:p>
    <w:p w14:paraId="13DC18FD">
      <w:pPr>
        <w:spacing w:line="360" w:lineRule="auto"/>
        <w:ind w:firstLine="480" w:firstLineChars="200"/>
        <w:rPr>
          <w:rFonts w:ascii="宋体" w:hAnsi="宋体"/>
          <w:sz w:val="24"/>
          <w:szCs w:val="24"/>
          <w:highlight w:val="none"/>
        </w:rPr>
      </w:pPr>
      <w:r>
        <w:rPr>
          <w:rFonts w:hint="eastAsia" w:ascii="宋体" w:hAnsi="宋体"/>
          <w:sz w:val="24"/>
          <w:szCs w:val="24"/>
          <w:highlight w:val="none"/>
        </w:rPr>
        <w:t>4.供应商须按照陕西省财政厅《关于政府采购供应商注册登记有关事项的通知》中的要求，通过陕西省政府采购网（http://www.ccgp-shaanxi.gov.cn/） 注册登记加入陕西省政府采购供应商库。</w:t>
      </w:r>
    </w:p>
    <w:p w14:paraId="37066369">
      <w:pPr>
        <w:spacing w:line="360" w:lineRule="auto"/>
        <w:ind w:firstLine="480" w:firstLineChars="200"/>
        <w:rPr>
          <w:rFonts w:ascii="宋体" w:hAnsi="宋体"/>
          <w:sz w:val="24"/>
          <w:szCs w:val="24"/>
          <w:highlight w:val="none"/>
        </w:rPr>
      </w:pPr>
      <w:r>
        <w:rPr>
          <w:rFonts w:hint="eastAsia" w:ascii="宋体" w:hAnsi="宋体"/>
          <w:sz w:val="24"/>
          <w:szCs w:val="24"/>
          <w:highlight w:val="none"/>
        </w:rPr>
        <w:t>5.本项目采购活动执行下列政府采购政策（具体办法详见招标文件）：</w:t>
      </w:r>
    </w:p>
    <w:p w14:paraId="58B323FA">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（1）《国务院办公厅关于建立政府强制采购节能产品制度的通知》（国办发〔2007〕51号）；</w:t>
      </w:r>
    </w:p>
    <w:p w14:paraId="30099375">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（2）《关于印发环境标志产品政府采购品目清单的通知》（财库〔2019〕18号）</w:t>
      </w:r>
    </w:p>
    <w:p w14:paraId="72CF820C">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（3）《关于印发节能产品政府采购品目清单的通知》（财库〔2019〕19号）</w:t>
      </w:r>
    </w:p>
    <w:p w14:paraId="5B5CB0D5">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（4）《财政部 司法部关于政府采购支持监狱企业发展有关问题的通知》（财库〔2014〕68号）；</w:t>
      </w:r>
    </w:p>
    <w:p w14:paraId="0EF8B8D8">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（5）《关于促进残疾人就业政府采购政策的通知》（财库〔2017〕141号）；</w:t>
      </w:r>
    </w:p>
    <w:p w14:paraId="3991E3D7">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（6）《关于调整优化节能产品、环境标志产品政府采购执行机制的通知》（财库〔2019〕9号）；</w:t>
      </w:r>
    </w:p>
    <w:p w14:paraId="14281367">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（7）《关于运用政府采购政策支持乡村产业振兴的通知》（财库〔2021〕19号）；</w:t>
      </w:r>
    </w:p>
    <w:p w14:paraId="3C45CC91">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（8）《政府采购促进中小企业发展管理办法》（财库〔2020〕46号）；</w:t>
      </w:r>
    </w:p>
    <w:p w14:paraId="7BD7FBF0">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（9）《陕西省财政厅关于印发&lt;陕西省中小企业政府采购信用融资办法&gt;的通知》（陕财办采〔2018〕23 号）；</w:t>
      </w:r>
    </w:p>
    <w:p w14:paraId="7C172188">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（10）陕西省财政厅《关于进一步加强政府绿色采购有关问题的通知》（陕财办采〔2021〕29号）；</w:t>
      </w:r>
    </w:p>
    <w:p w14:paraId="0F2E888F">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（11）《关于进一步加大政府采购支持中小企业力度的通知》（财库〔2022〕19号）；</w:t>
      </w:r>
    </w:p>
    <w:p w14:paraId="6AB5B655">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（12）《关于扩大政府采购支持绿色建材促进建筑品质提升政策实施范围的通知》（财库〔2022〕35号）;</w:t>
      </w:r>
    </w:p>
    <w:p w14:paraId="74B0958B">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（13）陕西省财政厅 中国人民银行西安分行关于深入推进政府采购信用融资业务通知(陕财办[2023]5号)；</w:t>
      </w:r>
    </w:p>
    <w:p w14:paraId="1B041C42">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（14）《国务院办公厅关于在政府采购中实施本国产品标准及相关政策的通知》（国办发〔2025〕34号）；</w:t>
      </w:r>
    </w:p>
    <w:p w14:paraId="1028D821">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（15）《关于推动解决政府采购异常低价问题的通知》(财库〔2026〕2号)；</w:t>
      </w:r>
    </w:p>
    <w:p w14:paraId="47FCB741">
      <w:pPr>
        <w:pStyle w:val="8"/>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（16）《陕西省财政厅关于规范政府采购项目评审主观分赋分有关事项的通知》（陕财办采函〔2026〕10 号）。</w:t>
      </w:r>
    </w:p>
    <w:p w14:paraId="4A3FEB7A">
      <w:pPr>
        <w:pStyle w:val="8"/>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（17）其他需执行的政府采购政策。</w:t>
      </w:r>
    </w:p>
    <w:p w14:paraId="69E4C62C">
      <w:pPr>
        <w:spacing w:line="360" w:lineRule="auto"/>
        <w:ind w:firstLine="480" w:firstLineChars="200"/>
        <w:rPr>
          <w:rFonts w:ascii="宋体" w:hAnsi="宋体"/>
          <w:sz w:val="24"/>
          <w:szCs w:val="24"/>
          <w:highlight w:val="none"/>
        </w:rPr>
      </w:pPr>
    </w:p>
    <w:p w14:paraId="672B9F42">
      <w:pPr>
        <w:spacing w:line="360" w:lineRule="auto"/>
        <w:rPr>
          <w:rFonts w:ascii="宋体" w:hAnsi="宋体"/>
          <w:b/>
          <w:bCs/>
          <w:sz w:val="24"/>
          <w:szCs w:val="24"/>
          <w:highlight w:val="none"/>
        </w:rPr>
      </w:pPr>
      <w:r>
        <w:rPr>
          <w:rFonts w:hint="eastAsia" w:ascii="宋体" w:hAnsi="宋体"/>
          <w:b/>
          <w:bCs/>
          <w:sz w:val="24"/>
          <w:szCs w:val="24"/>
          <w:highlight w:val="none"/>
        </w:rPr>
        <w:t>七、对本次招标提出询问，请按以下方式联系。</w:t>
      </w:r>
    </w:p>
    <w:p w14:paraId="2FA67223">
      <w:pPr>
        <w:spacing w:line="360" w:lineRule="auto"/>
        <w:ind w:firstLine="480" w:firstLineChars="200"/>
        <w:rPr>
          <w:rFonts w:ascii="宋体" w:hAnsi="宋体"/>
          <w:sz w:val="24"/>
          <w:szCs w:val="24"/>
          <w:highlight w:val="none"/>
        </w:rPr>
      </w:pPr>
      <w:r>
        <w:rPr>
          <w:rFonts w:hint="eastAsia" w:ascii="宋体" w:hAnsi="宋体"/>
          <w:sz w:val="24"/>
          <w:szCs w:val="24"/>
          <w:highlight w:val="none"/>
        </w:rPr>
        <w:t>1.采购人信息</w:t>
      </w:r>
    </w:p>
    <w:p w14:paraId="1034B85D">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名称：咸阳市中心血站</w:t>
      </w:r>
    </w:p>
    <w:p w14:paraId="3AC988D8">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地址：咸阳市世纪大道中段</w:t>
      </w:r>
    </w:p>
    <w:p w14:paraId="428462CA">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联系方式：029-33687626</w:t>
      </w:r>
    </w:p>
    <w:p w14:paraId="2061C21A">
      <w:pPr>
        <w:spacing w:line="360" w:lineRule="auto"/>
        <w:ind w:firstLine="480" w:firstLineChars="200"/>
        <w:rPr>
          <w:rFonts w:ascii="宋体" w:hAnsi="宋体"/>
          <w:sz w:val="24"/>
          <w:szCs w:val="24"/>
          <w:highlight w:val="none"/>
        </w:rPr>
      </w:pPr>
      <w:r>
        <w:rPr>
          <w:rFonts w:hint="eastAsia" w:ascii="宋体" w:hAnsi="宋体"/>
          <w:sz w:val="24"/>
          <w:szCs w:val="24"/>
          <w:highlight w:val="none"/>
        </w:rPr>
        <w:t>2.采购代理机构信息</w:t>
      </w:r>
    </w:p>
    <w:p w14:paraId="44242E3F">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名称：西北(陕西)国际招标有限公司</w:t>
      </w:r>
    </w:p>
    <w:p w14:paraId="01F22984">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地址：陕西省西安市雁塔区南二环西段58号成长大厦10-14层</w:t>
      </w:r>
    </w:p>
    <w:p w14:paraId="522674B5">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联系方式：029-85592868</w:t>
      </w:r>
    </w:p>
    <w:p w14:paraId="606A7A2A">
      <w:pPr>
        <w:spacing w:line="360" w:lineRule="auto"/>
        <w:ind w:firstLine="480" w:firstLineChars="200"/>
        <w:rPr>
          <w:rFonts w:ascii="宋体" w:hAnsi="宋体"/>
          <w:sz w:val="24"/>
          <w:szCs w:val="24"/>
          <w:highlight w:val="none"/>
        </w:rPr>
      </w:pPr>
      <w:r>
        <w:rPr>
          <w:rFonts w:hint="eastAsia" w:ascii="宋体" w:hAnsi="宋体"/>
          <w:sz w:val="24"/>
          <w:szCs w:val="24"/>
          <w:highlight w:val="none"/>
        </w:rPr>
        <w:t>3.项目联系方式</w:t>
      </w:r>
    </w:p>
    <w:p w14:paraId="4C7480A0">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项目联系人：杨凡、程佳、王炳淇、张勃</w:t>
      </w:r>
    </w:p>
    <w:p w14:paraId="0D1038BC">
      <w:pPr>
        <w:spacing w:line="360" w:lineRule="auto"/>
        <w:ind w:firstLine="480" w:firstLineChars="200"/>
        <w:rPr>
          <w:rFonts w:ascii="宋体" w:hAnsi="宋体"/>
          <w:sz w:val="24"/>
          <w:szCs w:val="24"/>
          <w:highlight w:val="none"/>
        </w:rPr>
      </w:pPr>
      <w:r>
        <w:rPr>
          <w:rFonts w:hint="eastAsia" w:ascii="宋体" w:hAnsi="宋体"/>
          <w:sz w:val="24"/>
          <w:szCs w:val="24"/>
          <w:highlight w:val="none"/>
        </w:rPr>
        <w:t>电话：029-85592868</w:t>
      </w:r>
    </w:p>
    <w:bookmarkEnd w:id="1"/>
    <w:p w14:paraId="49ECBCF7">
      <w:pPr>
        <w:jc w:val="center"/>
        <w:rPr>
          <w:rFonts w:ascii="宋体" w:hAnsi="宋体"/>
          <w:b/>
          <w:sz w:val="44"/>
          <w:highlight w:val="none"/>
        </w:rPr>
      </w:pPr>
    </w:p>
    <w:p w14:paraId="4AEF7E0F">
      <w:pPr>
        <w:jc w:val="center"/>
        <w:rPr>
          <w:rFonts w:ascii="宋体" w:hAnsi="宋体"/>
          <w:b/>
          <w:sz w:val="44"/>
          <w:highlight w:val="none"/>
        </w:rPr>
      </w:pPr>
    </w:p>
    <w:p w14:paraId="5CFA70C0">
      <w:pPr>
        <w:jc w:val="center"/>
        <w:rPr>
          <w:rFonts w:ascii="宋体" w:hAnsi="宋体"/>
          <w:b/>
          <w:sz w:val="44"/>
          <w:highlight w:val="none"/>
        </w:rPr>
      </w:pPr>
    </w:p>
    <w:p w14:paraId="5CCADD82">
      <w:pPr>
        <w:jc w:val="center"/>
        <w:rPr>
          <w:rFonts w:ascii="宋体" w:hAnsi="宋体"/>
          <w:b/>
          <w:sz w:val="44"/>
          <w:highlight w:val="none"/>
        </w:rPr>
      </w:pPr>
    </w:p>
    <w:p w14:paraId="0AC85B65">
      <w:pPr>
        <w:rPr>
          <w:rFonts w:ascii="宋体" w:hAnsi="宋体"/>
          <w:b/>
          <w:sz w:val="44"/>
          <w:highlight w:val="none"/>
        </w:rPr>
      </w:pPr>
      <w:r>
        <w:rPr>
          <w:rFonts w:hint="eastAsia" w:ascii="宋体" w:hAnsi="宋体"/>
          <w:b/>
          <w:sz w:val="44"/>
          <w:highlight w:val="none"/>
        </w:rPr>
        <w:br w:type="page"/>
      </w:r>
    </w:p>
    <w:p w14:paraId="160AD062">
      <w:pPr>
        <w:jc w:val="center"/>
        <w:outlineLvl w:val="0"/>
        <w:rPr>
          <w:rFonts w:ascii="宋体" w:hAnsi="宋体"/>
          <w:b/>
          <w:sz w:val="44"/>
          <w:highlight w:val="none"/>
        </w:rPr>
      </w:pPr>
      <w:bookmarkStart w:id="2" w:name="_Toc29835"/>
      <w:r>
        <w:rPr>
          <w:rFonts w:hint="eastAsia" w:ascii="宋体" w:hAnsi="宋体"/>
          <w:b/>
          <w:sz w:val="44"/>
          <w:highlight w:val="none"/>
        </w:rPr>
        <w:t>第二章 投标人须知及前附表</w:t>
      </w:r>
      <w:bookmarkEnd w:id="2"/>
    </w:p>
    <w:p w14:paraId="66263538">
      <w:pPr>
        <w:spacing w:line="360" w:lineRule="auto"/>
        <w:jc w:val="center"/>
        <w:rPr>
          <w:sz w:val="36"/>
          <w:szCs w:val="36"/>
          <w:highlight w:val="none"/>
        </w:rPr>
      </w:pPr>
      <w:r>
        <w:rPr>
          <w:rFonts w:hint="eastAsia"/>
          <w:sz w:val="36"/>
          <w:szCs w:val="36"/>
          <w:highlight w:val="none"/>
        </w:rPr>
        <w:t>投标人须知前附表</w:t>
      </w:r>
    </w:p>
    <w:p w14:paraId="6E1408D5">
      <w:pPr>
        <w:spacing w:line="360" w:lineRule="auto"/>
        <w:rPr>
          <w:b/>
          <w:sz w:val="24"/>
          <w:highlight w:val="none"/>
        </w:rPr>
      </w:pPr>
      <w:r>
        <w:rPr>
          <w:rFonts w:hint="eastAsia"/>
          <w:b/>
          <w:sz w:val="24"/>
          <w:highlight w:val="none"/>
        </w:rPr>
        <w:t>（本表是对投标人须知的提示、补充和修改，如有矛盾，应以本表为准。）</w:t>
      </w:r>
    </w:p>
    <w:tbl>
      <w:tblPr>
        <w:tblStyle w:val="22"/>
        <w:tblW w:w="9000" w:type="dxa"/>
        <w:tblInd w:w="28" w:type="dxa"/>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2067"/>
        <w:gridCol w:w="5940"/>
      </w:tblGrid>
      <w:tr w14:paraId="232A7CA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PrEx>
        <w:trPr>
          <w:trHeight w:val="666" w:hRule="atLeast"/>
          <w:tblHeader/>
        </w:trPr>
        <w:tc>
          <w:tcPr>
            <w:tcW w:w="993" w:type="dxa"/>
            <w:tcBorders>
              <w:top w:val="single" w:color="auto" w:sz="12" w:space="0"/>
            </w:tcBorders>
            <w:vAlign w:val="center"/>
          </w:tcPr>
          <w:p w14:paraId="37A7B985">
            <w:pPr>
              <w:spacing w:line="360" w:lineRule="auto"/>
              <w:jc w:val="center"/>
              <w:rPr>
                <w:rFonts w:ascii="宋体" w:hAnsi="宋体"/>
                <w:b/>
                <w:sz w:val="24"/>
                <w:szCs w:val="24"/>
                <w:highlight w:val="none"/>
              </w:rPr>
            </w:pPr>
            <w:r>
              <w:rPr>
                <w:rFonts w:hint="eastAsia" w:ascii="宋体" w:hAnsi="宋体"/>
                <w:b/>
                <w:sz w:val="24"/>
                <w:szCs w:val="24"/>
                <w:highlight w:val="none"/>
              </w:rPr>
              <w:t>条款号</w:t>
            </w:r>
          </w:p>
        </w:tc>
        <w:tc>
          <w:tcPr>
            <w:tcW w:w="2067" w:type="dxa"/>
            <w:tcBorders>
              <w:top w:val="single" w:color="auto" w:sz="12" w:space="0"/>
            </w:tcBorders>
            <w:vAlign w:val="center"/>
          </w:tcPr>
          <w:p w14:paraId="3CBE7753">
            <w:pPr>
              <w:spacing w:line="360" w:lineRule="auto"/>
              <w:jc w:val="center"/>
              <w:rPr>
                <w:rFonts w:ascii="宋体" w:hAnsi="宋体"/>
                <w:b/>
                <w:sz w:val="24"/>
                <w:szCs w:val="24"/>
                <w:highlight w:val="none"/>
              </w:rPr>
            </w:pPr>
            <w:r>
              <w:rPr>
                <w:rFonts w:hint="eastAsia" w:ascii="宋体" w:hAnsi="宋体"/>
                <w:b/>
                <w:sz w:val="24"/>
                <w:szCs w:val="24"/>
                <w:highlight w:val="none"/>
              </w:rPr>
              <w:t>条款内容提示</w:t>
            </w:r>
          </w:p>
        </w:tc>
        <w:tc>
          <w:tcPr>
            <w:tcW w:w="5940" w:type="dxa"/>
            <w:tcBorders>
              <w:top w:val="single" w:color="auto" w:sz="12" w:space="0"/>
            </w:tcBorders>
            <w:vAlign w:val="center"/>
          </w:tcPr>
          <w:p w14:paraId="7942E5E4">
            <w:pPr>
              <w:spacing w:line="360" w:lineRule="auto"/>
              <w:jc w:val="center"/>
              <w:rPr>
                <w:rFonts w:ascii="宋体" w:hAnsi="宋体"/>
                <w:b/>
                <w:sz w:val="24"/>
                <w:szCs w:val="24"/>
                <w:highlight w:val="none"/>
              </w:rPr>
            </w:pPr>
            <w:r>
              <w:rPr>
                <w:rFonts w:hint="eastAsia" w:ascii="宋体" w:hAnsi="宋体"/>
                <w:b/>
                <w:sz w:val="24"/>
                <w:szCs w:val="24"/>
                <w:highlight w:val="none"/>
              </w:rPr>
              <w:t>编</w:t>
            </w:r>
            <w:r>
              <w:rPr>
                <w:rFonts w:ascii="宋体" w:hAnsi="宋体"/>
                <w:b/>
                <w:sz w:val="24"/>
                <w:szCs w:val="24"/>
                <w:highlight w:val="none"/>
              </w:rPr>
              <w:t xml:space="preserve"> </w:t>
            </w:r>
            <w:r>
              <w:rPr>
                <w:rFonts w:hint="eastAsia" w:ascii="宋体" w:hAnsi="宋体"/>
                <w:b/>
                <w:sz w:val="24"/>
                <w:szCs w:val="24"/>
                <w:highlight w:val="none"/>
              </w:rPr>
              <w:t>列</w:t>
            </w:r>
            <w:r>
              <w:rPr>
                <w:rFonts w:ascii="宋体" w:hAnsi="宋体"/>
                <w:b/>
                <w:sz w:val="24"/>
                <w:szCs w:val="24"/>
                <w:highlight w:val="none"/>
              </w:rPr>
              <w:t xml:space="preserve"> </w:t>
            </w:r>
            <w:r>
              <w:rPr>
                <w:rFonts w:hint="eastAsia" w:ascii="宋体" w:hAnsi="宋体"/>
                <w:b/>
                <w:sz w:val="24"/>
                <w:szCs w:val="24"/>
                <w:highlight w:val="none"/>
              </w:rPr>
              <w:t>内</w:t>
            </w:r>
            <w:r>
              <w:rPr>
                <w:rFonts w:ascii="宋体" w:hAnsi="宋体"/>
                <w:b/>
                <w:sz w:val="24"/>
                <w:szCs w:val="24"/>
                <w:highlight w:val="none"/>
              </w:rPr>
              <w:t xml:space="preserve"> </w:t>
            </w:r>
            <w:r>
              <w:rPr>
                <w:rFonts w:hint="eastAsia" w:ascii="宋体" w:hAnsi="宋体"/>
                <w:b/>
                <w:sz w:val="24"/>
                <w:szCs w:val="24"/>
                <w:highlight w:val="none"/>
              </w:rPr>
              <w:t>容</w:t>
            </w:r>
          </w:p>
        </w:tc>
      </w:tr>
      <w:tr w14:paraId="362DCC9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3" w:hRule="atLeast"/>
        </w:trPr>
        <w:tc>
          <w:tcPr>
            <w:tcW w:w="993" w:type="dxa"/>
            <w:vAlign w:val="center"/>
          </w:tcPr>
          <w:p w14:paraId="300D60F8">
            <w:pPr>
              <w:spacing w:line="360" w:lineRule="auto"/>
              <w:jc w:val="center"/>
              <w:rPr>
                <w:rFonts w:ascii="宋体" w:hAnsi="宋体"/>
                <w:sz w:val="24"/>
                <w:szCs w:val="24"/>
                <w:highlight w:val="none"/>
              </w:rPr>
            </w:pPr>
            <w:r>
              <w:rPr>
                <w:rFonts w:hint="eastAsia" w:ascii="宋体" w:hAnsi="宋体"/>
                <w:sz w:val="24"/>
                <w:szCs w:val="24"/>
                <w:highlight w:val="none"/>
              </w:rPr>
              <w:t>1.1</w:t>
            </w:r>
          </w:p>
        </w:tc>
        <w:tc>
          <w:tcPr>
            <w:tcW w:w="2067" w:type="dxa"/>
            <w:vAlign w:val="center"/>
          </w:tcPr>
          <w:p w14:paraId="5F83B8A4">
            <w:pPr>
              <w:spacing w:line="360" w:lineRule="auto"/>
              <w:rPr>
                <w:rFonts w:ascii="宋体" w:hAnsi="宋体"/>
                <w:sz w:val="24"/>
                <w:szCs w:val="24"/>
                <w:highlight w:val="none"/>
              </w:rPr>
            </w:pPr>
            <w:r>
              <w:rPr>
                <w:rFonts w:hint="eastAsia" w:ascii="宋体" w:hAnsi="宋体" w:cs="宋体"/>
                <w:sz w:val="24"/>
                <w:szCs w:val="24"/>
                <w:highlight w:val="none"/>
              </w:rPr>
              <w:t>采购人</w:t>
            </w:r>
          </w:p>
        </w:tc>
        <w:tc>
          <w:tcPr>
            <w:tcW w:w="5940" w:type="dxa"/>
            <w:vAlign w:val="center"/>
          </w:tcPr>
          <w:p w14:paraId="25A469E5">
            <w:pPr>
              <w:spacing w:line="360" w:lineRule="auto"/>
              <w:rPr>
                <w:rFonts w:ascii="宋体" w:hAnsi="宋体" w:cs="宋体"/>
                <w:sz w:val="24"/>
                <w:szCs w:val="24"/>
                <w:highlight w:val="none"/>
              </w:rPr>
            </w:pPr>
            <w:r>
              <w:rPr>
                <w:rFonts w:hint="eastAsia" w:ascii="宋体" w:hAnsi="宋体" w:cs="宋体"/>
                <w:sz w:val="24"/>
                <w:szCs w:val="24"/>
                <w:highlight w:val="none"/>
              </w:rPr>
              <w:t>名称：咸阳市中心血站</w:t>
            </w:r>
          </w:p>
          <w:p w14:paraId="72FFE038">
            <w:pPr>
              <w:spacing w:line="360" w:lineRule="auto"/>
              <w:rPr>
                <w:rFonts w:ascii="宋体" w:hAnsi="宋体"/>
                <w:sz w:val="24"/>
                <w:szCs w:val="24"/>
                <w:highlight w:val="none"/>
              </w:rPr>
            </w:pPr>
            <w:r>
              <w:rPr>
                <w:rFonts w:hint="eastAsia" w:ascii="宋体" w:hAnsi="宋体" w:cs="宋体"/>
                <w:sz w:val="24"/>
                <w:szCs w:val="24"/>
                <w:highlight w:val="none"/>
              </w:rPr>
              <w:t>地址：咸阳市世纪大道中段</w:t>
            </w:r>
          </w:p>
        </w:tc>
      </w:tr>
      <w:tr w14:paraId="19791FC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2F1942E3">
            <w:pPr>
              <w:spacing w:line="360" w:lineRule="auto"/>
              <w:jc w:val="center"/>
              <w:rPr>
                <w:rFonts w:ascii="宋体" w:hAnsi="宋体"/>
                <w:sz w:val="24"/>
                <w:szCs w:val="24"/>
                <w:highlight w:val="none"/>
              </w:rPr>
            </w:pPr>
            <w:r>
              <w:rPr>
                <w:rFonts w:hint="eastAsia" w:ascii="宋体" w:hAnsi="宋体"/>
                <w:sz w:val="24"/>
                <w:szCs w:val="24"/>
                <w:highlight w:val="none"/>
              </w:rPr>
              <w:t>1.2</w:t>
            </w:r>
          </w:p>
        </w:tc>
        <w:tc>
          <w:tcPr>
            <w:tcW w:w="2067" w:type="dxa"/>
            <w:vAlign w:val="center"/>
          </w:tcPr>
          <w:p w14:paraId="7BFD04B3">
            <w:pPr>
              <w:spacing w:line="360" w:lineRule="auto"/>
              <w:rPr>
                <w:rFonts w:ascii="宋体" w:hAnsi="宋体"/>
                <w:sz w:val="24"/>
                <w:szCs w:val="24"/>
                <w:highlight w:val="none"/>
              </w:rPr>
            </w:pPr>
            <w:r>
              <w:rPr>
                <w:rFonts w:hint="eastAsia" w:ascii="宋体" w:hAnsi="宋体"/>
                <w:sz w:val="24"/>
                <w:szCs w:val="24"/>
                <w:highlight w:val="none"/>
              </w:rPr>
              <w:t>采购代理机构</w:t>
            </w:r>
          </w:p>
        </w:tc>
        <w:tc>
          <w:tcPr>
            <w:tcW w:w="5940" w:type="dxa"/>
            <w:vAlign w:val="center"/>
          </w:tcPr>
          <w:p w14:paraId="0B2D5805">
            <w:pPr>
              <w:spacing w:line="360" w:lineRule="auto"/>
              <w:rPr>
                <w:rFonts w:ascii="宋体" w:hAnsi="宋体"/>
                <w:sz w:val="24"/>
                <w:szCs w:val="24"/>
                <w:highlight w:val="none"/>
              </w:rPr>
            </w:pPr>
            <w:r>
              <w:rPr>
                <w:rFonts w:hint="eastAsia" w:ascii="宋体" w:hAnsi="宋体"/>
                <w:sz w:val="24"/>
                <w:szCs w:val="24"/>
                <w:highlight w:val="none"/>
              </w:rPr>
              <w:t>名称：西北（陕西）国际招标有限公司</w:t>
            </w:r>
          </w:p>
          <w:p w14:paraId="25596335">
            <w:pPr>
              <w:spacing w:line="360" w:lineRule="auto"/>
              <w:rPr>
                <w:rFonts w:ascii="宋体" w:hAnsi="宋体" w:cs="宋体"/>
                <w:sz w:val="24"/>
                <w:szCs w:val="24"/>
                <w:highlight w:val="none"/>
              </w:rPr>
            </w:pPr>
            <w:r>
              <w:rPr>
                <w:rFonts w:hint="eastAsia" w:ascii="宋体" w:hAnsi="宋体"/>
                <w:sz w:val="24"/>
                <w:szCs w:val="24"/>
                <w:highlight w:val="none"/>
              </w:rPr>
              <w:t>地址：陕西省西安市雁塔区南二环西段58号成长大厦10～1</w:t>
            </w:r>
            <w:r>
              <w:rPr>
                <w:rFonts w:hint="eastAsia" w:ascii="宋体" w:hAnsi="宋体" w:cs="宋体"/>
                <w:sz w:val="24"/>
                <w:szCs w:val="24"/>
                <w:highlight w:val="none"/>
              </w:rPr>
              <w:t>4层</w:t>
            </w:r>
          </w:p>
          <w:p w14:paraId="5EEBC3D7">
            <w:pPr>
              <w:spacing w:line="360" w:lineRule="auto"/>
              <w:rPr>
                <w:rFonts w:ascii="宋体" w:hAnsi="宋体" w:cs="宋体"/>
                <w:sz w:val="24"/>
                <w:szCs w:val="24"/>
                <w:highlight w:val="none"/>
              </w:rPr>
            </w:pPr>
            <w:r>
              <w:rPr>
                <w:rFonts w:hint="eastAsia" w:ascii="宋体" w:hAnsi="宋体" w:cs="宋体"/>
                <w:sz w:val="24"/>
                <w:szCs w:val="24"/>
                <w:highlight w:val="none"/>
              </w:rPr>
              <w:t>邮编：710075</w:t>
            </w:r>
          </w:p>
          <w:p w14:paraId="3E559A7F">
            <w:pPr>
              <w:spacing w:line="360" w:lineRule="auto"/>
              <w:rPr>
                <w:rFonts w:ascii="宋体" w:hAnsi="宋体" w:cs="宋体"/>
                <w:sz w:val="24"/>
                <w:szCs w:val="24"/>
                <w:highlight w:val="none"/>
              </w:rPr>
            </w:pPr>
            <w:r>
              <w:rPr>
                <w:rFonts w:hint="eastAsia" w:ascii="宋体" w:hAnsi="宋体" w:cs="宋体"/>
                <w:sz w:val="24"/>
                <w:szCs w:val="24"/>
                <w:highlight w:val="none"/>
              </w:rPr>
              <w:t>执行部门：设备二处</w:t>
            </w:r>
          </w:p>
          <w:p w14:paraId="554CC176">
            <w:pPr>
              <w:pStyle w:val="8"/>
              <w:rPr>
                <w:rFonts w:ascii="宋体" w:hAnsi="宋体" w:cs="宋体"/>
                <w:highlight w:val="none"/>
              </w:rPr>
            </w:pPr>
            <w:r>
              <w:rPr>
                <w:rFonts w:hint="eastAsia" w:ascii="宋体" w:hAnsi="宋体" w:cs="宋体"/>
                <w:szCs w:val="24"/>
                <w:highlight w:val="none"/>
              </w:rPr>
              <w:t>项目负责人：杨凡</w:t>
            </w:r>
          </w:p>
          <w:p w14:paraId="3484EC37">
            <w:pPr>
              <w:spacing w:line="360" w:lineRule="auto"/>
              <w:rPr>
                <w:rFonts w:ascii="宋体" w:hAnsi="宋体"/>
                <w:sz w:val="24"/>
                <w:szCs w:val="24"/>
                <w:highlight w:val="none"/>
              </w:rPr>
            </w:pPr>
            <w:r>
              <w:rPr>
                <w:rFonts w:hint="eastAsia" w:ascii="宋体" w:hAnsi="宋体"/>
                <w:sz w:val="24"/>
                <w:szCs w:val="24"/>
                <w:highlight w:val="none"/>
              </w:rPr>
              <w:t>电话：029-</w:t>
            </w:r>
            <w:r>
              <w:rPr>
                <w:rFonts w:hint="eastAsia" w:ascii="宋体" w:hAnsi="宋体" w:cs="宋体"/>
                <w:kern w:val="0"/>
                <w:sz w:val="24"/>
                <w:szCs w:val="24"/>
                <w:highlight w:val="none"/>
              </w:rPr>
              <w:t>85592868</w:t>
            </w:r>
          </w:p>
        </w:tc>
      </w:tr>
      <w:tr w14:paraId="631F53C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restart"/>
            <w:vAlign w:val="center"/>
          </w:tcPr>
          <w:p w14:paraId="2144F32F">
            <w:pPr>
              <w:spacing w:line="360" w:lineRule="auto"/>
              <w:jc w:val="center"/>
              <w:rPr>
                <w:rFonts w:ascii="宋体" w:hAnsi="宋体"/>
                <w:sz w:val="24"/>
                <w:szCs w:val="24"/>
                <w:highlight w:val="none"/>
              </w:rPr>
            </w:pPr>
            <w:r>
              <w:rPr>
                <w:rFonts w:hint="eastAsia" w:ascii="宋体" w:hAnsi="宋体"/>
                <w:b/>
                <w:bCs/>
                <w:sz w:val="24"/>
                <w:szCs w:val="24"/>
                <w:highlight w:val="none"/>
              </w:rPr>
              <w:t>*</w:t>
            </w:r>
            <w:r>
              <w:rPr>
                <w:rFonts w:hint="eastAsia" w:ascii="宋体" w:hAnsi="宋体"/>
                <w:sz w:val="24"/>
                <w:szCs w:val="24"/>
                <w:highlight w:val="none"/>
              </w:rPr>
              <w:t>2.1</w:t>
            </w:r>
          </w:p>
        </w:tc>
        <w:tc>
          <w:tcPr>
            <w:tcW w:w="2067" w:type="dxa"/>
            <w:vAlign w:val="center"/>
          </w:tcPr>
          <w:p w14:paraId="66AE6385">
            <w:pPr>
              <w:spacing w:line="360" w:lineRule="auto"/>
              <w:jc w:val="left"/>
              <w:rPr>
                <w:rFonts w:ascii="宋体" w:hAnsi="宋体"/>
                <w:sz w:val="24"/>
                <w:szCs w:val="24"/>
                <w:highlight w:val="none"/>
              </w:rPr>
            </w:pPr>
            <w:r>
              <w:rPr>
                <w:rFonts w:ascii="宋体" w:hAnsi="宋体"/>
                <w:sz w:val="24"/>
                <w:szCs w:val="24"/>
                <w:highlight w:val="none"/>
              </w:rPr>
              <w:t>中华人民共和国法律、行政法规规定的</w:t>
            </w:r>
            <w:r>
              <w:rPr>
                <w:rFonts w:hint="eastAsia" w:ascii="宋体" w:hAnsi="宋体"/>
                <w:sz w:val="24"/>
                <w:szCs w:val="24"/>
                <w:highlight w:val="none"/>
              </w:rPr>
              <w:t>其它</w:t>
            </w:r>
            <w:r>
              <w:rPr>
                <w:rFonts w:ascii="宋体" w:hAnsi="宋体"/>
                <w:sz w:val="24"/>
                <w:szCs w:val="24"/>
                <w:highlight w:val="none"/>
              </w:rPr>
              <w:t>条件；</w:t>
            </w:r>
          </w:p>
        </w:tc>
        <w:tc>
          <w:tcPr>
            <w:tcW w:w="5940" w:type="dxa"/>
            <w:vAlign w:val="center"/>
          </w:tcPr>
          <w:p w14:paraId="786FBC77">
            <w:pPr>
              <w:spacing w:line="360" w:lineRule="auto"/>
              <w:rPr>
                <w:rFonts w:ascii="宋体" w:hAnsi="宋体"/>
                <w:sz w:val="24"/>
                <w:szCs w:val="24"/>
                <w:highlight w:val="none"/>
              </w:rPr>
            </w:pPr>
            <w:r>
              <w:rPr>
                <w:rFonts w:hint="eastAsia" w:ascii="宋体" w:hAnsi="宋体" w:cs="宋体"/>
                <w:sz w:val="24"/>
                <w:szCs w:val="24"/>
                <w:highlight w:val="none"/>
              </w:rPr>
              <w:t>6）无</w:t>
            </w:r>
          </w:p>
        </w:tc>
      </w:tr>
      <w:tr w14:paraId="0E17807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continue"/>
            <w:vAlign w:val="center"/>
          </w:tcPr>
          <w:p w14:paraId="3E044A26">
            <w:pPr>
              <w:spacing w:line="360" w:lineRule="auto"/>
              <w:jc w:val="center"/>
              <w:rPr>
                <w:rFonts w:ascii="宋体" w:hAnsi="宋体"/>
                <w:sz w:val="24"/>
                <w:szCs w:val="24"/>
                <w:highlight w:val="none"/>
              </w:rPr>
            </w:pPr>
          </w:p>
        </w:tc>
        <w:tc>
          <w:tcPr>
            <w:tcW w:w="2067" w:type="dxa"/>
            <w:vAlign w:val="center"/>
          </w:tcPr>
          <w:p w14:paraId="6B68E466">
            <w:pPr>
              <w:spacing w:line="360" w:lineRule="auto"/>
              <w:rPr>
                <w:rFonts w:ascii="宋体" w:hAnsi="宋体"/>
                <w:sz w:val="24"/>
                <w:szCs w:val="24"/>
                <w:highlight w:val="none"/>
              </w:rPr>
            </w:pPr>
            <w:r>
              <w:rPr>
                <w:rFonts w:hint="eastAsia" w:ascii="宋体" w:hAnsi="宋体"/>
                <w:kern w:val="0"/>
                <w:sz w:val="24"/>
                <w:szCs w:val="24"/>
                <w:highlight w:val="none"/>
              </w:rPr>
              <w:t>落实政府采购政策需满足的资格要求</w:t>
            </w:r>
          </w:p>
        </w:tc>
        <w:tc>
          <w:tcPr>
            <w:tcW w:w="5940" w:type="dxa"/>
            <w:vAlign w:val="center"/>
          </w:tcPr>
          <w:p w14:paraId="33B93F33">
            <w:pPr>
              <w:spacing w:line="360" w:lineRule="auto"/>
              <w:rPr>
                <w:rFonts w:ascii="宋体" w:hAnsi="宋体"/>
                <w:sz w:val="24"/>
                <w:szCs w:val="24"/>
                <w:highlight w:val="none"/>
              </w:rPr>
            </w:pPr>
            <w:r>
              <w:rPr>
                <w:rFonts w:hint="eastAsia" w:ascii="宋体" w:hAnsi="宋体"/>
                <w:sz w:val="24"/>
                <w:szCs w:val="24"/>
                <w:highlight w:val="none"/>
              </w:rPr>
              <w:t>7）无</w:t>
            </w:r>
          </w:p>
        </w:tc>
      </w:tr>
      <w:tr w14:paraId="403D213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Merge w:val="continue"/>
            <w:vAlign w:val="center"/>
          </w:tcPr>
          <w:p w14:paraId="257610D2">
            <w:pPr>
              <w:spacing w:line="360" w:lineRule="auto"/>
              <w:jc w:val="center"/>
              <w:rPr>
                <w:rFonts w:ascii="宋体" w:hAnsi="宋体"/>
                <w:sz w:val="24"/>
                <w:szCs w:val="24"/>
                <w:highlight w:val="none"/>
              </w:rPr>
            </w:pPr>
          </w:p>
        </w:tc>
        <w:tc>
          <w:tcPr>
            <w:tcW w:w="2067" w:type="dxa"/>
            <w:vAlign w:val="center"/>
          </w:tcPr>
          <w:p w14:paraId="7EA80EFF">
            <w:pPr>
              <w:spacing w:line="360" w:lineRule="auto"/>
              <w:rPr>
                <w:rFonts w:ascii="宋体" w:hAnsi="宋体"/>
                <w:sz w:val="24"/>
                <w:szCs w:val="24"/>
                <w:highlight w:val="none"/>
              </w:rPr>
            </w:pPr>
            <w:r>
              <w:rPr>
                <w:rFonts w:hint="eastAsia" w:ascii="宋体" w:hAnsi="宋体"/>
                <w:sz w:val="24"/>
                <w:szCs w:val="24"/>
                <w:highlight w:val="none"/>
              </w:rPr>
              <w:t>本项目特定条件</w:t>
            </w:r>
          </w:p>
        </w:tc>
        <w:tc>
          <w:tcPr>
            <w:tcW w:w="5940" w:type="dxa"/>
            <w:vAlign w:val="center"/>
          </w:tcPr>
          <w:p w14:paraId="40000239">
            <w:pPr>
              <w:pStyle w:val="20"/>
              <w:spacing w:before="0" w:beforeAutospacing="0" w:after="0" w:afterAutospacing="0" w:line="360" w:lineRule="auto"/>
              <w:jc w:val="both"/>
              <w:textAlignment w:val="baseline"/>
              <w:rPr>
                <w:highlight w:val="none"/>
              </w:rPr>
            </w:pPr>
            <w:r>
              <w:rPr>
                <w:rFonts w:hint="eastAsia"/>
                <w:highlight w:val="none"/>
                <w:shd w:val="clear" w:color="auto" w:fill="FFFFFF"/>
              </w:rPr>
              <w:t>合同包7(去白血袋四联装（取样装置）)特定资格要求如下:</w:t>
            </w:r>
          </w:p>
          <w:p w14:paraId="69D520D1">
            <w:pPr>
              <w:pStyle w:val="20"/>
              <w:spacing w:before="0" w:beforeAutospacing="0" w:after="0" w:afterAutospacing="0" w:line="360" w:lineRule="auto"/>
              <w:jc w:val="both"/>
              <w:textAlignment w:val="baseline"/>
              <w:rPr>
                <w:highlight w:val="none"/>
                <w:shd w:val="clear" w:color="auto" w:fill="FFFFFF"/>
              </w:rPr>
            </w:pPr>
            <w:r>
              <w:rPr>
                <w:rFonts w:hint="eastAsia"/>
                <w:highlight w:val="none"/>
                <w:shd w:val="clear" w:color="auto" w:fill="FFFFFF"/>
              </w:rPr>
              <w:t>（1）</w:t>
            </w:r>
            <w:r>
              <w:rPr>
                <w:rFonts w:hint="eastAsia"/>
                <w:color w:val="000000"/>
                <w:highlight w:val="none"/>
                <w:shd w:val="clear" w:color="auto" w:fill="FFFFFF"/>
              </w:rPr>
              <w:t>纳入医疗器械管理的，投标人须具有与本次招标货物相符的医疗器械经营资质；</w:t>
            </w:r>
          </w:p>
          <w:p w14:paraId="12C3DBEB">
            <w:pPr>
              <w:pStyle w:val="20"/>
              <w:spacing w:before="0" w:beforeAutospacing="0" w:after="0" w:afterAutospacing="0" w:line="360" w:lineRule="auto"/>
              <w:jc w:val="both"/>
              <w:textAlignment w:val="baseline"/>
              <w:rPr>
                <w:rFonts w:hint="eastAsia"/>
                <w:highlight w:val="none"/>
                <w:shd w:val="clear" w:color="auto" w:fill="FFFFFF"/>
                <w:lang w:eastAsia="zh-CN"/>
              </w:rPr>
            </w:pPr>
            <w:r>
              <w:rPr>
                <w:rFonts w:hint="eastAsia"/>
                <w:highlight w:val="none"/>
                <w:shd w:val="clear" w:color="auto" w:fill="FFFFFF"/>
              </w:rPr>
              <w:t>（2）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6A5E8CA4">
            <w:pPr>
              <w:pStyle w:val="20"/>
              <w:spacing w:before="0" w:beforeAutospacing="0" w:after="0" w:afterAutospacing="0" w:line="360" w:lineRule="auto"/>
              <w:jc w:val="both"/>
              <w:textAlignment w:val="baseline"/>
              <w:rPr>
                <w:highlight w:val="none"/>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tc>
      </w:tr>
      <w:tr w14:paraId="07C6D7E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Align w:val="center"/>
          </w:tcPr>
          <w:p w14:paraId="18EF12BD">
            <w:pPr>
              <w:spacing w:line="360" w:lineRule="auto"/>
              <w:jc w:val="center"/>
              <w:rPr>
                <w:rFonts w:ascii="宋体" w:hAnsi="宋体"/>
                <w:sz w:val="24"/>
                <w:szCs w:val="24"/>
                <w:highlight w:val="none"/>
              </w:rPr>
            </w:pPr>
            <w:r>
              <w:rPr>
                <w:rFonts w:hint="eastAsia" w:ascii="宋体" w:hAnsi="宋体"/>
                <w:sz w:val="24"/>
                <w:szCs w:val="24"/>
                <w:highlight w:val="none"/>
              </w:rPr>
              <w:t>2.5</w:t>
            </w:r>
          </w:p>
        </w:tc>
        <w:tc>
          <w:tcPr>
            <w:tcW w:w="2067" w:type="dxa"/>
            <w:vAlign w:val="center"/>
          </w:tcPr>
          <w:p w14:paraId="4A35B2BD">
            <w:pPr>
              <w:spacing w:line="360" w:lineRule="auto"/>
              <w:rPr>
                <w:rFonts w:ascii="宋体" w:hAnsi="宋体"/>
                <w:kern w:val="0"/>
                <w:sz w:val="24"/>
                <w:szCs w:val="24"/>
                <w:highlight w:val="none"/>
              </w:rPr>
            </w:pPr>
            <w:r>
              <w:rPr>
                <w:rFonts w:hint="eastAsia" w:ascii="宋体" w:hAnsi="宋体"/>
                <w:kern w:val="0"/>
                <w:sz w:val="24"/>
                <w:szCs w:val="24"/>
                <w:highlight w:val="none"/>
              </w:rPr>
              <w:t>是否接受联合体</w:t>
            </w:r>
          </w:p>
        </w:tc>
        <w:tc>
          <w:tcPr>
            <w:tcW w:w="5940" w:type="dxa"/>
            <w:vAlign w:val="center"/>
          </w:tcPr>
          <w:p w14:paraId="5578AD7E">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p w14:paraId="35A9AC2E">
            <w:pPr>
              <w:spacing w:line="360" w:lineRule="auto"/>
              <w:rPr>
                <w:rFonts w:ascii="宋体" w:hAnsi="宋体"/>
                <w:sz w:val="24"/>
                <w:szCs w:val="24"/>
                <w:highlight w:val="none"/>
              </w:rPr>
            </w:pPr>
            <w:r>
              <w:rPr>
                <w:rFonts w:hint="eastAsia" w:ascii="宋体" w:hAnsi="宋体"/>
                <w:sz w:val="24"/>
                <w:szCs w:val="24"/>
                <w:highlight w:val="none"/>
              </w:rPr>
              <w:t>如以联合体投标的，联合体各方均应当具备本招标文件要求的资格条件和能力。</w:t>
            </w:r>
          </w:p>
          <w:p w14:paraId="7AB923BC">
            <w:pPr>
              <w:spacing w:line="360" w:lineRule="auto"/>
              <w:rPr>
                <w:rFonts w:ascii="宋体" w:hAnsi="宋体"/>
                <w:sz w:val="24"/>
                <w:szCs w:val="24"/>
                <w:highlight w:val="none"/>
              </w:rPr>
            </w:pPr>
            <w:r>
              <w:rPr>
                <w:rFonts w:hint="eastAsia" w:ascii="宋体" w:hAnsi="宋体"/>
                <w:sz w:val="24"/>
                <w:szCs w:val="24"/>
                <w:highlight w:val="none"/>
              </w:rPr>
              <w:t>（1）联合体各方均应具有承担本项目必备的条件，如相应的人力、物力、资金等。</w:t>
            </w:r>
          </w:p>
          <w:p w14:paraId="26EC2DC3">
            <w:pPr>
              <w:spacing w:line="360" w:lineRule="auto"/>
              <w:rPr>
                <w:rFonts w:ascii="宋体" w:hAnsi="宋体"/>
                <w:sz w:val="24"/>
                <w:szCs w:val="24"/>
                <w:highlight w:val="none"/>
              </w:rPr>
            </w:pPr>
            <w:r>
              <w:rPr>
                <w:rFonts w:hint="eastAsia" w:ascii="宋体" w:hAnsi="宋体"/>
                <w:sz w:val="24"/>
                <w:szCs w:val="24"/>
                <w:highlight w:val="none"/>
              </w:rPr>
              <w:t>（2）招标文件对投标人资格条件有特殊要求的，联合体各个成员都应当具备规定的相应资格条件。</w:t>
            </w:r>
          </w:p>
          <w:p w14:paraId="1358BE0B">
            <w:pPr>
              <w:pStyle w:val="8"/>
              <w:rPr>
                <w:highlight w:val="none"/>
              </w:rPr>
            </w:pPr>
            <w:r>
              <w:rPr>
                <w:rFonts w:hint="eastAsia" w:ascii="宋体" w:hAnsi="宋体"/>
                <w:szCs w:val="24"/>
                <w:highlight w:val="none"/>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02C56AE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trPr>
        <w:tc>
          <w:tcPr>
            <w:tcW w:w="993" w:type="dxa"/>
            <w:vAlign w:val="center"/>
          </w:tcPr>
          <w:p w14:paraId="38AF9184">
            <w:pPr>
              <w:spacing w:line="360" w:lineRule="auto"/>
              <w:jc w:val="center"/>
              <w:rPr>
                <w:rFonts w:ascii="宋体" w:hAnsi="宋体"/>
                <w:sz w:val="24"/>
                <w:szCs w:val="24"/>
                <w:highlight w:val="none"/>
              </w:rPr>
            </w:pPr>
            <w:r>
              <w:rPr>
                <w:rFonts w:hint="eastAsia" w:ascii="宋体" w:hAnsi="宋体"/>
                <w:sz w:val="24"/>
                <w:szCs w:val="24"/>
                <w:highlight w:val="none"/>
              </w:rPr>
              <w:t>*2.8</w:t>
            </w:r>
          </w:p>
        </w:tc>
        <w:tc>
          <w:tcPr>
            <w:tcW w:w="2067" w:type="dxa"/>
            <w:vAlign w:val="center"/>
          </w:tcPr>
          <w:p w14:paraId="1EF3FC5C">
            <w:pPr>
              <w:spacing w:line="360" w:lineRule="auto"/>
              <w:rPr>
                <w:rFonts w:ascii="宋体" w:hAnsi="宋体"/>
                <w:sz w:val="24"/>
                <w:szCs w:val="24"/>
                <w:highlight w:val="none"/>
              </w:rPr>
            </w:pPr>
            <w:r>
              <w:rPr>
                <w:rFonts w:hint="eastAsia" w:ascii="宋体" w:hAnsi="宋体"/>
                <w:sz w:val="24"/>
                <w:szCs w:val="24"/>
                <w:highlight w:val="none"/>
              </w:rPr>
              <w:t>投标人信用信息</w:t>
            </w:r>
          </w:p>
          <w:p w14:paraId="5656CC10">
            <w:pPr>
              <w:spacing w:line="360" w:lineRule="auto"/>
              <w:rPr>
                <w:rFonts w:ascii="宋体" w:hAnsi="宋体"/>
                <w:sz w:val="24"/>
                <w:szCs w:val="24"/>
                <w:highlight w:val="none"/>
              </w:rPr>
            </w:pPr>
            <w:r>
              <w:rPr>
                <w:rFonts w:hint="eastAsia" w:ascii="宋体" w:hAnsi="宋体"/>
                <w:sz w:val="24"/>
                <w:szCs w:val="24"/>
                <w:highlight w:val="none"/>
              </w:rPr>
              <w:t>查询</w:t>
            </w:r>
          </w:p>
        </w:tc>
        <w:tc>
          <w:tcPr>
            <w:tcW w:w="5940" w:type="dxa"/>
            <w:vAlign w:val="center"/>
          </w:tcPr>
          <w:p w14:paraId="154B71FC">
            <w:pPr>
              <w:pStyle w:val="8"/>
              <w:rPr>
                <w:highlight w:val="none"/>
              </w:rPr>
            </w:pPr>
            <w:r>
              <w:rPr>
                <w:rFonts w:hint="eastAsia" w:ascii="宋体" w:hAnsi="宋体" w:cs="宋体"/>
                <w:color w:val="000000"/>
                <w:szCs w:val="24"/>
                <w:highlight w:val="none"/>
              </w:rPr>
              <w:t>“信用中国网站”（www.creditchina.gov.cn，页面跳转至“中国执行信息网”tp://zxgk.court.gov.cn/shixin/）和“中国政府采购网”（ccgp.gov.cn）为投标人信用信息查询渠道，如果投标人被查实在投标截止时间列入失信被执行人、重大税收违法失信主体、政府采购严重违法失信行为记录名单</w:t>
            </w:r>
            <w:r>
              <w:rPr>
                <w:rFonts w:hint="eastAsia" w:ascii="宋体" w:hAnsi="宋体" w:cs="宋体"/>
                <w:b/>
                <w:bCs/>
                <w:color w:val="000000"/>
                <w:szCs w:val="24"/>
                <w:highlight w:val="none"/>
              </w:rPr>
              <w:t>，</w:t>
            </w:r>
            <w:r>
              <w:rPr>
                <w:rFonts w:hint="eastAsia" w:ascii="宋体" w:hAnsi="宋体" w:cs="宋体"/>
                <w:color w:val="000000"/>
                <w:szCs w:val="24"/>
                <w:highlight w:val="none"/>
              </w:rPr>
              <w:t>其投标为无效，同时采购代理机构将打印上述失信记录作为无效投标的证据留存。</w:t>
            </w:r>
          </w:p>
        </w:tc>
      </w:tr>
      <w:tr w14:paraId="5B06863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trPr>
        <w:tc>
          <w:tcPr>
            <w:tcW w:w="993" w:type="dxa"/>
            <w:vAlign w:val="center"/>
          </w:tcPr>
          <w:p w14:paraId="1D751773">
            <w:pPr>
              <w:spacing w:line="360" w:lineRule="auto"/>
              <w:jc w:val="center"/>
              <w:rPr>
                <w:rFonts w:ascii="宋体" w:hAnsi="宋体"/>
                <w:sz w:val="24"/>
                <w:szCs w:val="24"/>
                <w:highlight w:val="none"/>
              </w:rPr>
            </w:pPr>
            <w:r>
              <w:rPr>
                <w:rFonts w:hint="eastAsia" w:ascii="宋体" w:hAnsi="宋体"/>
                <w:sz w:val="24"/>
                <w:szCs w:val="24"/>
                <w:highlight w:val="none"/>
              </w:rPr>
              <w:t>6.3</w:t>
            </w:r>
          </w:p>
        </w:tc>
        <w:tc>
          <w:tcPr>
            <w:tcW w:w="2067" w:type="dxa"/>
            <w:vAlign w:val="center"/>
          </w:tcPr>
          <w:p w14:paraId="5C2B5F84">
            <w:pPr>
              <w:spacing w:line="360" w:lineRule="auto"/>
              <w:rPr>
                <w:rFonts w:ascii="宋体" w:hAnsi="宋体"/>
                <w:sz w:val="24"/>
                <w:szCs w:val="24"/>
                <w:highlight w:val="none"/>
              </w:rPr>
            </w:pPr>
            <w:r>
              <w:rPr>
                <w:rFonts w:hint="eastAsia" w:ascii="宋体" w:hAnsi="宋体"/>
                <w:sz w:val="24"/>
                <w:szCs w:val="24"/>
                <w:highlight w:val="none"/>
              </w:rPr>
              <w:t>招标内容的实质性响应要求</w:t>
            </w:r>
          </w:p>
        </w:tc>
        <w:tc>
          <w:tcPr>
            <w:tcW w:w="5940" w:type="dxa"/>
            <w:vAlign w:val="center"/>
          </w:tcPr>
          <w:p w14:paraId="41B51570">
            <w:pPr>
              <w:widowControl/>
              <w:spacing w:before="100" w:beforeAutospacing="1" w:after="100" w:afterAutospacing="1" w:line="360" w:lineRule="auto"/>
              <w:jc w:val="left"/>
              <w:rPr>
                <w:rFonts w:ascii="宋体" w:hAnsi="宋体"/>
                <w:sz w:val="24"/>
                <w:szCs w:val="24"/>
                <w:highlight w:val="none"/>
              </w:rPr>
            </w:pPr>
            <w:r>
              <w:rPr>
                <w:rFonts w:hint="eastAsia" w:ascii="宋体" w:hAnsi="宋体"/>
                <w:sz w:val="24"/>
                <w:szCs w:val="24"/>
                <w:highlight w:val="none"/>
              </w:rPr>
              <w:t>招标文件中以“</w:t>
            </w:r>
            <w:r>
              <w:rPr>
                <w:rFonts w:hint="eastAsia" w:ascii="宋体" w:hAnsi="宋体"/>
                <w:b/>
                <w:sz w:val="24"/>
                <w:szCs w:val="24"/>
                <w:highlight w:val="none"/>
              </w:rPr>
              <w:t>*</w:t>
            </w:r>
            <w:r>
              <w:rPr>
                <w:rFonts w:hint="eastAsia" w:ascii="宋体" w:hAnsi="宋体"/>
                <w:sz w:val="24"/>
                <w:szCs w:val="24"/>
                <w:highlight w:val="none"/>
              </w:rPr>
              <w:t>”号标记的条款为不允许偏离的实质性要求和条件，不满足实质性要求和条件的投标为无效投标。</w:t>
            </w:r>
            <w:r>
              <w:rPr>
                <w:rFonts w:ascii="宋体" w:hAnsi="宋体"/>
                <w:sz w:val="24"/>
                <w:szCs w:val="24"/>
                <w:highlight w:val="none"/>
              </w:rPr>
              <w:t xml:space="preserve"> </w:t>
            </w:r>
          </w:p>
        </w:tc>
      </w:tr>
      <w:tr w14:paraId="50BAFD0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vAlign w:val="center"/>
          </w:tcPr>
          <w:p w14:paraId="43753015">
            <w:pPr>
              <w:spacing w:line="360" w:lineRule="auto"/>
              <w:jc w:val="center"/>
              <w:rPr>
                <w:rFonts w:ascii="宋体" w:hAnsi="宋体"/>
                <w:sz w:val="24"/>
                <w:szCs w:val="24"/>
                <w:highlight w:val="none"/>
              </w:rPr>
            </w:pPr>
            <w:r>
              <w:rPr>
                <w:rFonts w:hint="eastAsia" w:ascii="宋体" w:hAnsi="宋体"/>
                <w:sz w:val="24"/>
                <w:szCs w:val="24"/>
                <w:highlight w:val="none"/>
              </w:rPr>
              <w:t xml:space="preserve">8.1 </w:t>
            </w:r>
          </w:p>
        </w:tc>
        <w:tc>
          <w:tcPr>
            <w:tcW w:w="2067" w:type="dxa"/>
            <w:vAlign w:val="center"/>
          </w:tcPr>
          <w:p w14:paraId="20C0511C">
            <w:pPr>
              <w:spacing w:line="360" w:lineRule="auto"/>
              <w:rPr>
                <w:highlight w:val="none"/>
              </w:rPr>
            </w:pPr>
            <w:r>
              <w:rPr>
                <w:rFonts w:hint="eastAsia" w:ascii="宋体" w:hAnsi="宋体"/>
                <w:sz w:val="24"/>
                <w:szCs w:val="24"/>
                <w:highlight w:val="none"/>
              </w:rPr>
              <w:t>供应商提出质疑的时间及代理机构指定的接受质疑联系部门</w:t>
            </w:r>
          </w:p>
        </w:tc>
        <w:tc>
          <w:tcPr>
            <w:tcW w:w="5940" w:type="dxa"/>
            <w:vAlign w:val="center"/>
          </w:tcPr>
          <w:p w14:paraId="0423DCFE">
            <w:pPr>
              <w:numPr>
                <w:ilvl w:val="0"/>
                <w:numId w:val="2"/>
              </w:numPr>
              <w:spacing w:line="360" w:lineRule="auto"/>
              <w:rPr>
                <w:rFonts w:ascii="宋体" w:hAnsi="宋体"/>
                <w:sz w:val="24"/>
                <w:szCs w:val="24"/>
                <w:highlight w:val="none"/>
              </w:rPr>
            </w:pPr>
            <w:r>
              <w:rPr>
                <w:rFonts w:hint="eastAsia" w:ascii="宋体" w:hAnsi="宋体"/>
                <w:sz w:val="24"/>
                <w:szCs w:val="24"/>
                <w:highlight w:val="none"/>
              </w:rPr>
              <w:t>已经</w:t>
            </w:r>
            <w:r>
              <w:rPr>
                <w:rFonts w:hint="eastAsia" w:ascii="宋体" w:hAnsi="宋体"/>
                <w:color w:val="000000"/>
                <w:sz w:val="24"/>
                <w:szCs w:val="24"/>
                <w:highlight w:val="none"/>
              </w:rPr>
              <w:t>合法获取</w:t>
            </w:r>
            <w:r>
              <w:rPr>
                <w:rFonts w:hint="eastAsia" w:ascii="宋体" w:hAnsi="宋体"/>
                <w:sz w:val="24"/>
                <w:szCs w:val="24"/>
                <w:highlight w:val="none"/>
              </w:rPr>
              <w:t>招标文件的供应商对招标文件有质疑的，可以在获取采购文件或者采购文件公告期限届满之日起7个工作日内提出，针对同一采购程序环节以书面形式向采购代理机构一次性提出，在此之后提出的质疑均为无效，采购代理机构不予受理。</w:t>
            </w:r>
          </w:p>
          <w:p w14:paraId="3869C9ED">
            <w:pPr>
              <w:numPr>
                <w:ilvl w:val="0"/>
                <w:numId w:val="2"/>
              </w:numPr>
              <w:spacing w:line="360" w:lineRule="auto"/>
              <w:rPr>
                <w:rFonts w:ascii="宋体" w:hAnsi="宋体"/>
                <w:sz w:val="24"/>
                <w:szCs w:val="24"/>
                <w:highlight w:val="none"/>
              </w:rPr>
            </w:pPr>
            <w:r>
              <w:rPr>
                <w:rFonts w:hint="eastAsia" w:ascii="宋体" w:hAnsi="宋体"/>
                <w:sz w:val="24"/>
                <w:szCs w:val="24"/>
                <w:highlight w:val="none"/>
              </w:rPr>
              <w:t>质疑方式：</w:t>
            </w:r>
          </w:p>
          <w:p w14:paraId="52DE420B">
            <w:pPr>
              <w:spacing w:line="360" w:lineRule="auto"/>
              <w:rPr>
                <w:rFonts w:ascii="宋体" w:hAnsi="宋体"/>
                <w:sz w:val="24"/>
                <w:szCs w:val="24"/>
                <w:highlight w:val="none"/>
              </w:rPr>
            </w:pPr>
            <w:r>
              <w:rPr>
                <w:rFonts w:hint="eastAsia" w:ascii="宋体" w:hAnsi="宋体" w:cs="宋体"/>
                <w:sz w:val="24"/>
                <w:szCs w:val="24"/>
                <w:highlight w:val="none"/>
              </w:rPr>
              <w:t>书面质疑：</w:t>
            </w:r>
            <w:r>
              <w:rPr>
                <w:rFonts w:hint="eastAsia" w:ascii="宋体" w:hAnsi="宋体"/>
                <w:sz w:val="24"/>
                <w:szCs w:val="24"/>
                <w:highlight w:val="none"/>
              </w:rPr>
              <w:t>格式见“中国政府采购网（www.ccgp.gov.cn）下载专区”；</w:t>
            </w:r>
          </w:p>
          <w:p w14:paraId="5CB40448">
            <w:pPr>
              <w:spacing w:line="360" w:lineRule="auto"/>
              <w:rPr>
                <w:rFonts w:ascii="宋体" w:hAnsi="宋体"/>
                <w:sz w:val="24"/>
                <w:szCs w:val="24"/>
                <w:highlight w:val="none"/>
              </w:rPr>
            </w:pPr>
            <w:r>
              <w:rPr>
                <w:rFonts w:hint="eastAsia" w:ascii="宋体" w:hAnsi="宋体"/>
                <w:sz w:val="24"/>
                <w:szCs w:val="24"/>
                <w:highlight w:val="none"/>
              </w:rPr>
              <w:t>3、联系部门：西北（陕西）国际招标有限公司综合监督处；</w:t>
            </w:r>
          </w:p>
          <w:p w14:paraId="1940B5D0">
            <w:pPr>
              <w:spacing w:line="360" w:lineRule="auto"/>
              <w:rPr>
                <w:rFonts w:ascii="宋体" w:hAnsi="宋体"/>
                <w:sz w:val="24"/>
                <w:szCs w:val="24"/>
                <w:highlight w:val="none"/>
              </w:rPr>
            </w:pPr>
            <w:r>
              <w:rPr>
                <w:rFonts w:hint="eastAsia" w:ascii="宋体" w:hAnsi="宋体"/>
                <w:sz w:val="24"/>
                <w:szCs w:val="24"/>
                <w:highlight w:val="none"/>
              </w:rPr>
              <w:t>4、联系电话：029-85362812</w:t>
            </w:r>
          </w:p>
          <w:p w14:paraId="561D3463">
            <w:pPr>
              <w:spacing w:line="360" w:lineRule="auto"/>
              <w:rPr>
                <w:rFonts w:ascii="宋体" w:hAnsi="宋体" w:cs="宋体"/>
                <w:sz w:val="24"/>
                <w:szCs w:val="24"/>
                <w:highlight w:val="none"/>
              </w:rPr>
            </w:pPr>
            <w:r>
              <w:rPr>
                <w:rFonts w:hint="eastAsia" w:ascii="宋体" w:hAnsi="宋体"/>
                <w:sz w:val="24"/>
                <w:szCs w:val="24"/>
                <w:highlight w:val="none"/>
              </w:rPr>
              <w:t>5、通讯地址：陕西省西安市雁塔区南二环西段58号成长大厦12楼1203室，邮编710075</w:t>
            </w:r>
          </w:p>
        </w:tc>
      </w:tr>
      <w:tr w14:paraId="2D64446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shd w:val="clear" w:color="auto" w:fill="auto"/>
            <w:vAlign w:val="center"/>
          </w:tcPr>
          <w:p w14:paraId="08C1C88A">
            <w:pPr>
              <w:spacing w:line="360" w:lineRule="auto"/>
              <w:jc w:val="center"/>
              <w:rPr>
                <w:rFonts w:ascii="宋体" w:hAnsi="宋体"/>
                <w:sz w:val="24"/>
                <w:szCs w:val="24"/>
                <w:highlight w:val="none"/>
              </w:rPr>
            </w:pPr>
            <w:r>
              <w:rPr>
                <w:rFonts w:hint="eastAsia" w:ascii="宋体" w:hAnsi="宋体"/>
                <w:sz w:val="24"/>
                <w:szCs w:val="24"/>
                <w:highlight w:val="none"/>
              </w:rPr>
              <w:t>8.2</w:t>
            </w:r>
          </w:p>
        </w:tc>
        <w:tc>
          <w:tcPr>
            <w:tcW w:w="2067" w:type="dxa"/>
            <w:shd w:val="clear" w:color="auto" w:fill="auto"/>
            <w:vAlign w:val="center"/>
          </w:tcPr>
          <w:p w14:paraId="729F6C57">
            <w:pPr>
              <w:spacing w:line="360" w:lineRule="auto"/>
              <w:rPr>
                <w:rFonts w:ascii="宋体" w:hAnsi="宋体"/>
                <w:sz w:val="24"/>
                <w:szCs w:val="24"/>
                <w:highlight w:val="none"/>
              </w:rPr>
            </w:pPr>
            <w:r>
              <w:rPr>
                <w:rFonts w:hint="eastAsia" w:ascii="宋体" w:hAnsi="宋体"/>
                <w:sz w:val="24"/>
                <w:szCs w:val="24"/>
                <w:highlight w:val="none"/>
              </w:rPr>
              <w:t>质疑内容要求</w:t>
            </w:r>
          </w:p>
        </w:tc>
        <w:tc>
          <w:tcPr>
            <w:tcW w:w="5940" w:type="dxa"/>
            <w:shd w:val="clear" w:color="auto" w:fill="auto"/>
            <w:vAlign w:val="center"/>
          </w:tcPr>
          <w:p w14:paraId="1F0B2FC9">
            <w:pPr>
              <w:spacing w:line="360" w:lineRule="auto"/>
              <w:rPr>
                <w:rFonts w:ascii="宋体" w:hAnsi="宋体"/>
                <w:sz w:val="24"/>
                <w:szCs w:val="24"/>
                <w:highlight w:val="none"/>
              </w:rPr>
            </w:pPr>
            <w:r>
              <w:rPr>
                <w:rFonts w:hint="eastAsia" w:ascii="宋体" w:hAnsi="宋体"/>
                <w:sz w:val="24"/>
                <w:szCs w:val="24"/>
                <w:highlight w:val="none"/>
              </w:rPr>
              <w:t>供应商提出质疑应当提交质疑函和必要的证明材料，质疑函应当包括下列内容：</w:t>
            </w:r>
          </w:p>
          <w:p w14:paraId="524418E7">
            <w:pPr>
              <w:spacing w:line="360" w:lineRule="auto"/>
              <w:rPr>
                <w:rFonts w:ascii="宋体" w:hAnsi="宋体"/>
                <w:sz w:val="24"/>
                <w:szCs w:val="24"/>
                <w:highlight w:val="none"/>
              </w:rPr>
            </w:pPr>
            <w:r>
              <w:rPr>
                <w:rFonts w:hint="eastAsia" w:ascii="宋体" w:hAnsi="宋体"/>
                <w:sz w:val="24"/>
                <w:szCs w:val="24"/>
                <w:highlight w:val="none"/>
              </w:rPr>
              <w:t>（一）供应商的姓名或者名称、地址、邮编、联系人及联系电话；</w:t>
            </w:r>
          </w:p>
          <w:p w14:paraId="43A681CE">
            <w:pPr>
              <w:spacing w:line="360" w:lineRule="auto"/>
              <w:rPr>
                <w:rFonts w:ascii="宋体" w:hAnsi="宋体"/>
                <w:sz w:val="24"/>
                <w:szCs w:val="24"/>
                <w:highlight w:val="none"/>
              </w:rPr>
            </w:pPr>
            <w:r>
              <w:rPr>
                <w:rFonts w:hint="eastAsia" w:ascii="宋体" w:hAnsi="宋体"/>
                <w:sz w:val="24"/>
                <w:szCs w:val="24"/>
                <w:highlight w:val="none"/>
              </w:rPr>
              <w:t>（二）质疑项目的名称、编号；</w:t>
            </w:r>
          </w:p>
          <w:p w14:paraId="7113CDA0">
            <w:pPr>
              <w:spacing w:line="360" w:lineRule="auto"/>
              <w:rPr>
                <w:rFonts w:ascii="宋体" w:hAnsi="宋体"/>
                <w:sz w:val="24"/>
                <w:szCs w:val="24"/>
                <w:highlight w:val="none"/>
              </w:rPr>
            </w:pPr>
            <w:r>
              <w:rPr>
                <w:rFonts w:hint="eastAsia" w:ascii="宋体" w:hAnsi="宋体"/>
                <w:sz w:val="24"/>
                <w:szCs w:val="24"/>
                <w:highlight w:val="none"/>
              </w:rPr>
              <w:t>（三）具体、明确的质疑事项和与质疑事项相关的请求；</w:t>
            </w:r>
          </w:p>
          <w:p w14:paraId="1A549A7A">
            <w:pPr>
              <w:spacing w:line="360" w:lineRule="auto"/>
              <w:rPr>
                <w:rFonts w:ascii="宋体" w:hAnsi="宋体"/>
                <w:sz w:val="24"/>
                <w:szCs w:val="24"/>
                <w:highlight w:val="none"/>
              </w:rPr>
            </w:pPr>
            <w:r>
              <w:rPr>
                <w:rFonts w:hint="eastAsia" w:ascii="宋体" w:hAnsi="宋体"/>
                <w:sz w:val="24"/>
                <w:szCs w:val="24"/>
                <w:highlight w:val="none"/>
              </w:rPr>
              <w:t>（四）事实依据；</w:t>
            </w:r>
          </w:p>
          <w:p w14:paraId="1693F72B">
            <w:pPr>
              <w:spacing w:line="360" w:lineRule="auto"/>
              <w:rPr>
                <w:rFonts w:ascii="宋体" w:hAnsi="宋体"/>
                <w:sz w:val="24"/>
                <w:szCs w:val="24"/>
                <w:highlight w:val="none"/>
              </w:rPr>
            </w:pPr>
            <w:r>
              <w:rPr>
                <w:rFonts w:hint="eastAsia" w:ascii="宋体" w:hAnsi="宋体"/>
                <w:sz w:val="24"/>
                <w:szCs w:val="24"/>
                <w:highlight w:val="none"/>
              </w:rPr>
              <w:t>（五）必要的法律依据；</w:t>
            </w:r>
          </w:p>
          <w:p w14:paraId="247FDB3A">
            <w:pPr>
              <w:spacing w:line="360" w:lineRule="auto"/>
              <w:rPr>
                <w:rFonts w:ascii="宋体" w:hAnsi="宋体"/>
                <w:sz w:val="24"/>
                <w:szCs w:val="24"/>
                <w:highlight w:val="none"/>
              </w:rPr>
            </w:pPr>
            <w:r>
              <w:rPr>
                <w:rFonts w:hint="eastAsia" w:ascii="宋体" w:hAnsi="宋体"/>
                <w:sz w:val="24"/>
                <w:szCs w:val="24"/>
                <w:highlight w:val="none"/>
              </w:rPr>
              <w:t>（六）提出质疑的日期。</w:t>
            </w:r>
          </w:p>
          <w:p w14:paraId="00150BCE">
            <w:pPr>
              <w:spacing w:line="360" w:lineRule="auto"/>
              <w:rPr>
                <w:rFonts w:ascii="宋体" w:hAnsi="宋体"/>
                <w:sz w:val="24"/>
                <w:szCs w:val="24"/>
                <w:highlight w:val="none"/>
              </w:rPr>
            </w:pPr>
            <w:r>
              <w:rPr>
                <w:rFonts w:hint="eastAsia" w:ascii="宋体" w:hAnsi="宋体"/>
                <w:sz w:val="24"/>
                <w:szCs w:val="24"/>
                <w:highlight w:val="none"/>
              </w:rPr>
              <w:t>供应商为自然人的，应当由本人签名；供应商为法人或者其他组织的，应当由法定代表人、主要负责人，或者其授权代表（附法定代表人授权书）签名或者盖章（鲜章），并加盖公章。</w:t>
            </w:r>
          </w:p>
          <w:p w14:paraId="67A88474">
            <w:pPr>
              <w:spacing w:line="360" w:lineRule="auto"/>
              <w:rPr>
                <w:rFonts w:ascii="宋体" w:hAnsi="宋体"/>
                <w:sz w:val="24"/>
                <w:szCs w:val="24"/>
                <w:highlight w:val="none"/>
              </w:rPr>
            </w:pPr>
            <w:r>
              <w:rPr>
                <w:rFonts w:hint="eastAsia" w:ascii="宋体" w:hAnsi="宋体"/>
                <w:sz w:val="24"/>
                <w:szCs w:val="24"/>
                <w:highlight w:val="none"/>
              </w:rPr>
              <w:t>质疑函格式应符合“政府采购供应商质疑函范本”要求，详见“中国政府采购网（www.ccgp.gov.cn）”下载专区。</w:t>
            </w:r>
          </w:p>
        </w:tc>
      </w:tr>
      <w:tr w14:paraId="33FC5D8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4" w:hRule="atLeast"/>
        </w:trPr>
        <w:tc>
          <w:tcPr>
            <w:tcW w:w="993" w:type="dxa"/>
            <w:shd w:val="clear" w:color="auto" w:fill="auto"/>
            <w:vAlign w:val="center"/>
          </w:tcPr>
          <w:p w14:paraId="4DBC0127">
            <w:pPr>
              <w:spacing w:line="360" w:lineRule="auto"/>
              <w:jc w:val="center"/>
              <w:rPr>
                <w:rFonts w:ascii="宋体" w:hAnsi="宋体"/>
                <w:sz w:val="24"/>
                <w:szCs w:val="24"/>
                <w:highlight w:val="none"/>
              </w:rPr>
            </w:pPr>
            <w:r>
              <w:rPr>
                <w:rFonts w:hint="eastAsia" w:ascii="宋体" w:hAnsi="宋体"/>
                <w:sz w:val="24"/>
                <w:szCs w:val="24"/>
                <w:highlight w:val="none"/>
              </w:rPr>
              <w:t>8.3</w:t>
            </w:r>
          </w:p>
        </w:tc>
        <w:tc>
          <w:tcPr>
            <w:tcW w:w="2067" w:type="dxa"/>
            <w:shd w:val="clear" w:color="auto" w:fill="auto"/>
            <w:vAlign w:val="center"/>
          </w:tcPr>
          <w:p w14:paraId="612699CC">
            <w:pPr>
              <w:spacing w:line="360" w:lineRule="auto"/>
              <w:rPr>
                <w:rFonts w:ascii="宋体" w:hAnsi="宋体"/>
                <w:sz w:val="24"/>
                <w:szCs w:val="24"/>
                <w:highlight w:val="none"/>
              </w:rPr>
            </w:pPr>
            <w:r>
              <w:rPr>
                <w:rFonts w:hint="eastAsia" w:ascii="宋体" w:hAnsi="宋体"/>
                <w:sz w:val="24"/>
                <w:szCs w:val="24"/>
                <w:highlight w:val="none"/>
              </w:rPr>
              <w:t>采购代理机构答疑的时间</w:t>
            </w:r>
          </w:p>
        </w:tc>
        <w:tc>
          <w:tcPr>
            <w:tcW w:w="5940" w:type="dxa"/>
            <w:shd w:val="clear" w:color="auto" w:fill="auto"/>
            <w:vAlign w:val="center"/>
          </w:tcPr>
          <w:p w14:paraId="5A53066B">
            <w:pPr>
              <w:spacing w:line="360" w:lineRule="auto"/>
              <w:rPr>
                <w:rFonts w:ascii="宋体" w:hAnsi="宋体"/>
                <w:sz w:val="24"/>
                <w:szCs w:val="24"/>
                <w:highlight w:val="none"/>
              </w:rPr>
            </w:pPr>
            <w:r>
              <w:rPr>
                <w:rFonts w:hint="eastAsia" w:ascii="宋体" w:hAnsi="宋体"/>
                <w:sz w:val="24"/>
                <w:szCs w:val="24"/>
                <w:highlight w:val="none"/>
              </w:rPr>
              <w:t>1、对于供应商依法提出的询问，采购代理机构将在三个工作日内答复。</w:t>
            </w:r>
          </w:p>
          <w:p w14:paraId="3D4B3537">
            <w:pPr>
              <w:spacing w:line="360" w:lineRule="auto"/>
              <w:rPr>
                <w:rFonts w:ascii="宋体" w:hAnsi="宋体"/>
                <w:sz w:val="24"/>
                <w:szCs w:val="24"/>
                <w:highlight w:val="none"/>
              </w:rPr>
            </w:pPr>
            <w:r>
              <w:rPr>
                <w:rFonts w:hint="eastAsia" w:ascii="宋体" w:hAnsi="宋体"/>
                <w:sz w:val="24"/>
                <w:szCs w:val="24"/>
                <w:highlight w:val="none"/>
              </w:rPr>
              <w:t>2、对于供应商在规定时间内依法提出的质疑，采购代理机构将在七个工作日内答复。</w:t>
            </w:r>
          </w:p>
        </w:tc>
      </w:tr>
      <w:tr w14:paraId="7B4F18B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7" w:hRule="atLeast"/>
        </w:trPr>
        <w:tc>
          <w:tcPr>
            <w:tcW w:w="993" w:type="dxa"/>
            <w:vAlign w:val="center"/>
          </w:tcPr>
          <w:p w14:paraId="13DBA05A">
            <w:pPr>
              <w:spacing w:line="360" w:lineRule="auto"/>
              <w:jc w:val="center"/>
              <w:rPr>
                <w:rFonts w:ascii="宋体" w:hAnsi="宋体"/>
                <w:sz w:val="24"/>
                <w:szCs w:val="24"/>
                <w:highlight w:val="none"/>
              </w:rPr>
            </w:pPr>
            <w:r>
              <w:rPr>
                <w:rFonts w:hint="eastAsia" w:ascii="宋体" w:hAnsi="宋体"/>
                <w:sz w:val="24"/>
                <w:szCs w:val="24"/>
                <w:highlight w:val="none"/>
              </w:rPr>
              <w:t>*11.1</w:t>
            </w:r>
          </w:p>
        </w:tc>
        <w:tc>
          <w:tcPr>
            <w:tcW w:w="2067" w:type="dxa"/>
            <w:vAlign w:val="center"/>
          </w:tcPr>
          <w:p w14:paraId="0F9257FF">
            <w:pPr>
              <w:spacing w:line="360" w:lineRule="auto"/>
              <w:rPr>
                <w:rFonts w:ascii="宋体" w:hAnsi="宋体"/>
                <w:sz w:val="24"/>
                <w:szCs w:val="24"/>
                <w:highlight w:val="none"/>
              </w:rPr>
            </w:pPr>
            <w:r>
              <w:rPr>
                <w:rFonts w:hint="eastAsia" w:ascii="宋体" w:hAnsi="宋体"/>
                <w:sz w:val="24"/>
                <w:szCs w:val="24"/>
                <w:highlight w:val="none"/>
              </w:rPr>
              <w:t>报价要求</w:t>
            </w:r>
          </w:p>
        </w:tc>
        <w:tc>
          <w:tcPr>
            <w:tcW w:w="5940" w:type="dxa"/>
            <w:vAlign w:val="center"/>
          </w:tcPr>
          <w:p w14:paraId="793179B8">
            <w:pPr>
              <w:spacing w:line="360" w:lineRule="auto"/>
              <w:rPr>
                <w:rFonts w:ascii="宋体" w:hAnsi="宋体"/>
                <w:sz w:val="24"/>
                <w:szCs w:val="24"/>
                <w:highlight w:val="none"/>
              </w:rPr>
            </w:pPr>
            <w:r>
              <w:rPr>
                <w:rFonts w:hint="eastAsia" w:ascii="宋体" w:hAnsi="宋体"/>
                <w:sz w:val="24"/>
                <w:szCs w:val="24"/>
                <w:highlight w:val="none"/>
              </w:rPr>
              <w:t>固定总价，包含本包所有采购内容货到采购人指定地点的供货、运输、装卸、保险、安装调试、技术服务、税费等一切相关费用。</w:t>
            </w:r>
          </w:p>
        </w:tc>
      </w:tr>
      <w:tr w14:paraId="01982BE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3" w:hRule="atLeast"/>
        </w:trPr>
        <w:tc>
          <w:tcPr>
            <w:tcW w:w="993" w:type="dxa"/>
            <w:vAlign w:val="center"/>
          </w:tcPr>
          <w:p w14:paraId="2DE18578">
            <w:pPr>
              <w:spacing w:line="360" w:lineRule="auto"/>
              <w:jc w:val="center"/>
              <w:rPr>
                <w:rFonts w:ascii="宋体" w:hAnsi="宋体"/>
                <w:sz w:val="24"/>
                <w:szCs w:val="24"/>
                <w:highlight w:val="none"/>
              </w:rPr>
            </w:pPr>
            <w:r>
              <w:rPr>
                <w:rFonts w:hint="eastAsia" w:ascii="宋体" w:hAnsi="宋体"/>
                <w:sz w:val="24"/>
                <w:szCs w:val="24"/>
                <w:highlight w:val="none"/>
              </w:rPr>
              <w:t>11.3</w:t>
            </w:r>
          </w:p>
        </w:tc>
        <w:tc>
          <w:tcPr>
            <w:tcW w:w="2067" w:type="dxa"/>
            <w:vAlign w:val="center"/>
          </w:tcPr>
          <w:p w14:paraId="5870B8C1">
            <w:pPr>
              <w:spacing w:line="360" w:lineRule="auto"/>
              <w:rPr>
                <w:rFonts w:ascii="宋体" w:hAnsi="宋体"/>
                <w:sz w:val="24"/>
                <w:szCs w:val="24"/>
                <w:highlight w:val="none"/>
              </w:rPr>
            </w:pPr>
            <w:r>
              <w:rPr>
                <w:rFonts w:hint="eastAsia" w:ascii="宋体" w:hAnsi="宋体"/>
                <w:sz w:val="24"/>
                <w:szCs w:val="24"/>
                <w:highlight w:val="none"/>
              </w:rPr>
              <w:t>是否允许备选方案</w:t>
            </w:r>
          </w:p>
        </w:tc>
        <w:tc>
          <w:tcPr>
            <w:tcW w:w="5940" w:type="dxa"/>
            <w:vAlign w:val="center"/>
          </w:tcPr>
          <w:p w14:paraId="4FE6BE88">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 xml:space="preserve">☐是  </w:t>
            </w:r>
          </w:p>
          <w:p w14:paraId="3FF77B44">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具体要求：</w:t>
            </w:r>
          </w:p>
          <w:p w14:paraId="5DF662A6">
            <w:pPr>
              <w:spacing w:line="360" w:lineRule="auto"/>
              <w:ind w:left="360" w:hanging="360" w:hangingChars="150"/>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687F3D3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2" w:hRule="atLeast"/>
        </w:trPr>
        <w:tc>
          <w:tcPr>
            <w:tcW w:w="993" w:type="dxa"/>
            <w:vAlign w:val="center"/>
          </w:tcPr>
          <w:p w14:paraId="15B6125B">
            <w:pPr>
              <w:spacing w:line="360" w:lineRule="auto"/>
              <w:jc w:val="center"/>
              <w:rPr>
                <w:rFonts w:ascii="宋体" w:hAnsi="宋体"/>
                <w:sz w:val="24"/>
                <w:szCs w:val="24"/>
                <w:highlight w:val="none"/>
              </w:rPr>
            </w:pPr>
            <w:r>
              <w:rPr>
                <w:rFonts w:hint="eastAsia" w:ascii="宋体" w:hAnsi="宋体"/>
                <w:sz w:val="24"/>
                <w:szCs w:val="24"/>
                <w:highlight w:val="none"/>
              </w:rPr>
              <w:t>*11.4</w:t>
            </w:r>
          </w:p>
        </w:tc>
        <w:tc>
          <w:tcPr>
            <w:tcW w:w="2067" w:type="dxa"/>
            <w:vAlign w:val="center"/>
          </w:tcPr>
          <w:p w14:paraId="20DEEA09">
            <w:pPr>
              <w:spacing w:line="360" w:lineRule="auto"/>
              <w:rPr>
                <w:rFonts w:ascii="宋体" w:hAnsi="宋体"/>
                <w:sz w:val="24"/>
                <w:szCs w:val="24"/>
                <w:highlight w:val="none"/>
              </w:rPr>
            </w:pPr>
            <w:r>
              <w:rPr>
                <w:rFonts w:hint="eastAsia" w:ascii="宋体" w:hAnsi="宋体"/>
                <w:sz w:val="24"/>
                <w:szCs w:val="24"/>
                <w:highlight w:val="none"/>
              </w:rPr>
              <w:t>本次投标的最小单元要求</w:t>
            </w:r>
          </w:p>
        </w:tc>
        <w:tc>
          <w:tcPr>
            <w:tcW w:w="5940" w:type="dxa"/>
            <w:vAlign w:val="center"/>
          </w:tcPr>
          <w:p w14:paraId="4333A300">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本次投标的最小单元为“包”，供应商可对任一包进行</w:t>
            </w:r>
          </w:p>
          <w:p w14:paraId="37E52281">
            <w:pPr>
              <w:spacing w:line="360" w:lineRule="auto"/>
              <w:rPr>
                <w:rFonts w:ascii="宋体" w:hAnsi="宋体"/>
                <w:sz w:val="24"/>
                <w:szCs w:val="24"/>
                <w:highlight w:val="none"/>
              </w:rPr>
            </w:pPr>
            <w:r>
              <w:rPr>
                <w:rFonts w:hint="eastAsia" w:ascii="宋体" w:hAnsi="宋体"/>
                <w:sz w:val="24"/>
                <w:szCs w:val="24"/>
                <w:highlight w:val="none"/>
              </w:rPr>
              <w:t>报价，但不能对包中的内容或者分项内容进行不完全投标。任何不完全的投标将按照无效投标处理。</w:t>
            </w:r>
          </w:p>
        </w:tc>
      </w:tr>
      <w:tr w14:paraId="558CF4B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1" w:hRule="atLeast"/>
        </w:trPr>
        <w:tc>
          <w:tcPr>
            <w:tcW w:w="993" w:type="dxa"/>
            <w:vAlign w:val="center"/>
          </w:tcPr>
          <w:p w14:paraId="79F83BA9">
            <w:pPr>
              <w:spacing w:line="360" w:lineRule="auto"/>
              <w:jc w:val="center"/>
              <w:rPr>
                <w:rFonts w:ascii="宋体" w:hAnsi="宋体"/>
                <w:sz w:val="24"/>
                <w:szCs w:val="24"/>
                <w:highlight w:val="none"/>
              </w:rPr>
            </w:pPr>
            <w:r>
              <w:rPr>
                <w:rFonts w:hint="eastAsia" w:ascii="宋体" w:hAnsi="宋体"/>
                <w:sz w:val="24"/>
                <w:szCs w:val="24"/>
                <w:highlight w:val="none"/>
              </w:rPr>
              <w:t>*12.2</w:t>
            </w:r>
          </w:p>
        </w:tc>
        <w:tc>
          <w:tcPr>
            <w:tcW w:w="2067" w:type="dxa"/>
            <w:vAlign w:val="center"/>
          </w:tcPr>
          <w:p w14:paraId="6266B74A">
            <w:pPr>
              <w:spacing w:line="360" w:lineRule="auto"/>
              <w:rPr>
                <w:rFonts w:ascii="宋体" w:hAnsi="宋体"/>
                <w:sz w:val="24"/>
                <w:szCs w:val="24"/>
                <w:highlight w:val="none"/>
              </w:rPr>
            </w:pPr>
            <w:r>
              <w:rPr>
                <w:rFonts w:hint="eastAsia" w:ascii="宋体" w:hAnsi="宋体"/>
                <w:sz w:val="24"/>
                <w:szCs w:val="24"/>
                <w:highlight w:val="none"/>
              </w:rPr>
              <w:t>投标人资格证明文件</w:t>
            </w:r>
          </w:p>
        </w:tc>
        <w:tc>
          <w:tcPr>
            <w:tcW w:w="5940" w:type="dxa"/>
            <w:vAlign w:val="center"/>
          </w:tcPr>
          <w:p w14:paraId="5CF44DF7">
            <w:pPr>
              <w:spacing w:line="360" w:lineRule="auto"/>
              <w:rPr>
                <w:rFonts w:ascii="宋体" w:hAnsi="宋体"/>
                <w:color w:val="000000"/>
                <w:sz w:val="24"/>
                <w:szCs w:val="24"/>
                <w:highlight w:val="none"/>
              </w:rPr>
            </w:pPr>
            <w:r>
              <w:rPr>
                <w:rFonts w:hint="eastAsia" w:ascii="宋体" w:hAnsi="宋体"/>
                <w:color w:val="000000"/>
                <w:sz w:val="24"/>
                <w:szCs w:val="24"/>
                <w:highlight w:val="none"/>
              </w:rPr>
              <w:t>（一）具有独立承担民事责任的能力。</w:t>
            </w:r>
          </w:p>
          <w:p w14:paraId="33A14983">
            <w:pPr>
              <w:spacing w:line="360" w:lineRule="auto"/>
              <w:ind w:firstLine="480" w:firstLineChars="200"/>
              <w:rPr>
                <w:rFonts w:ascii="宋体" w:hAnsi="宋体"/>
                <w:color w:val="000000"/>
                <w:sz w:val="24"/>
                <w:szCs w:val="24"/>
                <w:highlight w:val="none"/>
              </w:rPr>
            </w:pPr>
            <w:r>
              <w:rPr>
                <w:rFonts w:hint="eastAsia" w:ascii="宋体" w:hAnsi="宋体"/>
                <w:color w:val="000000"/>
                <w:sz w:val="24"/>
                <w:szCs w:val="24"/>
                <w:highlight w:val="none"/>
              </w:rPr>
              <w:t>提供注册登记凭证（营业执照、其他组织经营的合法凭证，自然人的提供身份证明文件）。</w:t>
            </w:r>
          </w:p>
          <w:p w14:paraId="7560E82C">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（二）具有良好的商业信誉和健全的财务会计制度。</w:t>
            </w:r>
          </w:p>
          <w:p w14:paraId="2C463EC5">
            <w:pPr>
              <w:spacing w:line="360" w:lineRule="auto"/>
              <w:ind w:left="1" w:firstLine="480" w:firstLineChars="200"/>
              <w:rPr>
                <w:rFonts w:ascii="宋体" w:hAnsi="宋体"/>
                <w:color w:val="000000"/>
                <w:sz w:val="24"/>
                <w:szCs w:val="24"/>
                <w:highlight w:val="none"/>
              </w:rPr>
            </w:pPr>
            <w:r>
              <w:rPr>
                <w:rFonts w:hint="eastAsia" w:ascii="宋体" w:hAnsi="宋体"/>
                <w:sz w:val="24"/>
                <w:szCs w:val="24"/>
                <w:highlight w:val="none"/>
              </w:rPr>
              <w:t>提供2024年度或2025年度经审计的财务报告（包括四表一注，即资产负债表、利润表、现金流量表、所有者权益变动表及其附注），</w:t>
            </w:r>
            <w:r>
              <w:rPr>
                <w:rFonts w:hint="eastAsia" w:ascii="宋体" w:hAnsi="宋体"/>
                <w:color w:val="000000"/>
                <w:sz w:val="24"/>
                <w:szCs w:val="24"/>
                <w:highlight w:val="none"/>
              </w:rPr>
              <w:t>且无反对意见；事业法人提供部门决算报告；</w:t>
            </w:r>
          </w:p>
          <w:p w14:paraId="6F66B20E">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/或在开标日期前六个月内其基本开户银行出具的资信证明</w:t>
            </w:r>
            <w:r>
              <w:rPr>
                <w:rFonts w:hint="eastAsia" w:ascii="宋体" w:hAnsi="宋体"/>
                <w:color w:val="000000"/>
                <w:sz w:val="24"/>
                <w:szCs w:val="24"/>
                <w:highlight w:val="none"/>
              </w:rPr>
              <w:t>（附基本存款账户信息等证明材料）；</w:t>
            </w:r>
          </w:p>
          <w:p w14:paraId="13069CC7">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/或专业担保机构出具的投标担保函；</w:t>
            </w:r>
          </w:p>
          <w:p w14:paraId="7E87E8D4">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或表明具有良好的商业信誉和健全的财务会计制度的诚信声明；</w:t>
            </w:r>
          </w:p>
          <w:p w14:paraId="250C099C">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以上四种形式的资料提供任何一种即可。</w:t>
            </w:r>
          </w:p>
          <w:p w14:paraId="7CCC5137">
            <w:pPr>
              <w:spacing w:line="360" w:lineRule="auto"/>
              <w:rPr>
                <w:rFonts w:ascii="宋体" w:hAnsi="宋体"/>
                <w:sz w:val="24"/>
                <w:szCs w:val="24"/>
                <w:highlight w:val="none"/>
              </w:rPr>
            </w:pPr>
            <w:r>
              <w:rPr>
                <w:rFonts w:hint="eastAsia" w:ascii="宋体" w:hAnsi="宋体"/>
                <w:sz w:val="24"/>
                <w:szCs w:val="24"/>
                <w:highlight w:val="none"/>
              </w:rPr>
              <w:t>（三）</w:t>
            </w:r>
            <w:r>
              <w:rPr>
                <w:rFonts w:ascii="宋体" w:hAnsi="宋体"/>
                <w:sz w:val="24"/>
                <w:szCs w:val="24"/>
                <w:highlight w:val="none"/>
              </w:rPr>
              <w:t>具有履行合同所必需的设备和专业技术能力</w:t>
            </w:r>
            <w:r>
              <w:rPr>
                <w:rFonts w:hint="eastAsia" w:ascii="宋体" w:hAnsi="宋体"/>
                <w:sz w:val="24"/>
                <w:szCs w:val="24"/>
                <w:highlight w:val="none"/>
              </w:rPr>
              <w:t>。</w:t>
            </w:r>
          </w:p>
          <w:p w14:paraId="023CE7A9">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提供声明文件原件。</w:t>
            </w:r>
          </w:p>
          <w:p w14:paraId="6B1ACE82">
            <w:pPr>
              <w:numPr>
                <w:ilvl w:val="0"/>
                <w:numId w:val="3"/>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具有依法缴纳税收的良好记录。</w:t>
            </w:r>
          </w:p>
          <w:p w14:paraId="09B0CAA2">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提供缴费所属日期为投标截止时间前12个月内任一月份（投标截止时间当月不计入）的缴费凭据或税务机关出具的完税证明或（在法规范围内不需提供的应出具书面说明和证明文件）；</w:t>
            </w:r>
          </w:p>
          <w:p w14:paraId="2150A325">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或具有依法缴纳税收的诚信声明；</w:t>
            </w:r>
          </w:p>
          <w:p w14:paraId="6AC52FE1">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473DC5FD">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（五）具有依法缴纳社会保障资金的良好记录。</w:t>
            </w:r>
          </w:p>
          <w:p w14:paraId="647762BF">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提供缴费所属日期为投标截止时间前12个月内任一月份（投标截止时间当月不计入）的缴费凭据或社保机关出具的缴费证明（在法规范围内不需提供的应出具书面说明和证明文件）；</w:t>
            </w:r>
          </w:p>
          <w:p w14:paraId="376091BD">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或具有依法缴纳社会保障资金的缴纳记录的诚信声明；</w:t>
            </w:r>
          </w:p>
          <w:p w14:paraId="15DD9C7F">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3EDDD94A">
            <w:pPr>
              <w:spacing w:line="360" w:lineRule="auto"/>
              <w:rPr>
                <w:rFonts w:ascii="宋体" w:hAnsi="宋体"/>
                <w:sz w:val="24"/>
                <w:szCs w:val="24"/>
                <w:highlight w:val="none"/>
              </w:rPr>
            </w:pPr>
            <w:r>
              <w:rPr>
                <w:rFonts w:hint="eastAsia" w:ascii="宋体" w:hAnsi="宋体"/>
                <w:sz w:val="24"/>
                <w:szCs w:val="24"/>
                <w:highlight w:val="none"/>
              </w:rPr>
              <w:t>（六）参加政府采购活动前3年内在经营活动中没有重大违法记录的书面声明（原件）。</w:t>
            </w:r>
          </w:p>
          <w:p w14:paraId="405094A3">
            <w:pPr>
              <w:spacing w:line="360" w:lineRule="auto"/>
              <w:rPr>
                <w:rFonts w:ascii="宋体" w:hAnsi="宋体"/>
                <w:sz w:val="24"/>
                <w:szCs w:val="24"/>
                <w:highlight w:val="none"/>
              </w:rPr>
            </w:pPr>
            <w:r>
              <w:rPr>
                <w:rFonts w:hint="eastAsia" w:ascii="宋体" w:hAnsi="宋体"/>
                <w:sz w:val="24"/>
                <w:szCs w:val="24"/>
                <w:highlight w:val="none"/>
              </w:rPr>
              <w:t>（七）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p>
          <w:p w14:paraId="62048C15">
            <w:pPr>
              <w:spacing w:line="360" w:lineRule="auto"/>
              <w:rPr>
                <w:rFonts w:ascii="宋体" w:hAnsi="宋体" w:cs="宋体"/>
                <w:b/>
                <w:bCs/>
                <w:color w:val="000000"/>
                <w:sz w:val="24"/>
                <w:highlight w:val="none"/>
              </w:rPr>
            </w:pPr>
            <w:r>
              <w:rPr>
                <w:rFonts w:hint="eastAsia" w:ascii="宋体" w:hAnsi="宋体"/>
                <w:sz w:val="24"/>
                <w:szCs w:val="24"/>
                <w:highlight w:val="none"/>
              </w:rPr>
              <w:t>（八）</w:t>
            </w:r>
            <w:r>
              <w:rPr>
                <w:rFonts w:hint="eastAsia" w:ascii="宋体" w:hAnsi="宋体" w:cs="宋体"/>
                <w:b/>
                <w:bCs/>
                <w:color w:val="000000"/>
                <w:sz w:val="24"/>
                <w:highlight w:val="none"/>
              </w:rPr>
              <w:t>纳入医疗器械管理的，投标人须具有与投标产品相应的医疗器械经营资质；</w:t>
            </w:r>
          </w:p>
          <w:p w14:paraId="5E377676">
            <w:pPr>
              <w:spacing w:line="360" w:lineRule="auto"/>
              <w:rPr>
                <w:rFonts w:ascii="宋体" w:hAnsi="宋体"/>
                <w:sz w:val="24"/>
                <w:szCs w:val="24"/>
                <w:highlight w:val="none"/>
              </w:rPr>
            </w:pPr>
            <w:r>
              <w:rPr>
                <w:rFonts w:hint="eastAsia" w:ascii="宋体" w:hAnsi="宋体" w:cs="宋体"/>
                <w:b/>
                <w:bCs/>
                <w:color w:val="000000"/>
                <w:sz w:val="24"/>
                <w:highlight w:val="none"/>
              </w:rPr>
              <w:t>（九）</w:t>
            </w:r>
            <w:r>
              <w:rPr>
                <w:rFonts w:hint="eastAsia" w:ascii="宋体" w:hAnsi="宋体"/>
                <w:sz w:val="24"/>
                <w:szCs w:val="24"/>
                <w:highlight w:val="none"/>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p>
          <w:p w14:paraId="7468F689">
            <w:pPr>
              <w:spacing w:line="440" w:lineRule="exact"/>
              <w:ind w:firstLine="482" w:firstLineChars="200"/>
              <w:rPr>
                <w:rFonts w:ascii="宋体" w:hAnsi="宋体"/>
                <w:color w:val="FF0000"/>
                <w:sz w:val="24"/>
                <w:szCs w:val="24"/>
                <w:highlight w:val="none"/>
              </w:rPr>
            </w:pPr>
            <w:r>
              <w:rPr>
                <w:rFonts w:hint="eastAsia" w:ascii="宋体" w:hAnsi="宋体" w:cs="宋体"/>
                <w:b/>
                <w:bCs/>
                <w:sz w:val="24"/>
                <w:szCs w:val="24"/>
                <w:highlight w:val="none"/>
              </w:rPr>
              <w:t>注:以上（一）至（八）项资格证明文件供应商必须完全提供（除注明原件外，均为复印件并须加盖供应商公章）并胶装在投标文件中，一项不合格即按照无效处理。</w:t>
            </w:r>
            <w:r>
              <w:rPr>
                <w:rFonts w:hint="eastAsia" w:ascii="宋体" w:hAnsi="宋体" w:cs="宋体"/>
                <w:b/>
                <w:sz w:val="24"/>
                <w:highlight w:val="none"/>
              </w:rPr>
              <w:t>第（</w:t>
            </w:r>
            <w:r>
              <w:rPr>
                <w:rFonts w:hint="eastAsia" w:ascii="宋体" w:hAnsi="宋体" w:cs="宋体"/>
                <w:b/>
                <w:bCs/>
                <w:sz w:val="24"/>
                <w:szCs w:val="24"/>
                <w:highlight w:val="none"/>
              </w:rPr>
              <w:t>九</w:t>
            </w:r>
            <w:r>
              <w:rPr>
                <w:rFonts w:hint="eastAsia" w:ascii="宋体" w:hAnsi="宋体" w:cs="宋体"/>
                <w:b/>
                <w:sz w:val="24"/>
                <w:highlight w:val="none"/>
              </w:rPr>
              <w:t>）项资格要求在评审时进行核查，如果供应商被查实在开标时间前已列入失信被执行人、重大税收违法失信主体、政府采购严重违法失信行为记录名单，其投标为无效。</w:t>
            </w:r>
          </w:p>
        </w:tc>
      </w:tr>
      <w:tr w14:paraId="122A309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shd w:val="clear" w:color="auto" w:fill="auto"/>
            <w:vAlign w:val="center"/>
          </w:tcPr>
          <w:p w14:paraId="032887FB">
            <w:pPr>
              <w:spacing w:line="360" w:lineRule="auto"/>
              <w:jc w:val="center"/>
              <w:rPr>
                <w:rFonts w:ascii="宋体" w:hAnsi="宋体"/>
                <w:sz w:val="24"/>
                <w:szCs w:val="24"/>
                <w:highlight w:val="none"/>
              </w:rPr>
            </w:pPr>
            <w:r>
              <w:rPr>
                <w:rFonts w:hint="eastAsia" w:ascii="宋体" w:hAnsi="宋体"/>
                <w:sz w:val="24"/>
                <w:szCs w:val="24"/>
                <w:highlight w:val="none"/>
              </w:rPr>
              <w:t>12.3</w:t>
            </w:r>
          </w:p>
        </w:tc>
        <w:tc>
          <w:tcPr>
            <w:tcW w:w="2067" w:type="dxa"/>
            <w:shd w:val="clear" w:color="auto" w:fill="auto"/>
            <w:vAlign w:val="center"/>
          </w:tcPr>
          <w:p w14:paraId="3C453110">
            <w:pPr>
              <w:spacing w:line="360" w:lineRule="auto"/>
              <w:rPr>
                <w:rFonts w:ascii="宋体" w:hAnsi="宋体"/>
                <w:sz w:val="24"/>
                <w:szCs w:val="24"/>
                <w:highlight w:val="none"/>
              </w:rPr>
            </w:pPr>
            <w:r>
              <w:rPr>
                <w:rFonts w:hint="eastAsia" w:ascii="宋体" w:hAnsi="宋体"/>
                <w:sz w:val="24"/>
                <w:szCs w:val="24"/>
                <w:highlight w:val="none"/>
              </w:rPr>
              <w:t>商务响应证明文件</w:t>
            </w:r>
          </w:p>
        </w:tc>
        <w:tc>
          <w:tcPr>
            <w:tcW w:w="5940" w:type="dxa"/>
            <w:shd w:val="clear" w:color="auto" w:fill="auto"/>
            <w:vAlign w:val="center"/>
          </w:tcPr>
          <w:p w14:paraId="1D4914E1">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2309E607">
            <w:pPr>
              <w:spacing w:line="360" w:lineRule="auto"/>
              <w:rPr>
                <w:rFonts w:ascii="宋体" w:hAnsi="宋体"/>
                <w:sz w:val="24"/>
                <w:szCs w:val="24"/>
                <w:highlight w:val="none"/>
              </w:rPr>
            </w:pPr>
            <w:r>
              <w:rPr>
                <w:rFonts w:hint="eastAsia" w:ascii="宋体" w:hAnsi="宋体"/>
                <w:sz w:val="24"/>
                <w:szCs w:val="24"/>
                <w:highlight w:val="none"/>
              </w:rPr>
              <w:t>具体要求：</w:t>
            </w:r>
          </w:p>
          <w:p w14:paraId="7BAEB05E">
            <w:pPr>
              <w:widowControl/>
              <w:spacing w:line="360" w:lineRule="auto"/>
              <w:ind w:left="15" w:leftChars="6" w:hanging="2"/>
              <w:jc w:val="left"/>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2B0BB4F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5EDA4FE0">
            <w:pPr>
              <w:spacing w:line="360" w:lineRule="auto"/>
              <w:jc w:val="center"/>
              <w:rPr>
                <w:rFonts w:ascii="宋体" w:hAnsi="宋体"/>
                <w:sz w:val="24"/>
                <w:szCs w:val="24"/>
                <w:highlight w:val="none"/>
              </w:rPr>
            </w:pPr>
            <w:r>
              <w:rPr>
                <w:rFonts w:hint="eastAsia" w:ascii="宋体" w:hAnsi="宋体"/>
                <w:sz w:val="24"/>
                <w:szCs w:val="24"/>
                <w:highlight w:val="none"/>
              </w:rPr>
              <w:t>*12.4.1</w:t>
            </w:r>
          </w:p>
          <w:p w14:paraId="7E3D7043">
            <w:pPr>
              <w:spacing w:line="360" w:lineRule="auto"/>
              <w:jc w:val="center"/>
              <w:rPr>
                <w:rFonts w:ascii="宋体" w:hAnsi="宋体"/>
                <w:sz w:val="24"/>
                <w:szCs w:val="24"/>
                <w:highlight w:val="none"/>
              </w:rPr>
            </w:pPr>
            <w:r>
              <w:rPr>
                <w:rFonts w:hint="eastAsia" w:ascii="宋体" w:hAnsi="宋体"/>
                <w:sz w:val="24"/>
                <w:szCs w:val="24"/>
                <w:highlight w:val="none"/>
              </w:rPr>
              <w:t>1）</w:t>
            </w:r>
          </w:p>
        </w:tc>
        <w:tc>
          <w:tcPr>
            <w:tcW w:w="2067" w:type="dxa"/>
            <w:vAlign w:val="center"/>
          </w:tcPr>
          <w:p w14:paraId="1A737BB2">
            <w:pPr>
              <w:spacing w:line="360" w:lineRule="auto"/>
              <w:rPr>
                <w:rFonts w:ascii="宋体" w:hAnsi="宋体"/>
                <w:sz w:val="24"/>
                <w:szCs w:val="24"/>
                <w:highlight w:val="none"/>
              </w:rPr>
            </w:pPr>
            <w:r>
              <w:rPr>
                <w:rFonts w:hint="eastAsia" w:ascii="宋体" w:hAnsi="宋体"/>
                <w:sz w:val="24"/>
                <w:szCs w:val="24"/>
                <w:highlight w:val="none"/>
              </w:rPr>
              <w:t>货物合格性证明</w:t>
            </w:r>
          </w:p>
        </w:tc>
        <w:tc>
          <w:tcPr>
            <w:tcW w:w="5940" w:type="dxa"/>
            <w:vAlign w:val="center"/>
          </w:tcPr>
          <w:p w14:paraId="507A688B">
            <w:pPr>
              <w:spacing w:line="360" w:lineRule="auto"/>
              <w:rPr>
                <w:rFonts w:ascii="宋体" w:hAnsi="宋体"/>
                <w:i/>
                <w:iCs/>
                <w:color w:val="3AFF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 xml:space="preserve">有  </w:t>
            </w:r>
          </w:p>
          <w:p w14:paraId="6D7170E2">
            <w:pPr>
              <w:spacing w:line="360" w:lineRule="auto"/>
              <w:rPr>
                <w:rFonts w:ascii="宋体" w:hAnsi="宋体"/>
                <w:sz w:val="24"/>
                <w:szCs w:val="24"/>
                <w:highlight w:val="none"/>
              </w:rPr>
            </w:pPr>
            <w:r>
              <w:rPr>
                <w:rFonts w:hint="eastAsia" w:ascii="宋体" w:hAnsi="宋体"/>
                <w:sz w:val="24"/>
                <w:szCs w:val="24"/>
                <w:highlight w:val="none"/>
              </w:rPr>
              <w:t>具体要求：</w:t>
            </w:r>
          </w:p>
          <w:p w14:paraId="6BA1CE6C">
            <w:pPr>
              <w:pStyle w:val="14"/>
              <w:spacing w:line="360" w:lineRule="auto"/>
              <w:rPr>
                <w:rFonts w:ascii="宋体" w:hAnsi="宋体" w:cs="宋体"/>
                <w:b/>
                <w:bCs/>
                <w:kern w:val="2"/>
                <w:sz w:val="24"/>
                <w:szCs w:val="24"/>
                <w:highlight w:val="none"/>
              </w:rPr>
            </w:pPr>
            <w:r>
              <w:rPr>
                <w:rFonts w:hint="eastAsia" w:ascii="宋体" w:hAnsi="宋体" w:cs="宋体"/>
                <w:b/>
                <w:bCs/>
                <w:sz w:val="24"/>
                <w:szCs w:val="24"/>
                <w:highlight w:val="none"/>
              </w:rPr>
              <w:t>纳入医疗器械管理的，提供与投标产品相应的医疗器械注册证或备案凭证。</w:t>
            </w:r>
          </w:p>
          <w:p w14:paraId="0C3DDB6D">
            <w:pPr>
              <w:spacing w:line="420" w:lineRule="exact"/>
              <w:rPr>
                <w:rFonts w:ascii="宋体" w:hAnsi="宋体" w:cs="宋体"/>
                <w:b/>
                <w:bCs/>
                <w:sz w:val="24"/>
                <w:szCs w:val="24"/>
                <w:highlight w:val="none"/>
              </w:rPr>
            </w:pPr>
            <w:r>
              <w:rPr>
                <w:rFonts w:hint="eastAsia" w:ascii="宋体" w:hAnsi="宋体" w:cs="宋体"/>
                <w:b/>
                <w:bCs/>
                <w:sz w:val="24"/>
                <w:szCs w:val="24"/>
                <w:highlight w:val="none"/>
              </w:rPr>
              <w:t>注:以上证明文件投标人必须完全提供并胶装在投标文件中；如未提供，投标将被否决。</w:t>
            </w:r>
          </w:p>
          <w:p w14:paraId="15EF7BD1">
            <w:pPr>
              <w:spacing w:line="420" w:lineRule="exact"/>
              <w:rPr>
                <w:rFonts w:ascii="宋体" w:hAnsi="宋体" w:cs="宋体"/>
                <w:b/>
                <w:bCs/>
                <w:sz w:val="24"/>
                <w:szCs w:val="24"/>
                <w:highlight w:val="none"/>
              </w:rPr>
            </w:pPr>
          </w:p>
          <w:p w14:paraId="1BCB6A29">
            <w:pPr>
              <w:widowControl/>
              <w:spacing w:line="360" w:lineRule="auto"/>
              <w:ind w:hanging="2"/>
              <w:jc w:val="left"/>
              <w:rPr>
                <w:rFonts w:ascii="宋体" w:hAnsi="宋体"/>
                <w:sz w:val="24"/>
                <w:szCs w:val="24"/>
                <w:highlight w:val="none"/>
              </w:rPr>
            </w:pPr>
            <w:r>
              <w:rPr>
                <w:rFonts w:hint="eastAsia" w:ascii="宋体" w:hAnsi="宋体"/>
                <w:kern w:val="0"/>
                <w:sz w:val="24"/>
                <w:szCs w:val="24"/>
                <w:highlight w:val="none"/>
              </w:rPr>
              <w:t>☐无</w:t>
            </w:r>
            <w:r>
              <w:rPr>
                <w:rFonts w:hint="eastAsia" w:ascii="宋体" w:hAnsi="宋体" w:cs="宋体"/>
                <w:color w:val="000000"/>
                <w:kern w:val="0"/>
                <w:sz w:val="24"/>
                <w:szCs w:val="24"/>
                <w:highlight w:val="none"/>
              </w:rPr>
              <w:t>　</w:t>
            </w:r>
          </w:p>
        </w:tc>
      </w:tr>
      <w:tr w14:paraId="4160083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69745E5C">
            <w:pPr>
              <w:spacing w:line="360" w:lineRule="auto"/>
              <w:jc w:val="center"/>
              <w:rPr>
                <w:rFonts w:ascii="宋体" w:hAnsi="宋体"/>
                <w:sz w:val="24"/>
                <w:szCs w:val="24"/>
                <w:highlight w:val="none"/>
              </w:rPr>
            </w:pPr>
            <w:r>
              <w:rPr>
                <w:rFonts w:hint="eastAsia" w:ascii="宋体" w:hAnsi="宋体"/>
                <w:sz w:val="24"/>
                <w:szCs w:val="24"/>
                <w:highlight w:val="none"/>
              </w:rPr>
              <w:t>13</w:t>
            </w:r>
          </w:p>
        </w:tc>
        <w:tc>
          <w:tcPr>
            <w:tcW w:w="2067" w:type="dxa"/>
            <w:vAlign w:val="center"/>
          </w:tcPr>
          <w:p w14:paraId="0662421A">
            <w:pPr>
              <w:pStyle w:val="40"/>
              <w:spacing w:before="78" w:line="370" w:lineRule="auto"/>
              <w:ind w:left="121" w:right="244" w:firstLine="2"/>
              <w:jc w:val="center"/>
              <w:rPr>
                <w:highlight w:val="none"/>
                <w:lang w:eastAsia="zh-CN"/>
              </w:rPr>
            </w:pPr>
            <w:r>
              <w:rPr>
                <w:rFonts w:hint="eastAsia"/>
                <w:highlight w:val="none"/>
                <w:lang w:eastAsia="zh-CN"/>
              </w:rPr>
              <w:t>落实节能、环保产品政策</w:t>
            </w:r>
          </w:p>
        </w:tc>
        <w:tc>
          <w:tcPr>
            <w:tcW w:w="5940" w:type="dxa"/>
          </w:tcPr>
          <w:p w14:paraId="7040AE65">
            <w:pPr>
              <w:pStyle w:val="40"/>
              <w:spacing w:before="196" w:line="319" w:lineRule="auto"/>
              <w:ind w:left="127" w:right="134"/>
              <w:rPr>
                <w:highlight w:val="none"/>
                <w:lang w:eastAsia="zh-CN"/>
              </w:rPr>
            </w:pPr>
            <w:r>
              <w:rPr>
                <w:rFonts w:hint="eastAsia"/>
                <w:highlight w:val="none"/>
                <w:lang w:eastAsia="zh-CN"/>
              </w:rPr>
              <w:t>1、根据《财政部发展改革委生态环境部市场监管总局关于调整优化节能产品、环境标志产品政府采购执行机制的通知》（财库〔2019〕9号）、</w:t>
            </w:r>
            <w:r>
              <w:rPr>
                <w:rFonts w:hint="eastAsia"/>
                <w:szCs w:val="21"/>
                <w:highlight w:val="none"/>
                <w:lang w:eastAsia="zh-CN"/>
              </w:rPr>
              <w:t>《关于印发节能产品政府采购品目清单的通知》（财库〔2019〕19 号）、《关于印发环境标志产品政府采购品目清单的通知》（财库〔2019〕18 号）的</w:t>
            </w:r>
            <w:r>
              <w:rPr>
                <w:rFonts w:hint="eastAsia"/>
                <w:highlight w:val="none"/>
                <w:lang w:eastAsia="zh-CN"/>
              </w:rPr>
              <w:t>相关要求，政府采购节能产品、环境标志产品实施品目清单管理。财政部、发展改革委、生态环境部等部门确定实施政府优先采购和强制采购的产品类别，以品、目清单的形式发布并适时调整。</w:t>
            </w:r>
          </w:p>
          <w:p w14:paraId="54A8563D">
            <w:pPr>
              <w:pStyle w:val="40"/>
              <w:spacing w:before="196" w:line="319" w:lineRule="auto"/>
              <w:ind w:left="127" w:right="134"/>
              <w:rPr>
                <w:highlight w:val="none"/>
                <w:lang w:eastAsia="zh-CN"/>
              </w:rPr>
            </w:pPr>
            <w:r>
              <w:rPr>
                <w:rFonts w:hint="eastAsia"/>
                <w:highlight w:val="none"/>
                <w:lang w:eastAsia="zh-CN"/>
              </w:rPr>
              <w:t>*2、本次采购中涉及的产品属于政府强制采购产品类别的，须按照要求提供依据国家确定的认证机构出具的、处于有效期之内的节能产品认证证书，否则响应无效；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否则作无效投标处理。</w:t>
            </w:r>
          </w:p>
          <w:p w14:paraId="3350F8E8">
            <w:pPr>
              <w:pStyle w:val="40"/>
              <w:spacing w:before="196" w:line="319" w:lineRule="auto"/>
              <w:ind w:left="127" w:right="134"/>
              <w:rPr>
                <w:highlight w:val="none"/>
                <w:lang w:eastAsia="zh-CN"/>
              </w:rPr>
            </w:pPr>
            <w:r>
              <w:rPr>
                <w:rFonts w:hint="eastAsia"/>
                <w:highlight w:val="none"/>
                <w:lang w:eastAsia="zh-CN"/>
              </w:rPr>
              <w:t>2.1本项目中属于政府强制采购产品的品目编码及名称为：无。</w:t>
            </w:r>
          </w:p>
          <w:p w14:paraId="15A91B50">
            <w:pPr>
              <w:pStyle w:val="40"/>
              <w:spacing w:before="196" w:line="319" w:lineRule="auto"/>
              <w:ind w:left="127" w:right="134"/>
              <w:rPr>
                <w:highlight w:val="none"/>
                <w:lang w:eastAsia="zh-CN"/>
              </w:rPr>
            </w:pPr>
            <w:r>
              <w:rPr>
                <w:rFonts w:hint="eastAsia"/>
                <w:highlight w:val="none"/>
                <w:lang w:eastAsia="zh-CN"/>
              </w:rPr>
              <w:t>3、本次采购中涉及的产品属于政府优先采购产品类别的，须按照要求提供依据国家确定的认证机构出具的、处于有效期之内的节能产品或环境标志产品认证证书，否则不予认定，不得分；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w:t>
            </w:r>
          </w:p>
          <w:p w14:paraId="0AA15CDD">
            <w:pPr>
              <w:pStyle w:val="40"/>
              <w:spacing w:before="196" w:line="319" w:lineRule="auto"/>
              <w:ind w:left="127" w:right="134"/>
              <w:rPr>
                <w:highlight w:val="none"/>
                <w:lang w:eastAsia="zh-CN"/>
              </w:rPr>
            </w:pPr>
            <w:r>
              <w:rPr>
                <w:rFonts w:hint="eastAsia"/>
                <w:highlight w:val="none"/>
                <w:lang w:eastAsia="zh-CN"/>
              </w:rPr>
              <w:t>3.1本项目中属于政府优先采购的节能产品的品目编号及名称为：无。</w:t>
            </w:r>
          </w:p>
          <w:p w14:paraId="68347D9B">
            <w:pPr>
              <w:pStyle w:val="40"/>
              <w:spacing w:before="196" w:line="319" w:lineRule="auto"/>
              <w:ind w:left="127" w:right="134"/>
              <w:rPr>
                <w:highlight w:val="none"/>
                <w:lang w:eastAsia="zh-CN"/>
              </w:rPr>
            </w:pPr>
            <w:r>
              <w:rPr>
                <w:rFonts w:hint="eastAsia"/>
                <w:highlight w:val="none"/>
                <w:lang w:eastAsia="zh-CN"/>
              </w:rPr>
              <w:t>3.2 本项目中属于政府采购优先购买的环保产品的品目编号及名称为：无。</w:t>
            </w:r>
          </w:p>
          <w:p w14:paraId="32C41AC7">
            <w:pPr>
              <w:pStyle w:val="40"/>
              <w:spacing w:before="196" w:line="319" w:lineRule="auto"/>
              <w:ind w:left="127" w:right="134"/>
              <w:rPr>
                <w:highlight w:val="none"/>
                <w:lang w:eastAsia="zh-CN"/>
              </w:rPr>
            </w:pPr>
            <w:r>
              <w:rPr>
                <w:rFonts w:hint="eastAsia"/>
                <w:highlight w:val="none"/>
                <w:lang w:eastAsia="zh-CN"/>
              </w:rPr>
              <w:t>4、认证机构以中国政府采购网最新公布的《市场监管总局关于发布参与实施政府采购节能产品、环境标志产品认证机构名录的公告》中所列机构为准。</w:t>
            </w:r>
          </w:p>
        </w:tc>
      </w:tr>
      <w:tr w14:paraId="1FD6BE5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restart"/>
            <w:vAlign w:val="center"/>
          </w:tcPr>
          <w:p w14:paraId="2F55D923">
            <w:pPr>
              <w:spacing w:line="360" w:lineRule="auto"/>
              <w:jc w:val="center"/>
              <w:rPr>
                <w:rFonts w:ascii="宋体" w:hAnsi="宋体"/>
                <w:sz w:val="24"/>
                <w:szCs w:val="24"/>
                <w:highlight w:val="none"/>
              </w:rPr>
            </w:pPr>
            <w:r>
              <w:rPr>
                <w:rFonts w:hint="eastAsia" w:ascii="宋体" w:hAnsi="宋体"/>
                <w:b/>
                <w:sz w:val="24"/>
                <w:szCs w:val="24"/>
                <w:highlight w:val="none"/>
              </w:rPr>
              <w:t>14</w:t>
            </w:r>
          </w:p>
        </w:tc>
        <w:tc>
          <w:tcPr>
            <w:tcW w:w="2067" w:type="dxa"/>
            <w:vAlign w:val="center"/>
          </w:tcPr>
          <w:p w14:paraId="0D60CDDE">
            <w:pPr>
              <w:pStyle w:val="40"/>
              <w:spacing w:before="78" w:line="370" w:lineRule="auto"/>
              <w:ind w:left="121" w:right="244" w:firstLine="2"/>
              <w:rPr>
                <w:highlight w:val="none"/>
                <w:lang w:eastAsia="zh-CN"/>
              </w:rPr>
            </w:pPr>
            <w:r>
              <w:rPr>
                <w:rFonts w:hint="eastAsia"/>
                <w:b/>
                <w:highlight w:val="none"/>
                <w:lang w:eastAsia="zh-CN"/>
              </w:rPr>
              <w:t>落实促进支持小微企业、监狱企业、残疾人企业发展的政策</w:t>
            </w:r>
          </w:p>
        </w:tc>
        <w:tc>
          <w:tcPr>
            <w:tcW w:w="5940" w:type="dxa"/>
          </w:tcPr>
          <w:p w14:paraId="42268B9E">
            <w:pPr>
              <w:spacing w:line="360" w:lineRule="auto"/>
              <w:rPr>
                <w:rFonts w:ascii="宋体" w:hAnsi="宋体" w:cs="宋体"/>
                <w:sz w:val="24"/>
                <w:szCs w:val="24"/>
                <w:highlight w:val="none"/>
              </w:rPr>
            </w:pPr>
            <w:r>
              <w:rPr>
                <w:rFonts w:hint="eastAsia" w:ascii="宋体" w:hAnsi="宋体" w:cs="宋体"/>
                <w:sz w:val="24"/>
                <w:szCs w:val="24"/>
                <w:highlight w:val="none"/>
              </w:rPr>
              <w:t>1.本项目为非专门面向中小微企业采购。</w:t>
            </w:r>
          </w:p>
          <w:p w14:paraId="6EE3C915">
            <w:pPr>
              <w:spacing w:line="360" w:lineRule="auto"/>
              <w:rPr>
                <w:rFonts w:ascii="宋体" w:hAnsi="宋体" w:cs="宋体"/>
                <w:sz w:val="24"/>
                <w:szCs w:val="24"/>
                <w:highlight w:val="none"/>
                <w:u w:val="single"/>
              </w:rPr>
            </w:pPr>
            <w:r>
              <w:rPr>
                <w:rFonts w:hint="eastAsia" w:ascii="宋体" w:hAnsi="宋体" w:cs="宋体"/>
                <w:sz w:val="24"/>
                <w:szCs w:val="24"/>
                <w:highlight w:val="none"/>
              </w:rPr>
              <w:t>2.本项目标的所属行业为</w:t>
            </w:r>
            <w:r>
              <w:rPr>
                <w:rFonts w:hint="eastAsia" w:ascii="宋体" w:hAnsi="宋体" w:cs="宋体"/>
                <w:sz w:val="24"/>
                <w:szCs w:val="24"/>
                <w:highlight w:val="none"/>
                <w:u w:val="single"/>
              </w:rPr>
              <w:t>工业。</w:t>
            </w:r>
          </w:p>
          <w:p w14:paraId="6031436C">
            <w:pPr>
              <w:spacing w:line="360" w:lineRule="auto"/>
              <w:rPr>
                <w:rFonts w:ascii="宋体" w:hAnsi="宋体" w:cs="宋体"/>
                <w:sz w:val="24"/>
                <w:szCs w:val="24"/>
                <w:highlight w:val="none"/>
              </w:rPr>
            </w:pPr>
            <w:r>
              <w:rPr>
                <w:rFonts w:hint="eastAsia" w:ascii="宋体" w:hAnsi="宋体" w:cs="宋体"/>
                <w:sz w:val="24"/>
                <w:szCs w:val="24"/>
                <w:highlight w:val="none"/>
              </w:rPr>
              <w:t>3、对于供应商符合政府采购政策关于小微企业、残疾人福利性单位及监狱企业等规定的，在评标时给予相应的价格折扣，具体办法详见第五章“评标办法”。</w:t>
            </w:r>
          </w:p>
          <w:p w14:paraId="77E4580E">
            <w:pPr>
              <w:spacing w:line="360" w:lineRule="auto"/>
              <w:rPr>
                <w:highlight w:val="none"/>
              </w:rPr>
            </w:pPr>
            <w:r>
              <w:rPr>
                <w:rFonts w:hint="eastAsia" w:ascii="宋体" w:hAnsi="宋体" w:cs="宋体"/>
                <w:sz w:val="24"/>
                <w:szCs w:val="24"/>
                <w:highlight w:val="none"/>
              </w:rPr>
              <w:t>4、若本项目为专门面向中小企业采购项目，不再执行上述价格折扣。</w:t>
            </w:r>
          </w:p>
          <w:p w14:paraId="4BFE5414">
            <w:pPr>
              <w:spacing w:line="360" w:lineRule="auto"/>
              <w:rPr>
                <w:rFonts w:ascii="宋体" w:hAnsi="宋体" w:cs="宋体"/>
                <w:sz w:val="24"/>
                <w:szCs w:val="24"/>
                <w:highlight w:val="none"/>
              </w:rPr>
            </w:pPr>
            <w:r>
              <w:rPr>
                <w:rFonts w:hint="eastAsia" w:ascii="宋体" w:hAnsi="宋体" w:cs="宋体"/>
                <w:sz w:val="24"/>
                <w:szCs w:val="24"/>
                <w:highlight w:val="none"/>
              </w:rPr>
              <w:t>注：</w:t>
            </w:r>
          </w:p>
          <w:p w14:paraId="75E42682">
            <w:pPr>
              <w:spacing w:line="360" w:lineRule="auto"/>
              <w:rPr>
                <w:rFonts w:ascii="宋体" w:hAnsi="宋体" w:cs="宋体"/>
                <w:sz w:val="24"/>
                <w:szCs w:val="24"/>
                <w:highlight w:val="none"/>
              </w:rPr>
            </w:pPr>
            <w:r>
              <w:rPr>
                <w:rFonts w:hint="eastAsia" w:ascii="宋体" w:hAnsi="宋体" w:cs="宋体"/>
                <w:sz w:val="24"/>
                <w:szCs w:val="24"/>
                <w:highlight w:val="none"/>
              </w:rPr>
              <w:t>①根据工业和信息化部、国家统计局、国家发展和改革委员会、财政部《关于印发中小企业划型标准规定的通知》（工信部联企业〔2011〕300 号），按照本次采购标的所属行业的划型标准，符合条件的中小企业应按照采购文件格式要求提供《中小企业声明函》。</w:t>
            </w:r>
          </w:p>
          <w:p w14:paraId="21BF5239">
            <w:pPr>
              <w:pStyle w:val="40"/>
              <w:spacing w:before="196" w:line="319" w:lineRule="auto"/>
              <w:ind w:left="127" w:right="134"/>
              <w:rPr>
                <w:highlight w:val="none"/>
                <w:lang w:eastAsia="zh-CN"/>
              </w:rPr>
            </w:pPr>
            <w:r>
              <w:rPr>
                <w:rFonts w:hint="eastAsia"/>
                <w:highlight w:val="none"/>
                <w:lang w:eastAsia="zh-CN"/>
              </w:rPr>
              <w:t>②提供由省级以上监狱管理局、戒毒管理局（含新疆生产建设兵团）出具的属于监狱企业证明文件（复印件）的，视同为小型和微型企业。</w:t>
            </w:r>
          </w:p>
        </w:tc>
      </w:tr>
      <w:tr w14:paraId="6B4E553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continue"/>
            <w:vAlign w:val="center"/>
          </w:tcPr>
          <w:p w14:paraId="00DDFD27">
            <w:pPr>
              <w:spacing w:line="360" w:lineRule="auto"/>
              <w:jc w:val="center"/>
              <w:rPr>
                <w:rFonts w:ascii="宋体" w:hAnsi="宋体"/>
                <w:b/>
                <w:sz w:val="24"/>
                <w:szCs w:val="24"/>
                <w:highlight w:val="none"/>
              </w:rPr>
            </w:pPr>
          </w:p>
        </w:tc>
        <w:tc>
          <w:tcPr>
            <w:tcW w:w="2067" w:type="dxa"/>
            <w:vAlign w:val="center"/>
          </w:tcPr>
          <w:p w14:paraId="4FF2F9D1">
            <w:pPr>
              <w:spacing w:line="360" w:lineRule="auto"/>
              <w:rPr>
                <w:rFonts w:ascii="宋体" w:hAnsi="宋体"/>
                <w:b/>
                <w:sz w:val="24"/>
                <w:szCs w:val="24"/>
                <w:highlight w:val="none"/>
              </w:rPr>
            </w:pPr>
            <w:r>
              <w:rPr>
                <w:rFonts w:hint="eastAsia" w:ascii="宋体" w:hAnsi="宋体"/>
                <w:sz w:val="24"/>
                <w:szCs w:val="24"/>
                <w:highlight w:val="none"/>
              </w:rPr>
              <w:t>对应的中小企业划分标准</w:t>
            </w:r>
          </w:p>
        </w:tc>
        <w:tc>
          <w:tcPr>
            <w:tcW w:w="5940" w:type="dxa"/>
            <w:vAlign w:val="center"/>
          </w:tcPr>
          <w:p w14:paraId="265E45C8">
            <w:pPr>
              <w:pStyle w:val="12"/>
              <w:adjustRightInd w:val="0"/>
              <w:snapToGrid w:val="0"/>
              <w:spacing w:line="360" w:lineRule="auto"/>
              <w:rPr>
                <w:rFonts w:hAnsi="宋体" w:cs="宋体"/>
                <w:b/>
                <w:bCs/>
                <w:szCs w:val="21"/>
                <w:highlight w:val="none"/>
              </w:rPr>
            </w:pPr>
            <w:r>
              <w:rPr>
                <w:rFonts w:hint="eastAsia" w:hAnsi="宋体" w:cs="宋体"/>
                <w:b/>
                <w:bCs/>
                <w:szCs w:val="21"/>
                <w:highlight w:val="none"/>
              </w:rPr>
              <w:t>中小企业规模的划分标准：</w:t>
            </w:r>
          </w:p>
          <w:p w14:paraId="48BF1B55">
            <w:pPr>
              <w:adjustRightInd w:val="0"/>
              <w:snapToGrid w:val="0"/>
              <w:spacing w:line="360" w:lineRule="auto"/>
              <w:rPr>
                <w:rFonts w:ascii="宋体" w:hAnsi="宋体" w:cs="宋体"/>
                <w:szCs w:val="21"/>
                <w:highlight w:val="none"/>
              </w:rPr>
            </w:pPr>
            <w:r>
              <w:rPr>
                <w:rFonts w:hint="eastAsia" w:ascii="宋体" w:hAnsi="宋体" w:cs="宋体"/>
                <w:szCs w:val="21"/>
                <w:highlight w:val="none"/>
              </w:rPr>
              <w:t>（一）中小企业行业类型：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30E36E32">
            <w:pPr>
              <w:adjustRightInd w:val="0"/>
              <w:snapToGrid w:val="0"/>
              <w:spacing w:line="360" w:lineRule="auto"/>
              <w:rPr>
                <w:rFonts w:ascii="宋体" w:hAnsi="宋体" w:cs="宋体"/>
                <w:szCs w:val="21"/>
                <w:highlight w:val="none"/>
              </w:rPr>
            </w:pPr>
            <w:r>
              <w:rPr>
                <w:rFonts w:hint="eastAsia" w:ascii="宋体" w:hAnsi="宋体" w:cs="宋体"/>
                <w:szCs w:val="21"/>
                <w:highlight w:val="none"/>
              </w:rPr>
              <w:t>（二）各行业划分标准具体为：</w:t>
            </w:r>
          </w:p>
          <w:p w14:paraId="60E78EEE">
            <w:pPr>
              <w:adjustRightInd w:val="0"/>
              <w:snapToGrid w:val="0"/>
              <w:spacing w:line="360" w:lineRule="auto"/>
              <w:rPr>
                <w:rFonts w:ascii="宋体" w:hAnsi="宋体" w:cs="宋体"/>
                <w:szCs w:val="21"/>
                <w:highlight w:val="none"/>
              </w:rPr>
            </w:pPr>
            <w:r>
              <w:rPr>
                <w:rFonts w:hint="eastAsia" w:ascii="宋体" w:hAnsi="宋体" w:cs="宋体"/>
                <w:szCs w:val="21"/>
                <w:highlight w:val="none"/>
              </w:rPr>
              <w:t>1、农、林、牧、渔业。营业收入20000万元以下的为中小微型企业。其中，营业收入500万元及以上的为中型企业,营业收入50万元及以上的为小型企业，营业收入50万元以下的为微型企业。　　</w:t>
            </w:r>
          </w:p>
          <w:p w14:paraId="5DA67657">
            <w:pPr>
              <w:adjustRightInd w:val="0"/>
              <w:snapToGrid w:val="0"/>
              <w:spacing w:line="360" w:lineRule="auto"/>
              <w:rPr>
                <w:rFonts w:ascii="宋体" w:hAnsi="宋体" w:cs="宋体"/>
                <w:szCs w:val="21"/>
                <w:highlight w:val="none"/>
              </w:rPr>
            </w:pPr>
            <w:r>
              <w:rPr>
                <w:rFonts w:hint="eastAsia" w:ascii="宋体" w:hAnsi="宋体" w:cs="宋体"/>
                <w:szCs w:val="21"/>
                <w:highlight w:val="none"/>
              </w:rPr>
              <w:t>2、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7229F09A">
            <w:pPr>
              <w:adjustRightInd w:val="0"/>
              <w:snapToGrid w:val="0"/>
              <w:spacing w:line="360" w:lineRule="auto"/>
              <w:rPr>
                <w:rFonts w:ascii="宋体" w:hAnsi="宋体" w:cs="宋体"/>
                <w:szCs w:val="21"/>
                <w:highlight w:val="none"/>
              </w:rPr>
            </w:pPr>
            <w:r>
              <w:rPr>
                <w:rFonts w:hint="eastAsia" w:ascii="宋体" w:hAnsi="宋体" w:cs="宋体"/>
                <w:szCs w:val="21"/>
                <w:highlight w:val="none"/>
              </w:rPr>
              <w:t>3、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38244856">
            <w:pPr>
              <w:adjustRightInd w:val="0"/>
              <w:snapToGrid w:val="0"/>
              <w:spacing w:line="360" w:lineRule="auto"/>
              <w:rPr>
                <w:rFonts w:ascii="宋体" w:hAnsi="宋体" w:cs="宋体"/>
                <w:szCs w:val="21"/>
                <w:highlight w:val="none"/>
              </w:rPr>
            </w:pPr>
            <w:r>
              <w:rPr>
                <w:rFonts w:hint="eastAsia" w:ascii="宋体" w:hAnsi="宋体" w:cs="宋体"/>
                <w:szCs w:val="21"/>
                <w:highlight w:val="none"/>
              </w:rPr>
              <w:t>4、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1010B08A">
            <w:pPr>
              <w:adjustRightInd w:val="0"/>
              <w:snapToGrid w:val="0"/>
              <w:spacing w:line="360" w:lineRule="auto"/>
              <w:rPr>
                <w:rFonts w:ascii="宋体" w:hAnsi="宋体" w:cs="宋体"/>
                <w:szCs w:val="21"/>
                <w:highlight w:val="none"/>
              </w:rPr>
            </w:pPr>
            <w:r>
              <w:rPr>
                <w:rFonts w:hint="eastAsia" w:ascii="宋体" w:hAnsi="宋体" w:cs="宋体"/>
                <w:szCs w:val="21"/>
                <w:highlight w:val="none"/>
              </w:rPr>
              <w:t>5、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7394C903">
            <w:pPr>
              <w:adjustRightInd w:val="0"/>
              <w:snapToGrid w:val="0"/>
              <w:spacing w:line="360" w:lineRule="auto"/>
              <w:rPr>
                <w:rFonts w:ascii="宋体" w:hAnsi="宋体" w:cs="宋体"/>
                <w:szCs w:val="21"/>
                <w:highlight w:val="none"/>
              </w:rPr>
            </w:pPr>
            <w:r>
              <w:rPr>
                <w:rFonts w:hint="eastAsia" w:ascii="宋体" w:hAnsi="宋体" w:cs="宋体"/>
                <w:szCs w:val="21"/>
                <w:highlight w:val="none"/>
              </w:rPr>
              <w:t>6、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2468C97D">
            <w:pPr>
              <w:adjustRightInd w:val="0"/>
              <w:snapToGrid w:val="0"/>
              <w:spacing w:line="360" w:lineRule="auto"/>
              <w:rPr>
                <w:rFonts w:ascii="宋体" w:hAnsi="宋体" w:cs="宋体"/>
                <w:szCs w:val="21"/>
                <w:highlight w:val="none"/>
              </w:rPr>
            </w:pPr>
            <w:r>
              <w:rPr>
                <w:rFonts w:hint="eastAsia" w:ascii="宋体" w:hAnsi="宋体" w:cs="宋体"/>
                <w:szCs w:val="21"/>
                <w:highlight w:val="none"/>
              </w:rPr>
              <w:t>7、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638E8D6E">
            <w:pPr>
              <w:adjustRightInd w:val="0"/>
              <w:snapToGrid w:val="0"/>
              <w:spacing w:line="360" w:lineRule="auto"/>
              <w:rPr>
                <w:rFonts w:ascii="宋体" w:hAnsi="宋体" w:cs="宋体"/>
                <w:szCs w:val="21"/>
                <w:highlight w:val="none"/>
              </w:rPr>
            </w:pPr>
            <w:r>
              <w:rPr>
                <w:rFonts w:hint="eastAsia" w:ascii="宋体" w:hAnsi="宋体" w:cs="宋体"/>
                <w:szCs w:val="21"/>
                <w:highlight w:val="none"/>
              </w:rPr>
              <w:t>8、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59B843FC">
            <w:pPr>
              <w:adjustRightInd w:val="0"/>
              <w:snapToGrid w:val="0"/>
              <w:spacing w:line="360" w:lineRule="auto"/>
              <w:rPr>
                <w:rFonts w:ascii="宋体" w:hAnsi="宋体" w:cs="宋体"/>
                <w:szCs w:val="21"/>
                <w:highlight w:val="none"/>
              </w:rPr>
            </w:pPr>
            <w:r>
              <w:rPr>
                <w:rFonts w:hint="eastAsia" w:ascii="宋体" w:hAnsi="宋体" w:cs="宋体"/>
                <w:szCs w:val="21"/>
                <w:highlight w:val="none"/>
              </w:rPr>
              <w:t>9、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35A5673F">
            <w:pPr>
              <w:adjustRightInd w:val="0"/>
              <w:snapToGrid w:val="0"/>
              <w:spacing w:line="360" w:lineRule="auto"/>
              <w:rPr>
                <w:rFonts w:ascii="宋体" w:hAnsi="宋体" w:cs="宋体"/>
                <w:szCs w:val="21"/>
                <w:highlight w:val="none"/>
              </w:rPr>
            </w:pPr>
            <w:r>
              <w:rPr>
                <w:rFonts w:hint="eastAsia" w:ascii="宋体" w:hAnsi="宋体" w:cs="宋体"/>
                <w:szCs w:val="21"/>
                <w:highlight w:val="none"/>
              </w:rPr>
              <w:t>10、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5D19B2AA">
            <w:pPr>
              <w:adjustRightInd w:val="0"/>
              <w:snapToGrid w:val="0"/>
              <w:spacing w:line="360" w:lineRule="auto"/>
              <w:rPr>
                <w:rFonts w:ascii="宋体" w:hAnsi="宋体" w:cs="宋体"/>
                <w:szCs w:val="21"/>
                <w:highlight w:val="none"/>
              </w:rPr>
            </w:pPr>
            <w:r>
              <w:rPr>
                <w:rFonts w:hint="eastAsia" w:ascii="宋体" w:hAnsi="宋体" w:cs="宋体"/>
                <w:szCs w:val="21"/>
                <w:highlight w:val="none"/>
              </w:rPr>
              <w:t>11、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036CC701">
            <w:pPr>
              <w:adjustRightInd w:val="0"/>
              <w:snapToGrid w:val="0"/>
              <w:spacing w:line="360" w:lineRule="auto"/>
              <w:rPr>
                <w:rFonts w:ascii="宋体" w:hAnsi="宋体" w:cs="宋体"/>
                <w:szCs w:val="21"/>
                <w:highlight w:val="none"/>
              </w:rPr>
            </w:pPr>
            <w:r>
              <w:rPr>
                <w:rFonts w:hint="eastAsia" w:ascii="宋体" w:hAnsi="宋体" w:cs="宋体"/>
                <w:szCs w:val="21"/>
                <w:highlight w:val="none"/>
              </w:rPr>
              <w:t>12、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2B8C85D2">
            <w:pPr>
              <w:adjustRightInd w:val="0"/>
              <w:snapToGrid w:val="0"/>
              <w:spacing w:line="360" w:lineRule="auto"/>
              <w:rPr>
                <w:rFonts w:ascii="宋体" w:hAnsi="宋体" w:cs="宋体"/>
                <w:szCs w:val="21"/>
                <w:highlight w:val="none"/>
              </w:rPr>
            </w:pPr>
            <w:r>
              <w:rPr>
                <w:rFonts w:hint="eastAsia" w:ascii="宋体" w:hAnsi="宋体" w:cs="宋体"/>
                <w:szCs w:val="21"/>
                <w:highlight w:val="none"/>
              </w:rPr>
              <w:t>13、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6CE89E16">
            <w:pPr>
              <w:adjustRightInd w:val="0"/>
              <w:snapToGrid w:val="0"/>
              <w:spacing w:line="360" w:lineRule="auto"/>
              <w:rPr>
                <w:rFonts w:ascii="宋体" w:hAnsi="宋体" w:cs="宋体"/>
                <w:szCs w:val="21"/>
                <w:highlight w:val="none"/>
              </w:rPr>
            </w:pPr>
            <w:r>
              <w:rPr>
                <w:rFonts w:hint="eastAsia" w:ascii="宋体" w:hAnsi="宋体" w:cs="宋体"/>
                <w:szCs w:val="21"/>
                <w:highlight w:val="none"/>
              </w:rPr>
              <w:t>14、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041644C1">
            <w:pPr>
              <w:adjustRightInd w:val="0"/>
              <w:snapToGrid w:val="0"/>
              <w:spacing w:line="360" w:lineRule="auto"/>
              <w:rPr>
                <w:rFonts w:ascii="宋体" w:hAnsi="宋体" w:cs="宋体"/>
                <w:szCs w:val="21"/>
                <w:highlight w:val="none"/>
              </w:rPr>
            </w:pPr>
            <w:r>
              <w:rPr>
                <w:rFonts w:hint="eastAsia" w:ascii="宋体" w:hAnsi="宋体" w:cs="宋体"/>
                <w:szCs w:val="21"/>
                <w:highlight w:val="none"/>
              </w:rPr>
              <w:t>15、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432E5ECD">
            <w:pPr>
              <w:pStyle w:val="8"/>
              <w:adjustRightInd/>
              <w:spacing w:line="360" w:lineRule="auto"/>
              <w:rPr>
                <w:rFonts w:ascii="宋体" w:hAnsi="宋体" w:cs="宋体"/>
                <w:kern w:val="2"/>
                <w:szCs w:val="24"/>
                <w:highlight w:val="none"/>
              </w:rPr>
            </w:pPr>
            <w:r>
              <w:rPr>
                <w:rFonts w:hint="eastAsia" w:ascii="宋体" w:hAnsi="宋体" w:cs="宋体"/>
                <w:sz w:val="21"/>
                <w:szCs w:val="21"/>
                <w:highlight w:val="none"/>
              </w:rPr>
              <w:t>16、其他未列明行业。从业人员300人以下的为中小微型企业。其中，从业人员100人及以上的为中型企业;从业人员10人及以上的为小型企业；从业人员10人以下的为微型企业。</w:t>
            </w:r>
          </w:p>
        </w:tc>
      </w:tr>
      <w:tr w14:paraId="5CFEAAA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5" w:hRule="atLeast"/>
        </w:trPr>
        <w:tc>
          <w:tcPr>
            <w:tcW w:w="993" w:type="dxa"/>
            <w:vAlign w:val="center"/>
          </w:tcPr>
          <w:p w14:paraId="16F10731">
            <w:pPr>
              <w:spacing w:line="360" w:lineRule="auto"/>
              <w:jc w:val="center"/>
              <w:rPr>
                <w:rFonts w:ascii="宋体" w:hAnsi="宋体"/>
                <w:sz w:val="24"/>
                <w:szCs w:val="24"/>
                <w:highlight w:val="none"/>
              </w:rPr>
            </w:pPr>
            <w:r>
              <w:rPr>
                <w:rFonts w:hint="eastAsia" w:ascii="宋体" w:hAnsi="宋体"/>
                <w:sz w:val="24"/>
                <w:szCs w:val="24"/>
                <w:highlight w:val="none"/>
              </w:rPr>
              <w:t>15.1</w:t>
            </w:r>
          </w:p>
        </w:tc>
        <w:tc>
          <w:tcPr>
            <w:tcW w:w="2067" w:type="dxa"/>
            <w:vAlign w:val="center"/>
          </w:tcPr>
          <w:p w14:paraId="444B5634">
            <w:pPr>
              <w:spacing w:line="360" w:lineRule="auto"/>
              <w:rPr>
                <w:rFonts w:ascii="宋体" w:hAnsi="宋体"/>
                <w:sz w:val="24"/>
                <w:szCs w:val="24"/>
                <w:highlight w:val="none"/>
              </w:rPr>
            </w:pPr>
            <w:r>
              <w:rPr>
                <w:rFonts w:hint="eastAsia" w:ascii="宋体" w:hAnsi="宋体"/>
                <w:sz w:val="24"/>
                <w:szCs w:val="24"/>
                <w:highlight w:val="none"/>
              </w:rPr>
              <w:t>是否要求投标保证金</w:t>
            </w:r>
          </w:p>
        </w:tc>
        <w:tc>
          <w:tcPr>
            <w:tcW w:w="5940" w:type="dxa"/>
            <w:vAlign w:val="center"/>
          </w:tcPr>
          <w:p w14:paraId="231AA2EC">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4E1479F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1" w:hRule="atLeast"/>
        </w:trPr>
        <w:tc>
          <w:tcPr>
            <w:tcW w:w="993" w:type="dxa"/>
            <w:vAlign w:val="center"/>
          </w:tcPr>
          <w:p w14:paraId="7933B4F6">
            <w:pPr>
              <w:spacing w:line="360" w:lineRule="auto"/>
              <w:jc w:val="center"/>
              <w:rPr>
                <w:rFonts w:ascii="宋体" w:hAnsi="宋体"/>
                <w:sz w:val="24"/>
                <w:szCs w:val="24"/>
                <w:highlight w:val="none"/>
              </w:rPr>
            </w:pPr>
            <w:r>
              <w:rPr>
                <w:rFonts w:hint="eastAsia" w:ascii="宋体" w:hAnsi="宋体"/>
                <w:sz w:val="24"/>
                <w:szCs w:val="24"/>
                <w:highlight w:val="none"/>
              </w:rPr>
              <w:t>15.2</w:t>
            </w:r>
          </w:p>
        </w:tc>
        <w:tc>
          <w:tcPr>
            <w:tcW w:w="2067" w:type="dxa"/>
            <w:vAlign w:val="center"/>
          </w:tcPr>
          <w:p w14:paraId="5892F68F">
            <w:pPr>
              <w:spacing w:line="360" w:lineRule="auto"/>
              <w:rPr>
                <w:rFonts w:ascii="宋体" w:hAnsi="宋体"/>
                <w:sz w:val="24"/>
                <w:szCs w:val="24"/>
                <w:highlight w:val="none"/>
              </w:rPr>
            </w:pPr>
            <w:r>
              <w:rPr>
                <w:rFonts w:hint="eastAsia" w:ascii="宋体" w:hAnsi="宋体"/>
                <w:sz w:val="24"/>
                <w:szCs w:val="24"/>
                <w:highlight w:val="none"/>
              </w:rPr>
              <w:t>关于投标保证金的相关要求</w:t>
            </w:r>
          </w:p>
        </w:tc>
        <w:tc>
          <w:tcPr>
            <w:tcW w:w="5940" w:type="dxa"/>
            <w:vAlign w:val="center"/>
          </w:tcPr>
          <w:p w14:paraId="0616E093">
            <w:pPr>
              <w:pStyle w:val="8"/>
              <w:adjustRightInd/>
              <w:spacing w:line="360" w:lineRule="auto"/>
              <w:rPr>
                <w:rFonts w:ascii="宋体" w:hAnsi="宋体"/>
                <w:color w:val="FF0000"/>
                <w:szCs w:val="24"/>
                <w:highlight w:val="none"/>
              </w:rPr>
            </w:pPr>
            <w:r>
              <w:rPr>
                <w:rFonts w:hint="eastAsia" w:ascii="宋体" w:hAnsi="宋体"/>
                <w:szCs w:val="24"/>
                <w:highlight w:val="none"/>
              </w:rPr>
              <w:t>无</w:t>
            </w:r>
          </w:p>
        </w:tc>
      </w:tr>
      <w:tr w14:paraId="3A2FE97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993" w:type="dxa"/>
            <w:vAlign w:val="center"/>
          </w:tcPr>
          <w:p w14:paraId="50BBD6EF">
            <w:pPr>
              <w:spacing w:line="360" w:lineRule="auto"/>
              <w:jc w:val="center"/>
              <w:rPr>
                <w:rFonts w:ascii="宋体" w:hAnsi="宋体"/>
                <w:sz w:val="24"/>
                <w:szCs w:val="24"/>
                <w:highlight w:val="none"/>
              </w:rPr>
            </w:pPr>
            <w:r>
              <w:rPr>
                <w:rFonts w:hint="eastAsia" w:ascii="宋体" w:hAnsi="宋体"/>
                <w:sz w:val="24"/>
                <w:szCs w:val="24"/>
                <w:highlight w:val="none"/>
              </w:rPr>
              <w:t>15.4</w:t>
            </w:r>
          </w:p>
        </w:tc>
        <w:tc>
          <w:tcPr>
            <w:tcW w:w="2067" w:type="dxa"/>
            <w:vAlign w:val="center"/>
          </w:tcPr>
          <w:p w14:paraId="39C83F5E">
            <w:pPr>
              <w:spacing w:line="360" w:lineRule="auto"/>
              <w:rPr>
                <w:rFonts w:ascii="宋体" w:hAnsi="宋体"/>
                <w:sz w:val="24"/>
                <w:szCs w:val="24"/>
                <w:highlight w:val="none"/>
              </w:rPr>
            </w:pPr>
            <w:r>
              <w:rPr>
                <w:rFonts w:hint="eastAsia" w:ascii="宋体" w:hAnsi="宋体"/>
                <w:sz w:val="24"/>
                <w:szCs w:val="24"/>
                <w:highlight w:val="none"/>
              </w:rPr>
              <w:t>投标保证金不合格时的处理</w:t>
            </w:r>
          </w:p>
        </w:tc>
        <w:tc>
          <w:tcPr>
            <w:tcW w:w="5940" w:type="dxa"/>
            <w:vAlign w:val="center"/>
          </w:tcPr>
          <w:p w14:paraId="2E13FF1C">
            <w:pPr>
              <w:spacing w:line="360" w:lineRule="auto"/>
              <w:rPr>
                <w:rFonts w:ascii="宋体" w:hAnsi="宋体"/>
                <w:kern w:val="0"/>
                <w:sz w:val="24"/>
                <w:szCs w:val="24"/>
                <w:highlight w:val="none"/>
              </w:rPr>
            </w:pPr>
            <w:r>
              <w:rPr>
                <w:rFonts w:hint="eastAsia" w:ascii="宋体" w:hAnsi="宋体"/>
                <w:kern w:val="0"/>
                <w:sz w:val="24"/>
                <w:szCs w:val="24"/>
                <w:highlight w:val="none"/>
              </w:rPr>
              <w:t>☐适用</w:t>
            </w:r>
          </w:p>
          <w:p w14:paraId="2B0B0710">
            <w:pPr>
              <w:spacing w:line="360" w:lineRule="auto"/>
              <w:rPr>
                <w:rFonts w:ascii="宋体" w:hAnsi="宋体"/>
                <w:sz w:val="24"/>
                <w:szCs w:val="24"/>
                <w:highlight w:val="none"/>
              </w:rPr>
            </w:pP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r>
              <w:rPr>
                <w:rFonts w:ascii="宋体" w:hAnsi="宋体"/>
                <w:sz w:val="24"/>
                <w:szCs w:val="24"/>
                <w:highlight w:val="none"/>
              </w:rPr>
              <w:t>。</w:t>
            </w:r>
          </w:p>
          <w:p w14:paraId="37DEE1C6">
            <w:pPr>
              <w:spacing w:line="360" w:lineRule="auto"/>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不适用</w:t>
            </w:r>
          </w:p>
        </w:tc>
      </w:tr>
      <w:tr w14:paraId="47335C8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299B4DBC">
            <w:pPr>
              <w:spacing w:line="360" w:lineRule="auto"/>
              <w:jc w:val="center"/>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w:t>
            </w:r>
          </w:p>
        </w:tc>
        <w:tc>
          <w:tcPr>
            <w:tcW w:w="2067" w:type="dxa"/>
            <w:vAlign w:val="center"/>
          </w:tcPr>
          <w:p w14:paraId="06699543">
            <w:pPr>
              <w:spacing w:line="360" w:lineRule="auto"/>
              <w:rPr>
                <w:rFonts w:ascii="宋体" w:hAnsi="宋体"/>
                <w:sz w:val="24"/>
                <w:szCs w:val="24"/>
                <w:highlight w:val="none"/>
              </w:rPr>
            </w:pPr>
            <w:r>
              <w:rPr>
                <w:rFonts w:hint="eastAsia" w:ascii="宋体" w:hAnsi="宋体"/>
                <w:sz w:val="24"/>
                <w:szCs w:val="24"/>
                <w:highlight w:val="none"/>
              </w:rPr>
              <w:t>投标有效期</w:t>
            </w:r>
          </w:p>
        </w:tc>
        <w:tc>
          <w:tcPr>
            <w:tcW w:w="5940" w:type="dxa"/>
            <w:vAlign w:val="center"/>
          </w:tcPr>
          <w:p w14:paraId="107B8E40">
            <w:pPr>
              <w:spacing w:line="360" w:lineRule="auto"/>
              <w:rPr>
                <w:rFonts w:ascii="宋体" w:hAnsi="宋体"/>
                <w:sz w:val="24"/>
                <w:szCs w:val="24"/>
                <w:highlight w:val="none"/>
              </w:rPr>
            </w:pPr>
            <w:r>
              <w:rPr>
                <w:rFonts w:hint="eastAsia" w:ascii="宋体" w:hAnsi="宋体"/>
                <w:sz w:val="24"/>
                <w:szCs w:val="24"/>
                <w:highlight w:val="none"/>
              </w:rPr>
              <w:t>开标之日起90天。</w:t>
            </w:r>
          </w:p>
        </w:tc>
      </w:tr>
      <w:tr w14:paraId="64E10CD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00FCDDDA">
            <w:pPr>
              <w:spacing w:line="360" w:lineRule="auto"/>
              <w:jc w:val="center"/>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w:t>
            </w:r>
          </w:p>
        </w:tc>
        <w:tc>
          <w:tcPr>
            <w:tcW w:w="2067" w:type="dxa"/>
            <w:vAlign w:val="center"/>
          </w:tcPr>
          <w:p w14:paraId="6531E505">
            <w:pPr>
              <w:spacing w:line="360" w:lineRule="auto"/>
              <w:rPr>
                <w:rFonts w:ascii="宋体" w:hAnsi="宋体"/>
                <w:sz w:val="24"/>
                <w:szCs w:val="24"/>
                <w:highlight w:val="none"/>
              </w:rPr>
            </w:pPr>
            <w:r>
              <w:rPr>
                <w:rFonts w:hint="eastAsia" w:ascii="宋体" w:hAnsi="宋体"/>
                <w:sz w:val="24"/>
                <w:szCs w:val="24"/>
                <w:highlight w:val="none"/>
              </w:rPr>
              <w:t>投标文件份数</w:t>
            </w:r>
          </w:p>
        </w:tc>
        <w:tc>
          <w:tcPr>
            <w:tcW w:w="5940" w:type="dxa"/>
            <w:vAlign w:val="center"/>
          </w:tcPr>
          <w:p w14:paraId="249E29A2">
            <w:pPr>
              <w:spacing w:line="360" w:lineRule="auto"/>
              <w:rPr>
                <w:rFonts w:ascii="宋体" w:hAnsi="宋体"/>
                <w:sz w:val="24"/>
                <w:szCs w:val="24"/>
                <w:highlight w:val="none"/>
              </w:rPr>
            </w:pPr>
            <w:r>
              <w:rPr>
                <w:rFonts w:hint="eastAsia" w:ascii="宋体" w:hAnsi="宋体"/>
                <w:sz w:val="24"/>
                <w:szCs w:val="24"/>
                <w:highlight w:val="none"/>
              </w:rPr>
              <w:t>正本一份，副本二份，</w:t>
            </w:r>
            <w:r>
              <w:rPr>
                <w:rFonts w:hint="eastAsia"/>
                <w:sz w:val="24"/>
                <w:szCs w:val="24"/>
                <w:highlight w:val="none"/>
              </w:rPr>
              <w:t>电子版一份</w:t>
            </w:r>
            <w:r>
              <w:rPr>
                <w:rFonts w:hint="eastAsia" w:ascii="宋体" w:hAnsi="宋体"/>
                <w:sz w:val="24"/>
                <w:szCs w:val="24"/>
                <w:highlight w:val="none"/>
              </w:rPr>
              <w:t>。</w:t>
            </w:r>
          </w:p>
        </w:tc>
      </w:tr>
      <w:tr w14:paraId="57D1AF4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7E69B463">
            <w:pPr>
              <w:spacing w:line="360" w:lineRule="auto"/>
              <w:jc w:val="center"/>
              <w:rPr>
                <w:rFonts w:ascii="宋体" w:hAnsi="宋体"/>
                <w:sz w:val="24"/>
                <w:szCs w:val="24"/>
                <w:highlight w:val="none"/>
              </w:rPr>
            </w:pPr>
            <w:r>
              <w:rPr>
                <w:rFonts w:hint="eastAsia" w:ascii="宋体" w:hAnsi="宋体"/>
                <w:sz w:val="24"/>
                <w:szCs w:val="24"/>
                <w:highlight w:val="none"/>
              </w:rPr>
              <w:t>17.2</w:t>
            </w:r>
          </w:p>
        </w:tc>
        <w:tc>
          <w:tcPr>
            <w:tcW w:w="2067" w:type="dxa"/>
            <w:vAlign w:val="center"/>
          </w:tcPr>
          <w:p w14:paraId="4BE6C91A">
            <w:pPr>
              <w:spacing w:line="360" w:lineRule="auto"/>
              <w:rPr>
                <w:rFonts w:ascii="宋体" w:hAnsi="宋体"/>
                <w:sz w:val="24"/>
                <w:szCs w:val="24"/>
                <w:highlight w:val="none"/>
              </w:rPr>
            </w:pPr>
            <w:r>
              <w:rPr>
                <w:rFonts w:hint="eastAsia" w:ascii="宋体" w:hAnsi="宋体"/>
                <w:sz w:val="24"/>
                <w:szCs w:val="24"/>
                <w:highlight w:val="none"/>
              </w:rPr>
              <w:t>电子版文件要求</w:t>
            </w:r>
          </w:p>
        </w:tc>
        <w:tc>
          <w:tcPr>
            <w:tcW w:w="5940" w:type="dxa"/>
            <w:vAlign w:val="center"/>
          </w:tcPr>
          <w:p w14:paraId="38F5AFD0">
            <w:pPr>
              <w:spacing w:line="360" w:lineRule="auto"/>
              <w:rPr>
                <w:rFonts w:ascii="宋体" w:hAnsi="宋体"/>
                <w:i/>
                <w:iCs/>
                <w:color w:val="3AFF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 xml:space="preserve">有  </w:t>
            </w:r>
          </w:p>
          <w:p w14:paraId="4DCE7016">
            <w:pPr>
              <w:spacing w:line="360" w:lineRule="auto"/>
              <w:rPr>
                <w:rFonts w:ascii="宋体" w:hAnsi="宋体"/>
                <w:sz w:val="24"/>
                <w:szCs w:val="24"/>
                <w:highlight w:val="none"/>
              </w:rPr>
            </w:pPr>
            <w:r>
              <w:rPr>
                <w:rFonts w:hint="eastAsia" w:ascii="宋体" w:hAnsi="宋体"/>
                <w:sz w:val="24"/>
                <w:szCs w:val="24"/>
                <w:highlight w:val="none"/>
              </w:rPr>
              <w:t>格式和载体要求：</w:t>
            </w:r>
          </w:p>
          <w:p w14:paraId="61B88A7C">
            <w:pPr>
              <w:spacing w:line="360" w:lineRule="auto"/>
              <w:rPr>
                <w:sz w:val="24"/>
                <w:szCs w:val="24"/>
                <w:highlight w:val="none"/>
              </w:rPr>
            </w:pPr>
            <w:r>
              <w:rPr>
                <w:rFonts w:hint="eastAsia"/>
                <w:sz w:val="24"/>
                <w:szCs w:val="24"/>
                <w:highlight w:val="none"/>
              </w:rPr>
              <w:t>1、供应商须另行提供与纸质投标文件正本一致的PDF格式U盘，且盖章、签名处必须扫描并清晰可辨；</w:t>
            </w:r>
          </w:p>
          <w:p w14:paraId="1A72698C">
            <w:pPr>
              <w:spacing w:line="360" w:lineRule="auto"/>
              <w:rPr>
                <w:sz w:val="24"/>
                <w:szCs w:val="24"/>
                <w:highlight w:val="none"/>
              </w:rPr>
            </w:pPr>
            <w:r>
              <w:rPr>
                <w:rFonts w:hint="eastAsia"/>
                <w:sz w:val="24"/>
                <w:szCs w:val="24"/>
                <w:highlight w:val="none"/>
              </w:rPr>
              <w:t>2、供应商须保证投标文件的纸质文件与电子文档保持一致，</w:t>
            </w:r>
            <w:r>
              <w:rPr>
                <w:rFonts w:hint="eastAsia" w:ascii="宋体" w:hAnsi="宋体"/>
                <w:sz w:val="24"/>
                <w:szCs w:val="24"/>
                <w:highlight w:val="none"/>
              </w:rPr>
              <w:t>否则，以纸质</w:t>
            </w:r>
            <w:r>
              <w:rPr>
                <w:rFonts w:hint="eastAsia"/>
                <w:sz w:val="24"/>
                <w:szCs w:val="24"/>
                <w:highlight w:val="none"/>
              </w:rPr>
              <w:t>投标</w:t>
            </w:r>
            <w:r>
              <w:rPr>
                <w:rFonts w:hint="eastAsia" w:ascii="宋体" w:hAnsi="宋体"/>
                <w:sz w:val="24"/>
                <w:szCs w:val="24"/>
                <w:highlight w:val="none"/>
              </w:rPr>
              <w:t>文件正本为准</w:t>
            </w:r>
            <w:r>
              <w:rPr>
                <w:rFonts w:hint="eastAsia"/>
                <w:sz w:val="24"/>
                <w:szCs w:val="24"/>
                <w:highlight w:val="none"/>
              </w:rPr>
              <w:t>；</w:t>
            </w:r>
          </w:p>
          <w:p w14:paraId="340C9FFA">
            <w:pPr>
              <w:spacing w:line="360" w:lineRule="auto"/>
              <w:rPr>
                <w:sz w:val="24"/>
                <w:szCs w:val="24"/>
                <w:highlight w:val="none"/>
              </w:rPr>
            </w:pPr>
            <w:r>
              <w:rPr>
                <w:rFonts w:hint="eastAsia"/>
                <w:sz w:val="24"/>
                <w:szCs w:val="24"/>
                <w:highlight w:val="none"/>
              </w:rPr>
              <w:t>3、电子文档表面需标明项目编号、供应商名称等信息。</w:t>
            </w:r>
          </w:p>
          <w:p w14:paraId="4D2337B6">
            <w:pPr>
              <w:spacing w:line="360" w:lineRule="auto"/>
              <w:rPr>
                <w:sz w:val="24"/>
                <w:szCs w:val="24"/>
                <w:highlight w:val="none"/>
              </w:rPr>
            </w:pPr>
          </w:p>
          <w:p w14:paraId="19099504">
            <w:pPr>
              <w:spacing w:line="360" w:lineRule="auto"/>
              <w:rPr>
                <w:rFonts w:ascii="宋体" w:hAnsi="宋体"/>
                <w:i/>
                <w:iCs/>
                <w:color w:val="F129F3"/>
                <w:sz w:val="24"/>
                <w:szCs w:val="24"/>
                <w:highlight w:val="none"/>
              </w:rPr>
            </w:pPr>
            <w:r>
              <w:rPr>
                <w:rFonts w:hint="eastAsia" w:ascii="宋体" w:hAnsi="宋体"/>
                <w:kern w:val="0"/>
                <w:sz w:val="24"/>
                <w:szCs w:val="24"/>
                <w:highlight w:val="none"/>
              </w:rPr>
              <w:t>☐无</w:t>
            </w:r>
          </w:p>
        </w:tc>
      </w:tr>
      <w:tr w14:paraId="43B22BA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44" w:hRule="atLeast"/>
        </w:trPr>
        <w:tc>
          <w:tcPr>
            <w:tcW w:w="993" w:type="dxa"/>
            <w:vAlign w:val="center"/>
          </w:tcPr>
          <w:p w14:paraId="2A28001E">
            <w:pPr>
              <w:spacing w:line="360" w:lineRule="auto"/>
              <w:jc w:val="center"/>
              <w:rPr>
                <w:rFonts w:ascii="宋体" w:hAnsi="宋体"/>
                <w:sz w:val="24"/>
                <w:szCs w:val="24"/>
                <w:highlight w:val="none"/>
              </w:rPr>
            </w:pPr>
            <w:r>
              <w:rPr>
                <w:rFonts w:hint="eastAsia" w:ascii="宋体" w:hAnsi="宋体"/>
                <w:sz w:val="24"/>
                <w:szCs w:val="24"/>
                <w:highlight w:val="none"/>
              </w:rPr>
              <w:t>*17.3</w:t>
            </w:r>
          </w:p>
        </w:tc>
        <w:tc>
          <w:tcPr>
            <w:tcW w:w="2067" w:type="dxa"/>
            <w:vAlign w:val="center"/>
          </w:tcPr>
          <w:p w14:paraId="710978F2">
            <w:pPr>
              <w:spacing w:line="360" w:lineRule="auto"/>
              <w:rPr>
                <w:rFonts w:ascii="宋体" w:hAnsi="宋体"/>
                <w:sz w:val="24"/>
                <w:szCs w:val="24"/>
                <w:highlight w:val="none"/>
              </w:rPr>
            </w:pPr>
            <w:r>
              <w:rPr>
                <w:rFonts w:hint="eastAsia" w:ascii="宋体" w:hAnsi="宋体"/>
                <w:sz w:val="24"/>
                <w:szCs w:val="24"/>
                <w:highlight w:val="none"/>
              </w:rPr>
              <w:t>签名盖章</w:t>
            </w:r>
          </w:p>
        </w:tc>
        <w:tc>
          <w:tcPr>
            <w:tcW w:w="5940" w:type="dxa"/>
            <w:vAlign w:val="center"/>
          </w:tcPr>
          <w:p w14:paraId="5BA2D2F9">
            <w:pPr>
              <w:spacing w:line="360" w:lineRule="auto"/>
              <w:jc w:val="left"/>
              <w:rPr>
                <w:rFonts w:ascii="宋体" w:hAnsi="宋体"/>
                <w:sz w:val="24"/>
                <w:szCs w:val="24"/>
                <w:highlight w:val="none"/>
              </w:rPr>
            </w:pPr>
            <w:r>
              <w:rPr>
                <w:rFonts w:hint="eastAsia" w:ascii="宋体" w:hAnsi="宋体"/>
                <w:sz w:val="24"/>
                <w:szCs w:val="24"/>
                <w:highlight w:val="none"/>
              </w:rPr>
              <w:t>1、所有要求法定代表人签名处，均须由签名者本人用不褪色的蓝(黑)色墨水(汁)书写全名，也可以盖刻有法定代表人姓名的图章代替。</w:t>
            </w:r>
          </w:p>
          <w:p w14:paraId="2AA307CF">
            <w:pPr>
              <w:spacing w:line="360" w:lineRule="auto"/>
              <w:jc w:val="left"/>
              <w:rPr>
                <w:rFonts w:ascii="宋体" w:hAnsi="宋体"/>
                <w:b/>
                <w:bCs/>
                <w:sz w:val="24"/>
                <w:szCs w:val="24"/>
                <w:highlight w:val="none"/>
              </w:rPr>
            </w:pPr>
            <w:r>
              <w:rPr>
                <w:rFonts w:hint="eastAsia" w:ascii="宋体" w:hAnsi="宋体"/>
                <w:sz w:val="24"/>
                <w:szCs w:val="24"/>
                <w:highlight w:val="none"/>
              </w:rPr>
              <w:t>2、</w:t>
            </w:r>
            <w:r>
              <w:rPr>
                <w:rFonts w:hint="eastAsia" w:ascii="宋体" w:hAnsi="宋体"/>
                <w:b/>
                <w:bCs/>
                <w:sz w:val="24"/>
                <w:szCs w:val="24"/>
                <w:highlight w:val="none"/>
              </w:rPr>
              <w:t>所有要求授权代表签名处，均须由签名者本人用不褪色的蓝(黑)色墨水(汁)书写全名。</w:t>
            </w:r>
          </w:p>
          <w:p w14:paraId="34F745EE">
            <w:pPr>
              <w:spacing w:line="360" w:lineRule="auto"/>
              <w:jc w:val="left"/>
              <w:rPr>
                <w:rFonts w:ascii="宋体" w:hAnsi="宋体"/>
                <w:sz w:val="24"/>
                <w:szCs w:val="24"/>
                <w:highlight w:val="none"/>
                <w:u w:val="single"/>
              </w:rPr>
            </w:pPr>
            <w:r>
              <w:rPr>
                <w:rFonts w:hint="eastAsia" w:ascii="宋体" w:hAnsi="宋体"/>
                <w:sz w:val="24"/>
                <w:szCs w:val="24"/>
                <w:highlight w:val="none"/>
              </w:rPr>
              <w:t>3、招标文件规定盖公章处，可加盖经公章授权的本单位其他印章（附公章授权书原件，格式自拟）。</w:t>
            </w:r>
          </w:p>
        </w:tc>
      </w:tr>
      <w:tr w14:paraId="4E130AA6">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trPr>
        <w:tc>
          <w:tcPr>
            <w:tcW w:w="993" w:type="dxa"/>
            <w:vAlign w:val="center"/>
          </w:tcPr>
          <w:p w14:paraId="498D5284">
            <w:pPr>
              <w:spacing w:line="360" w:lineRule="auto"/>
              <w:jc w:val="center"/>
              <w:rPr>
                <w:rFonts w:ascii="宋体" w:hAnsi="宋体"/>
                <w:sz w:val="24"/>
                <w:szCs w:val="24"/>
                <w:highlight w:val="none"/>
              </w:rPr>
            </w:pPr>
            <w:r>
              <w:rPr>
                <w:rFonts w:hint="eastAsia" w:ascii="宋体" w:hAnsi="宋体"/>
                <w:sz w:val="24"/>
                <w:szCs w:val="24"/>
                <w:highlight w:val="none"/>
              </w:rPr>
              <w:t>18.1</w:t>
            </w:r>
          </w:p>
        </w:tc>
        <w:tc>
          <w:tcPr>
            <w:tcW w:w="2067" w:type="dxa"/>
            <w:vAlign w:val="center"/>
          </w:tcPr>
          <w:p w14:paraId="45ABE52F">
            <w:pPr>
              <w:spacing w:line="360" w:lineRule="auto"/>
              <w:rPr>
                <w:rFonts w:ascii="宋体" w:hAnsi="宋体"/>
                <w:sz w:val="24"/>
                <w:szCs w:val="24"/>
                <w:highlight w:val="none"/>
              </w:rPr>
            </w:pPr>
            <w:r>
              <w:rPr>
                <w:rFonts w:hint="eastAsia" w:ascii="宋体" w:hAnsi="宋体"/>
                <w:sz w:val="24"/>
                <w:szCs w:val="24"/>
                <w:highlight w:val="none"/>
              </w:rPr>
              <w:t>投标文件装订、包装、密封及标记要求</w:t>
            </w:r>
          </w:p>
        </w:tc>
        <w:tc>
          <w:tcPr>
            <w:tcW w:w="5940" w:type="dxa"/>
            <w:vAlign w:val="center"/>
          </w:tcPr>
          <w:p w14:paraId="111F9B29">
            <w:pPr>
              <w:numPr>
                <w:ilvl w:val="0"/>
                <w:numId w:val="4"/>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投标文件正、副本应分别装订成册，装订应牢固、</w:t>
            </w:r>
          </w:p>
          <w:p w14:paraId="27075578">
            <w:pPr>
              <w:spacing w:line="360" w:lineRule="auto"/>
              <w:ind w:left="-315" w:leftChars="-150"/>
              <w:rPr>
                <w:rFonts w:ascii="宋体" w:hAnsi="宋体"/>
                <w:sz w:val="24"/>
                <w:szCs w:val="24"/>
                <w:highlight w:val="none"/>
              </w:rPr>
            </w:pPr>
            <w:r>
              <w:rPr>
                <w:rFonts w:hint="eastAsia" w:ascii="宋体" w:hAnsi="宋体"/>
                <w:sz w:val="24"/>
                <w:szCs w:val="24"/>
                <w:highlight w:val="none"/>
              </w:rPr>
              <w:t>不 易拆散和换页，不得采用活页装订。</w:t>
            </w:r>
          </w:p>
          <w:p w14:paraId="1AD2E120">
            <w:pPr>
              <w:spacing w:line="360" w:lineRule="auto"/>
              <w:rPr>
                <w:rFonts w:ascii="宋体" w:hAnsi="宋体"/>
                <w:sz w:val="24"/>
                <w:szCs w:val="24"/>
                <w:highlight w:val="none"/>
              </w:rPr>
            </w:pPr>
            <w:r>
              <w:rPr>
                <w:rFonts w:hint="eastAsia" w:ascii="宋体" w:hAnsi="宋体"/>
                <w:sz w:val="24"/>
                <w:szCs w:val="24"/>
                <w:highlight w:val="none"/>
              </w:rPr>
              <w:t>2、密封包装方式：密封包装，具体形式不限</w:t>
            </w:r>
          </w:p>
          <w:p w14:paraId="3FB2514A">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外层包装请按以下要求标记：</w:t>
            </w:r>
          </w:p>
          <w:p w14:paraId="787801AE">
            <w:pPr>
              <w:spacing w:line="360" w:lineRule="auto"/>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 投标人的全称</w:t>
            </w:r>
          </w:p>
          <w:p w14:paraId="787119DE">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投标项目名称、项目编号、包号</w:t>
            </w:r>
          </w:p>
          <w:p w14:paraId="705B8928">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正本或副本及“请勿在＿＿＿＿＿(开标时间)之前启封”</w:t>
            </w:r>
          </w:p>
        </w:tc>
      </w:tr>
      <w:tr w14:paraId="23EDB6A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01" w:hRule="atLeast"/>
        </w:trPr>
        <w:tc>
          <w:tcPr>
            <w:tcW w:w="993" w:type="dxa"/>
            <w:shd w:val="clear" w:color="auto" w:fill="auto"/>
            <w:vAlign w:val="center"/>
          </w:tcPr>
          <w:p w14:paraId="760F4F5B">
            <w:pPr>
              <w:spacing w:line="360" w:lineRule="auto"/>
              <w:jc w:val="center"/>
              <w:rPr>
                <w:rFonts w:ascii="宋体" w:hAnsi="宋体"/>
                <w:sz w:val="24"/>
                <w:szCs w:val="24"/>
                <w:highlight w:val="none"/>
              </w:rPr>
            </w:pPr>
            <w:r>
              <w:rPr>
                <w:rFonts w:hint="eastAsia" w:ascii="宋体" w:hAnsi="宋体"/>
                <w:sz w:val="24"/>
                <w:szCs w:val="24"/>
                <w:highlight w:val="none"/>
              </w:rPr>
              <w:t>*19.1</w:t>
            </w:r>
          </w:p>
        </w:tc>
        <w:tc>
          <w:tcPr>
            <w:tcW w:w="2067" w:type="dxa"/>
            <w:shd w:val="clear" w:color="auto" w:fill="auto"/>
            <w:vAlign w:val="center"/>
          </w:tcPr>
          <w:p w14:paraId="789A6873">
            <w:pPr>
              <w:spacing w:line="360" w:lineRule="auto"/>
              <w:rPr>
                <w:rFonts w:ascii="宋体" w:hAnsi="宋体"/>
                <w:sz w:val="24"/>
                <w:szCs w:val="24"/>
                <w:highlight w:val="none"/>
              </w:rPr>
            </w:pPr>
            <w:r>
              <w:rPr>
                <w:rFonts w:hint="eastAsia" w:ascii="宋体" w:hAnsi="宋体"/>
                <w:sz w:val="24"/>
                <w:szCs w:val="24"/>
                <w:highlight w:val="none"/>
              </w:rPr>
              <w:t>投标文件的递交</w:t>
            </w:r>
          </w:p>
        </w:tc>
        <w:tc>
          <w:tcPr>
            <w:tcW w:w="5940" w:type="dxa"/>
            <w:shd w:val="clear" w:color="auto" w:fill="auto"/>
            <w:vAlign w:val="center"/>
          </w:tcPr>
          <w:p w14:paraId="68B965B4">
            <w:pPr>
              <w:spacing w:line="360" w:lineRule="auto"/>
              <w:rPr>
                <w:rFonts w:ascii="宋体" w:hAnsi="宋体"/>
                <w:sz w:val="24"/>
                <w:szCs w:val="24"/>
                <w:highlight w:val="none"/>
              </w:rPr>
            </w:pPr>
            <w:r>
              <w:rPr>
                <w:rFonts w:hint="eastAsia" w:ascii="宋体" w:hAnsi="宋体"/>
                <w:sz w:val="24"/>
                <w:szCs w:val="24"/>
                <w:highlight w:val="none"/>
              </w:rPr>
              <w:t>投标文件递交地点</w:t>
            </w:r>
            <w:r>
              <w:rPr>
                <w:rFonts w:ascii="宋体" w:hAnsi="宋体"/>
                <w:sz w:val="24"/>
                <w:szCs w:val="24"/>
                <w:highlight w:val="none"/>
              </w:rPr>
              <w:t>:</w:t>
            </w:r>
            <w:r>
              <w:rPr>
                <w:rFonts w:hint="eastAsia" w:ascii="宋体" w:hAnsi="宋体"/>
                <w:sz w:val="24"/>
                <w:szCs w:val="24"/>
                <w:highlight w:val="none"/>
              </w:rPr>
              <w:t xml:space="preserve"> </w:t>
            </w:r>
          </w:p>
          <w:p w14:paraId="3AD07ED3">
            <w:pPr>
              <w:spacing w:line="360" w:lineRule="auto"/>
              <w:rPr>
                <w:rFonts w:ascii="宋体" w:hAnsi="宋体"/>
                <w:sz w:val="24"/>
                <w:szCs w:val="24"/>
                <w:highlight w:val="none"/>
              </w:rPr>
            </w:pPr>
            <w:r>
              <w:rPr>
                <w:rFonts w:hint="eastAsia" w:ascii="宋体" w:hAnsi="宋体"/>
                <w:sz w:val="24"/>
                <w:szCs w:val="24"/>
                <w:highlight w:val="none"/>
              </w:rPr>
              <w:t>投标截止时间</w:t>
            </w:r>
            <w:r>
              <w:rPr>
                <w:rFonts w:ascii="宋体" w:hAnsi="宋体"/>
                <w:sz w:val="24"/>
                <w:szCs w:val="24"/>
                <w:highlight w:val="none"/>
              </w:rPr>
              <w:t>:</w:t>
            </w:r>
            <w:r>
              <w:rPr>
                <w:rFonts w:hint="eastAsia" w:ascii="宋体" w:hAnsi="宋体"/>
                <w:sz w:val="24"/>
                <w:szCs w:val="24"/>
                <w:highlight w:val="none"/>
              </w:rPr>
              <w:t xml:space="preserve"> 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日9时30分整</w:t>
            </w:r>
          </w:p>
          <w:p w14:paraId="6FC76D79">
            <w:pPr>
              <w:spacing w:line="360" w:lineRule="auto"/>
              <w:rPr>
                <w:rFonts w:ascii="宋体" w:hAnsi="宋体"/>
                <w:sz w:val="24"/>
                <w:szCs w:val="24"/>
                <w:highlight w:val="none"/>
              </w:rPr>
            </w:pPr>
            <w:r>
              <w:rPr>
                <w:rFonts w:hint="eastAsia" w:ascii="宋体" w:hAnsi="宋体"/>
                <w:sz w:val="24"/>
                <w:szCs w:val="24"/>
                <w:highlight w:val="none"/>
              </w:rPr>
              <w:t>投标文件接收人</w:t>
            </w:r>
            <w:r>
              <w:rPr>
                <w:rFonts w:ascii="宋体" w:hAnsi="宋体"/>
                <w:sz w:val="24"/>
                <w:szCs w:val="24"/>
                <w:highlight w:val="none"/>
              </w:rPr>
              <w:t>:</w:t>
            </w:r>
            <w:r>
              <w:rPr>
                <w:rFonts w:hint="eastAsia" w:ascii="宋体" w:hAnsi="宋体"/>
                <w:sz w:val="24"/>
                <w:szCs w:val="24"/>
                <w:highlight w:val="none"/>
              </w:rPr>
              <w:t>西北（陕西）国际招标有限公司</w:t>
            </w:r>
          </w:p>
        </w:tc>
      </w:tr>
      <w:tr w14:paraId="0F2B41F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trPr>
        <w:tc>
          <w:tcPr>
            <w:tcW w:w="993" w:type="dxa"/>
            <w:shd w:val="clear" w:color="auto" w:fill="auto"/>
            <w:vAlign w:val="center"/>
          </w:tcPr>
          <w:p w14:paraId="7E147D75">
            <w:pPr>
              <w:spacing w:line="360" w:lineRule="auto"/>
              <w:jc w:val="center"/>
              <w:rPr>
                <w:rFonts w:ascii="宋体" w:hAnsi="宋体"/>
                <w:sz w:val="24"/>
                <w:szCs w:val="24"/>
                <w:highlight w:val="none"/>
              </w:rPr>
            </w:pPr>
            <w:r>
              <w:rPr>
                <w:rFonts w:ascii="宋体" w:hAnsi="宋体"/>
                <w:sz w:val="24"/>
                <w:szCs w:val="24"/>
                <w:highlight w:val="none"/>
              </w:rPr>
              <w:t>21.1</w:t>
            </w:r>
          </w:p>
        </w:tc>
        <w:tc>
          <w:tcPr>
            <w:tcW w:w="2067" w:type="dxa"/>
            <w:shd w:val="clear" w:color="auto" w:fill="auto"/>
            <w:vAlign w:val="center"/>
          </w:tcPr>
          <w:p w14:paraId="66543F6C">
            <w:pPr>
              <w:spacing w:line="360" w:lineRule="auto"/>
              <w:rPr>
                <w:rFonts w:ascii="宋体" w:hAnsi="宋体"/>
                <w:sz w:val="24"/>
                <w:szCs w:val="24"/>
                <w:highlight w:val="none"/>
              </w:rPr>
            </w:pPr>
            <w:r>
              <w:rPr>
                <w:rFonts w:hint="eastAsia" w:ascii="宋体" w:hAnsi="宋体"/>
                <w:sz w:val="24"/>
                <w:szCs w:val="24"/>
                <w:highlight w:val="none"/>
              </w:rPr>
              <w:t>开标时间和地点</w:t>
            </w:r>
          </w:p>
        </w:tc>
        <w:tc>
          <w:tcPr>
            <w:tcW w:w="5940" w:type="dxa"/>
            <w:shd w:val="clear" w:color="auto" w:fill="auto"/>
            <w:vAlign w:val="center"/>
          </w:tcPr>
          <w:p w14:paraId="0D46E0DE">
            <w:pPr>
              <w:spacing w:line="360" w:lineRule="auto"/>
              <w:rPr>
                <w:rFonts w:ascii="宋体" w:hAnsi="宋体"/>
                <w:sz w:val="24"/>
                <w:szCs w:val="24"/>
                <w:highlight w:val="none"/>
              </w:rPr>
            </w:pPr>
            <w:r>
              <w:rPr>
                <w:rFonts w:hint="eastAsia" w:ascii="宋体" w:hAnsi="宋体"/>
                <w:sz w:val="24"/>
                <w:szCs w:val="24"/>
                <w:highlight w:val="none"/>
              </w:rPr>
              <w:t>开标时间</w:t>
            </w:r>
            <w:r>
              <w:rPr>
                <w:rFonts w:ascii="宋体" w:hAnsi="宋体"/>
                <w:sz w:val="24"/>
                <w:szCs w:val="24"/>
                <w:highlight w:val="none"/>
              </w:rPr>
              <w:t xml:space="preserve">: </w:t>
            </w:r>
            <w:r>
              <w:rPr>
                <w:rFonts w:hint="eastAsia" w:ascii="宋体" w:hAnsi="宋体"/>
                <w:sz w:val="24"/>
                <w:szCs w:val="24"/>
                <w:highlight w:val="none"/>
              </w:rPr>
              <w:t>同投标文件递交截止时间</w:t>
            </w:r>
          </w:p>
          <w:p w14:paraId="22BB1566">
            <w:pPr>
              <w:spacing w:line="360" w:lineRule="auto"/>
              <w:rPr>
                <w:rFonts w:ascii="宋体" w:hAnsi="宋体"/>
                <w:sz w:val="24"/>
                <w:szCs w:val="24"/>
                <w:highlight w:val="none"/>
              </w:rPr>
            </w:pPr>
            <w:r>
              <w:rPr>
                <w:rFonts w:hint="eastAsia" w:ascii="宋体" w:hAnsi="宋体"/>
                <w:sz w:val="24"/>
                <w:szCs w:val="24"/>
                <w:highlight w:val="none"/>
              </w:rPr>
              <w:t>开标地点</w:t>
            </w:r>
            <w:r>
              <w:rPr>
                <w:rFonts w:ascii="宋体" w:hAnsi="宋体"/>
                <w:sz w:val="24"/>
                <w:szCs w:val="24"/>
                <w:highlight w:val="none"/>
              </w:rPr>
              <w:t xml:space="preserve">: </w:t>
            </w:r>
            <w:r>
              <w:rPr>
                <w:rFonts w:hint="eastAsia" w:ascii="宋体" w:hAnsi="宋体"/>
                <w:sz w:val="24"/>
                <w:szCs w:val="24"/>
                <w:highlight w:val="none"/>
              </w:rPr>
              <w:t>同投标文件递交地点</w:t>
            </w:r>
          </w:p>
        </w:tc>
      </w:tr>
      <w:tr w14:paraId="2747BCE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72" w:hRule="atLeast"/>
        </w:trPr>
        <w:tc>
          <w:tcPr>
            <w:tcW w:w="993" w:type="dxa"/>
            <w:vAlign w:val="center"/>
          </w:tcPr>
          <w:p w14:paraId="129E360A">
            <w:pPr>
              <w:spacing w:line="360" w:lineRule="auto"/>
              <w:jc w:val="center"/>
              <w:rPr>
                <w:rFonts w:ascii="宋体" w:hAnsi="宋体"/>
                <w:sz w:val="24"/>
                <w:szCs w:val="24"/>
                <w:highlight w:val="none"/>
              </w:rPr>
            </w:pPr>
            <w:r>
              <w:rPr>
                <w:rFonts w:hint="eastAsia" w:ascii="宋体" w:hAnsi="宋体"/>
                <w:sz w:val="24"/>
                <w:szCs w:val="24"/>
                <w:highlight w:val="none"/>
              </w:rPr>
              <w:t>21.3</w:t>
            </w:r>
          </w:p>
        </w:tc>
        <w:tc>
          <w:tcPr>
            <w:tcW w:w="2067" w:type="dxa"/>
            <w:vAlign w:val="center"/>
          </w:tcPr>
          <w:p w14:paraId="1662AFB5">
            <w:pPr>
              <w:spacing w:line="360" w:lineRule="auto"/>
              <w:rPr>
                <w:rFonts w:ascii="宋体" w:hAnsi="宋体"/>
                <w:sz w:val="24"/>
                <w:szCs w:val="24"/>
                <w:highlight w:val="none"/>
              </w:rPr>
            </w:pPr>
            <w:r>
              <w:rPr>
                <w:rFonts w:hint="eastAsia" w:ascii="宋体" w:hAnsi="宋体"/>
                <w:sz w:val="24"/>
                <w:szCs w:val="24"/>
                <w:highlight w:val="none"/>
              </w:rPr>
              <w:t>开标大会宣布内容</w:t>
            </w:r>
          </w:p>
        </w:tc>
        <w:tc>
          <w:tcPr>
            <w:tcW w:w="5940" w:type="dxa"/>
            <w:vAlign w:val="center"/>
          </w:tcPr>
          <w:p w14:paraId="44C6A250">
            <w:pPr>
              <w:spacing w:line="360" w:lineRule="auto"/>
              <w:rPr>
                <w:rFonts w:ascii="宋体" w:hAnsi="宋体"/>
                <w:sz w:val="24"/>
                <w:szCs w:val="24"/>
                <w:highlight w:val="none"/>
              </w:rPr>
            </w:pPr>
            <w:r>
              <w:rPr>
                <w:rFonts w:hint="eastAsia" w:ascii="宋体" w:hAnsi="宋体"/>
                <w:sz w:val="24"/>
                <w:szCs w:val="24"/>
                <w:highlight w:val="none"/>
              </w:rPr>
              <w:t>1、开标一览表的全部内容；</w:t>
            </w:r>
          </w:p>
          <w:p w14:paraId="526BC1F1">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价格折扣、修改或撤回或变动价格的书面通知（如果有）</w:t>
            </w:r>
            <w:r>
              <w:rPr>
                <w:rFonts w:hint="eastAsia" w:ascii="宋体" w:hAnsi="宋体"/>
                <w:sz w:val="24"/>
                <w:szCs w:val="24"/>
                <w:highlight w:val="none"/>
              </w:rPr>
              <w:t>。</w:t>
            </w:r>
          </w:p>
        </w:tc>
      </w:tr>
      <w:tr w14:paraId="5C04916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6FCD4A0E">
            <w:pPr>
              <w:spacing w:line="360" w:lineRule="auto"/>
              <w:jc w:val="center"/>
              <w:rPr>
                <w:rFonts w:ascii="宋体" w:hAnsi="宋体"/>
                <w:sz w:val="24"/>
                <w:szCs w:val="24"/>
                <w:highlight w:val="none"/>
              </w:rPr>
            </w:pPr>
            <w:r>
              <w:rPr>
                <w:rFonts w:hint="eastAsia" w:ascii="宋体" w:hAnsi="宋体"/>
                <w:sz w:val="24"/>
                <w:szCs w:val="24"/>
                <w:highlight w:val="none"/>
              </w:rPr>
              <w:t>*21.8</w:t>
            </w:r>
          </w:p>
        </w:tc>
        <w:tc>
          <w:tcPr>
            <w:tcW w:w="2067" w:type="dxa"/>
            <w:vAlign w:val="center"/>
          </w:tcPr>
          <w:p w14:paraId="5F2C82EA">
            <w:pPr>
              <w:spacing w:line="360" w:lineRule="auto"/>
              <w:rPr>
                <w:rFonts w:ascii="宋体" w:hAnsi="宋体"/>
                <w:sz w:val="24"/>
                <w:szCs w:val="24"/>
                <w:highlight w:val="none"/>
              </w:rPr>
            </w:pPr>
            <w:r>
              <w:rPr>
                <w:rFonts w:hint="eastAsia" w:ascii="宋体" w:hAnsi="宋体"/>
                <w:sz w:val="24"/>
                <w:szCs w:val="24"/>
                <w:highlight w:val="none"/>
              </w:rPr>
              <w:t>投标人资格和投标保证金缴纳审查</w:t>
            </w:r>
          </w:p>
        </w:tc>
        <w:tc>
          <w:tcPr>
            <w:tcW w:w="5940" w:type="dxa"/>
            <w:vAlign w:val="center"/>
          </w:tcPr>
          <w:p w14:paraId="563A7AF4">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审查时间：开标结束后；</w:t>
            </w:r>
          </w:p>
          <w:p w14:paraId="2665EA96">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审查内容：</w:t>
            </w:r>
          </w:p>
          <w:p w14:paraId="7CACCAF7">
            <w:pPr>
              <w:spacing w:line="360" w:lineRule="auto"/>
              <w:rPr>
                <w:rFonts w:ascii="宋体" w:hAnsi="宋体" w:cs="宋体"/>
                <w:kern w:val="0"/>
                <w:sz w:val="24"/>
                <w:szCs w:val="24"/>
                <w:highlight w:val="none"/>
              </w:rPr>
            </w:pPr>
            <w:r>
              <w:rPr>
                <w:rFonts w:hint="eastAsia" w:ascii="宋体" w:hAnsi="宋体"/>
                <w:spacing w:val="4"/>
                <w:sz w:val="24"/>
                <w:szCs w:val="24"/>
                <w:highlight w:val="none"/>
              </w:rPr>
              <w:t>2.1在</w:t>
            </w:r>
            <w:r>
              <w:rPr>
                <w:rFonts w:hint="eastAsia" w:ascii="宋体" w:hAnsi="宋体" w:cs="宋体"/>
                <w:kern w:val="0"/>
                <w:sz w:val="24"/>
                <w:szCs w:val="24"/>
                <w:highlight w:val="none"/>
              </w:rPr>
              <w:t>“信用中国”网站（www.creditchina.gov.cn）和“中国政府采购网”（ccgp.gov.cn）对投标人信用信息进行查询，如果投标人被查实在投标截止时间前列入失信被执行人</w:t>
            </w:r>
            <w:r>
              <w:rPr>
                <w:rFonts w:hint="eastAsia" w:ascii="宋体" w:hAnsi="宋体" w:cs="宋体"/>
                <w:color w:val="000000"/>
                <w:kern w:val="0"/>
                <w:sz w:val="24"/>
                <w:szCs w:val="24"/>
                <w:highlight w:val="none"/>
              </w:rPr>
              <w:t>（页面跳转至“中国执行信息网”http://zxgk.court.gov.cn/shixin/）</w:t>
            </w:r>
            <w:r>
              <w:rPr>
                <w:rFonts w:hint="eastAsia" w:ascii="宋体" w:hAnsi="宋体" w:cs="宋体"/>
                <w:kern w:val="0"/>
                <w:sz w:val="24"/>
                <w:szCs w:val="24"/>
                <w:highlight w:val="none"/>
              </w:rPr>
              <w:t>、重大税收违法案件当事人名单、政府采购严重违法失信行为记录名单，其投标为无效。</w:t>
            </w:r>
          </w:p>
          <w:p w14:paraId="74315F34">
            <w:pPr>
              <w:spacing w:line="360" w:lineRule="auto"/>
              <w:rPr>
                <w:rFonts w:ascii="宋体" w:hAnsi="宋体"/>
                <w:color w:val="EA14D8"/>
                <w:spacing w:val="4"/>
                <w:sz w:val="24"/>
                <w:szCs w:val="24"/>
                <w:highlight w:val="none"/>
              </w:rPr>
            </w:pPr>
            <w:r>
              <w:rPr>
                <w:rFonts w:hint="eastAsia" w:ascii="宋体" w:hAnsi="宋体"/>
                <w:spacing w:val="4"/>
                <w:sz w:val="24"/>
                <w:szCs w:val="24"/>
                <w:highlight w:val="none"/>
              </w:rPr>
              <w:t>2.2审查投标人资格证明文件是否符合国家法律法规和招标文件的要求，并且齐全、真实、有效。资格证明文件不合格的，其投标为无效。</w:t>
            </w:r>
          </w:p>
          <w:p w14:paraId="52E15793">
            <w:pPr>
              <w:spacing w:line="360" w:lineRule="auto"/>
              <w:rPr>
                <w:rFonts w:ascii="宋体" w:hAnsi="宋体"/>
                <w:sz w:val="24"/>
                <w:szCs w:val="24"/>
                <w:highlight w:val="none"/>
              </w:rPr>
            </w:pPr>
            <w:r>
              <w:rPr>
                <w:rFonts w:hint="eastAsia" w:ascii="宋体" w:hAnsi="宋体"/>
                <w:spacing w:val="4"/>
                <w:sz w:val="24"/>
                <w:szCs w:val="24"/>
                <w:highlight w:val="none"/>
              </w:rPr>
              <w:t>3、通过资格审查的</w:t>
            </w:r>
            <w:r>
              <w:rPr>
                <w:rFonts w:hint="eastAsia" w:ascii="宋体" w:hAnsi="宋体"/>
                <w:sz w:val="24"/>
                <w:szCs w:val="24"/>
                <w:highlight w:val="none"/>
              </w:rPr>
              <w:t>投标人不足三家的，不进行评标。</w:t>
            </w:r>
          </w:p>
        </w:tc>
      </w:tr>
      <w:tr w14:paraId="3C9F0DC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590372DF">
            <w:pPr>
              <w:spacing w:line="360" w:lineRule="auto"/>
              <w:jc w:val="center"/>
              <w:rPr>
                <w:rFonts w:ascii="宋体" w:hAnsi="宋体"/>
                <w:sz w:val="24"/>
                <w:szCs w:val="24"/>
                <w:highlight w:val="none"/>
              </w:rPr>
            </w:pPr>
            <w:r>
              <w:rPr>
                <w:rFonts w:hint="eastAsia" w:ascii="宋体" w:hAnsi="宋体"/>
                <w:sz w:val="24"/>
                <w:szCs w:val="24"/>
                <w:highlight w:val="none"/>
              </w:rPr>
              <w:t>24.1</w:t>
            </w:r>
          </w:p>
        </w:tc>
        <w:tc>
          <w:tcPr>
            <w:tcW w:w="2067" w:type="dxa"/>
            <w:vAlign w:val="center"/>
          </w:tcPr>
          <w:p w14:paraId="1628F35C">
            <w:pPr>
              <w:spacing w:line="360" w:lineRule="auto"/>
              <w:rPr>
                <w:rFonts w:ascii="宋体" w:hAnsi="宋体"/>
                <w:sz w:val="24"/>
                <w:szCs w:val="24"/>
                <w:highlight w:val="none"/>
              </w:rPr>
            </w:pPr>
            <w:r>
              <w:rPr>
                <w:rFonts w:hint="eastAsia" w:ascii="宋体" w:hAnsi="宋体"/>
                <w:sz w:val="24"/>
                <w:szCs w:val="24"/>
                <w:highlight w:val="none"/>
              </w:rPr>
              <w:t>评标方法</w:t>
            </w:r>
          </w:p>
        </w:tc>
        <w:tc>
          <w:tcPr>
            <w:tcW w:w="5940" w:type="dxa"/>
            <w:vAlign w:val="center"/>
          </w:tcPr>
          <w:p w14:paraId="7D796DF1">
            <w:pPr>
              <w:spacing w:line="360" w:lineRule="auto"/>
              <w:rPr>
                <w:rFonts w:ascii="宋体" w:hAnsi="宋体"/>
                <w:sz w:val="24"/>
                <w:szCs w:val="24"/>
                <w:highlight w:val="none"/>
              </w:rPr>
            </w:pPr>
            <w:r>
              <w:rPr>
                <w:rFonts w:hint="eastAsia" w:ascii="宋体" w:hAnsi="宋体"/>
                <w:sz w:val="24"/>
                <w:szCs w:val="24"/>
                <w:highlight w:val="none"/>
              </w:rPr>
              <w:t>综合评分法</w:t>
            </w:r>
          </w:p>
          <w:p w14:paraId="28E9B56C">
            <w:pPr>
              <w:spacing w:line="360" w:lineRule="auto"/>
              <w:rPr>
                <w:rFonts w:ascii="宋体" w:hAnsi="宋体"/>
                <w:sz w:val="24"/>
                <w:szCs w:val="24"/>
                <w:highlight w:val="none"/>
              </w:rPr>
            </w:pPr>
            <w:r>
              <w:rPr>
                <w:rFonts w:hint="eastAsia" w:ascii="宋体" w:hAnsi="宋体"/>
                <w:sz w:val="24"/>
                <w:szCs w:val="24"/>
                <w:highlight w:val="none"/>
              </w:rPr>
              <w:t>（详见第五章评标方法）。</w:t>
            </w:r>
          </w:p>
        </w:tc>
      </w:tr>
      <w:tr w14:paraId="34974B0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5EAE10DE">
            <w:pPr>
              <w:spacing w:line="360" w:lineRule="auto"/>
              <w:jc w:val="center"/>
              <w:rPr>
                <w:rFonts w:ascii="宋体" w:hAnsi="宋体"/>
                <w:sz w:val="24"/>
                <w:szCs w:val="24"/>
                <w:highlight w:val="none"/>
              </w:rPr>
            </w:pPr>
            <w:r>
              <w:rPr>
                <w:rFonts w:hint="eastAsia" w:ascii="宋体" w:hAnsi="宋体"/>
                <w:sz w:val="24"/>
                <w:szCs w:val="24"/>
                <w:highlight w:val="none"/>
              </w:rPr>
              <w:t>26.1</w:t>
            </w:r>
          </w:p>
        </w:tc>
        <w:tc>
          <w:tcPr>
            <w:tcW w:w="2067" w:type="dxa"/>
            <w:vAlign w:val="center"/>
          </w:tcPr>
          <w:p w14:paraId="7A447828">
            <w:pPr>
              <w:spacing w:line="360" w:lineRule="auto"/>
              <w:rPr>
                <w:rFonts w:ascii="宋体" w:hAnsi="宋体"/>
                <w:sz w:val="24"/>
                <w:szCs w:val="24"/>
                <w:highlight w:val="none"/>
              </w:rPr>
            </w:pPr>
            <w:r>
              <w:rPr>
                <w:rFonts w:hint="eastAsia" w:ascii="宋体" w:hAnsi="宋体"/>
                <w:sz w:val="24"/>
                <w:szCs w:val="24"/>
                <w:highlight w:val="none"/>
              </w:rPr>
              <w:t>中标候选人数量</w:t>
            </w:r>
          </w:p>
        </w:tc>
        <w:tc>
          <w:tcPr>
            <w:tcW w:w="5940" w:type="dxa"/>
            <w:vAlign w:val="center"/>
          </w:tcPr>
          <w:p w14:paraId="479DF957">
            <w:pPr>
              <w:spacing w:line="360" w:lineRule="auto"/>
              <w:rPr>
                <w:rFonts w:ascii="宋体" w:hAnsi="宋体"/>
                <w:sz w:val="24"/>
                <w:szCs w:val="24"/>
                <w:highlight w:val="none"/>
              </w:rPr>
            </w:pPr>
            <w:r>
              <w:rPr>
                <w:rFonts w:hint="eastAsia" w:ascii="宋体" w:hAnsi="宋体"/>
                <w:sz w:val="24"/>
                <w:szCs w:val="24"/>
                <w:highlight w:val="none"/>
              </w:rPr>
              <w:t>推荐</w:t>
            </w:r>
            <w:r>
              <w:rPr>
                <w:rFonts w:hint="eastAsia" w:ascii="宋体" w:hAnsi="宋体"/>
                <w:sz w:val="24"/>
                <w:szCs w:val="24"/>
                <w:highlight w:val="none"/>
                <w:u w:val="single"/>
              </w:rPr>
              <w:t>3</w:t>
            </w:r>
            <w:r>
              <w:rPr>
                <w:rFonts w:hint="eastAsia" w:ascii="宋体" w:hAnsi="宋体"/>
                <w:sz w:val="24"/>
                <w:szCs w:val="24"/>
                <w:highlight w:val="none"/>
              </w:rPr>
              <w:t>名中标候选人。</w:t>
            </w:r>
          </w:p>
        </w:tc>
      </w:tr>
      <w:tr w14:paraId="520B0213">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trPr>
        <w:tc>
          <w:tcPr>
            <w:tcW w:w="993" w:type="dxa"/>
            <w:vAlign w:val="center"/>
          </w:tcPr>
          <w:p w14:paraId="16663EBD">
            <w:pPr>
              <w:spacing w:line="360" w:lineRule="auto"/>
              <w:jc w:val="center"/>
              <w:rPr>
                <w:rFonts w:ascii="宋体" w:hAnsi="宋体"/>
                <w:sz w:val="24"/>
                <w:szCs w:val="24"/>
                <w:highlight w:val="none"/>
              </w:rPr>
            </w:pPr>
            <w:r>
              <w:rPr>
                <w:rFonts w:hint="eastAsia" w:ascii="宋体" w:hAnsi="宋体"/>
                <w:sz w:val="24"/>
                <w:szCs w:val="24"/>
                <w:highlight w:val="none"/>
              </w:rPr>
              <w:t>26.7</w:t>
            </w:r>
          </w:p>
        </w:tc>
        <w:tc>
          <w:tcPr>
            <w:tcW w:w="2067" w:type="dxa"/>
            <w:vAlign w:val="center"/>
          </w:tcPr>
          <w:p w14:paraId="273446C9">
            <w:pPr>
              <w:spacing w:line="360" w:lineRule="auto"/>
              <w:rPr>
                <w:rFonts w:ascii="宋体" w:hAnsi="宋体"/>
                <w:sz w:val="24"/>
                <w:szCs w:val="24"/>
                <w:highlight w:val="none"/>
              </w:rPr>
            </w:pPr>
            <w:r>
              <w:rPr>
                <w:rFonts w:hint="eastAsia" w:ascii="宋体" w:hAnsi="宋体"/>
                <w:sz w:val="24"/>
                <w:szCs w:val="24"/>
                <w:highlight w:val="none"/>
              </w:rPr>
              <w:t>评标特别规定</w:t>
            </w:r>
          </w:p>
        </w:tc>
        <w:tc>
          <w:tcPr>
            <w:tcW w:w="5940" w:type="dxa"/>
            <w:vAlign w:val="center"/>
          </w:tcPr>
          <w:p w14:paraId="6E6A3CC4">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1E76B4A3">
            <w:pPr>
              <w:spacing w:line="360" w:lineRule="auto"/>
              <w:rPr>
                <w:rFonts w:ascii="宋体" w:hAnsi="宋体"/>
                <w:sz w:val="24"/>
                <w:szCs w:val="24"/>
                <w:highlight w:val="none"/>
              </w:rPr>
            </w:pPr>
            <w:r>
              <w:rPr>
                <w:rFonts w:hint="eastAsia" w:ascii="宋体" w:hAnsi="宋体"/>
                <w:sz w:val="24"/>
                <w:szCs w:val="24"/>
                <w:highlight w:val="none"/>
              </w:rPr>
              <w:t>具体要求：</w:t>
            </w:r>
          </w:p>
          <w:p w14:paraId="7109C2A6">
            <w:pPr>
              <w:spacing w:line="360" w:lineRule="auto"/>
              <w:rPr>
                <w:rFonts w:ascii="宋体" w:hAnsi="宋体"/>
                <w:sz w:val="24"/>
                <w:szCs w:val="24"/>
                <w:highlight w:val="none"/>
              </w:rPr>
            </w:pPr>
          </w:p>
          <w:p w14:paraId="02C9B3F9">
            <w:pPr>
              <w:spacing w:line="360" w:lineRule="auto"/>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1A7B91C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215E10DF">
            <w:pPr>
              <w:spacing w:line="360" w:lineRule="auto"/>
              <w:jc w:val="center"/>
              <w:rPr>
                <w:rFonts w:ascii="宋体" w:hAnsi="宋体"/>
                <w:sz w:val="24"/>
                <w:szCs w:val="24"/>
                <w:highlight w:val="none"/>
              </w:rPr>
            </w:pPr>
            <w:r>
              <w:rPr>
                <w:rFonts w:hint="eastAsia" w:ascii="宋体" w:hAnsi="宋体"/>
                <w:sz w:val="24"/>
                <w:szCs w:val="24"/>
                <w:highlight w:val="none"/>
              </w:rPr>
              <w:t>30</w:t>
            </w:r>
          </w:p>
        </w:tc>
        <w:tc>
          <w:tcPr>
            <w:tcW w:w="2067" w:type="dxa"/>
            <w:vAlign w:val="center"/>
          </w:tcPr>
          <w:p w14:paraId="55E4FFAC">
            <w:pPr>
              <w:spacing w:line="360" w:lineRule="auto"/>
              <w:rPr>
                <w:rFonts w:ascii="宋体" w:hAnsi="宋体"/>
                <w:sz w:val="24"/>
                <w:szCs w:val="24"/>
                <w:highlight w:val="none"/>
              </w:rPr>
            </w:pPr>
            <w:r>
              <w:rPr>
                <w:rFonts w:hint="eastAsia" w:ascii="宋体" w:hAnsi="宋体"/>
                <w:sz w:val="24"/>
                <w:szCs w:val="24"/>
                <w:highlight w:val="none"/>
              </w:rPr>
              <w:t>招标代理服务费</w:t>
            </w:r>
          </w:p>
        </w:tc>
        <w:tc>
          <w:tcPr>
            <w:tcW w:w="5940" w:type="dxa"/>
            <w:vAlign w:val="center"/>
          </w:tcPr>
          <w:p w14:paraId="39B64DC4">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1.招标代理服务费收费标准：采购代理机构参照国家计委关于印发《招标代理服务收费管理暂行办法》的通知（计价格〔2002〕1980号）、《国家发展和改革委员会办公厅关于招标代理服务收费有关问题的通知》（发改办价格〔2003〕857号）规定的标准向中标人收取代理服务费。</w:t>
            </w:r>
          </w:p>
          <w:p w14:paraId="1E739ACB">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2.缴费时间：</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应在收到中标通知</w:t>
            </w:r>
            <w:r>
              <w:rPr>
                <w:rFonts w:hint="eastAsia" w:ascii="宋体" w:hAnsi="宋体"/>
                <w:sz w:val="24"/>
                <w:szCs w:val="24"/>
                <w:highlight w:val="none"/>
              </w:rPr>
              <w:t>3</w:t>
            </w:r>
            <w:r>
              <w:rPr>
                <w:rFonts w:ascii="宋体" w:hAnsi="宋体"/>
                <w:sz w:val="24"/>
                <w:szCs w:val="24"/>
                <w:highlight w:val="none"/>
              </w:rPr>
              <w:t>日内</w:t>
            </w:r>
            <w:r>
              <w:rPr>
                <w:rFonts w:hint="eastAsia" w:ascii="宋体" w:hAnsi="宋体" w:cs="宋体"/>
                <w:spacing w:val="4"/>
                <w:sz w:val="24"/>
                <w:szCs w:val="22"/>
                <w:highlight w:val="none"/>
              </w:rPr>
              <w:t>，向招标代理机构一次付清招标代理服务费。</w:t>
            </w:r>
          </w:p>
          <w:p w14:paraId="46038F45">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3.银行信息:</w:t>
            </w:r>
          </w:p>
          <w:p w14:paraId="38789287">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户名：西北（陕西）国际招标有限公司</w:t>
            </w:r>
          </w:p>
          <w:p w14:paraId="285C56D4">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开户银行：交通银行西安长安大学支行</w:t>
            </w:r>
          </w:p>
          <w:p w14:paraId="62DE68BA">
            <w:pPr>
              <w:spacing w:line="360" w:lineRule="auto"/>
              <w:rPr>
                <w:rFonts w:ascii="宋体" w:hAnsi="宋体"/>
                <w:color w:val="FF0000"/>
                <w:sz w:val="24"/>
                <w:szCs w:val="24"/>
                <w:highlight w:val="none"/>
              </w:rPr>
            </w:pPr>
            <w:r>
              <w:rPr>
                <w:rFonts w:hint="eastAsia" w:ascii="宋体" w:hAnsi="宋体" w:cs="宋体"/>
                <w:spacing w:val="4"/>
                <w:sz w:val="24"/>
                <w:szCs w:val="22"/>
                <w:highlight w:val="none"/>
              </w:rPr>
              <w:t>账号：611301151018010003843</w:t>
            </w:r>
          </w:p>
        </w:tc>
      </w:tr>
      <w:tr w14:paraId="76D5AF7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68962CAD">
            <w:pPr>
              <w:spacing w:line="360" w:lineRule="auto"/>
              <w:jc w:val="center"/>
              <w:rPr>
                <w:rFonts w:ascii="宋体" w:hAnsi="宋体"/>
                <w:sz w:val="24"/>
                <w:szCs w:val="24"/>
                <w:highlight w:val="none"/>
              </w:rPr>
            </w:pPr>
            <w:r>
              <w:rPr>
                <w:rFonts w:hint="eastAsia" w:ascii="宋体" w:hAnsi="宋体"/>
                <w:sz w:val="24"/>
                <w:szCs w:val="24"/>
                <w:highlight w:val="none"/>
              </w:rPr>
              <w:t>33（1）</w:t>
            </w:r>
          </w:p>
        </w:tc>
        <w:tc>
          <w:tcPr>
            <w:tcW w:w="2067" w:type="dxa"/>
            <w:vAlign w:val="center"/>
          </w:tcPr>
          <w:p w14:paraId="1C2A2835">
            <w:pPr>
              <w:pStyle w:val="40"/>
              <w:spacing w:before="120" w:line="220" w:lineRule="auto"/>
              <w:ind w:left="126"/>
              <w:rPr>
                <w:highlight w:val="none"/>
                <w:lang w:eastAsia="zh-CN"/>
              </w:rPr>
            </w:pPr>
            <w:r>
              <w:rPr>
                <w:spacing w:val="-3"/>
                <w:highlight w:val="none"/>
                <w:lang w:eastAsia="zh-CN"/>
              </w:rPr>
              <w:t>是否组织潜</w:t>
            </w:r>
            <w:r>
              <w:rPr>
                <w:spacing w:val="-2"/>
                <w:highlight w:val="none"/>
                <w:lang w:eastAsia="zh-CN"/>
              </w:rPr>
              <w:t>在应商现场</w:t>
            </w:r>
            <w:r>
              <w:rPr>
                <w:spacing w:val="-1"/>
                <w:highlight w:val="none"/>
                <w:lang w:eastAsia="zh-CN"/>
              </w:rPr>
              <w:t>踏勘</w:t>
            </w:r>
          </w:p>
        </w:tc>
        <w:tc>
          <w:tcPr>
            <w:tcW w:w="5940" w:type="dxa"/>
          </w:tcPr>
          <w:p w14:paraId="575240A1">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 xml:space="preserve">☐是  </w:t>
            </w:r>
          </w:p>
          <w:p w14:paraId="29195133">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踏勘时间及地址：</w:t>
            </w:r>
          </w:p>
          <w:p w14:paraId="62F2643A">
            <w:pPr>
              <w:spacing w:line="360" w:lineRule="auto"/>
              <w:rPr>
                <w:rFonts w:ascii="宋体" w:hAnsi="宋体" w:cs="宋体"/>
                <w:sz w:val="24"/>
                <w:szCs w:val="24"/>
                <w:highlight w:val="none"/>
              </w:rPr>
            </w:pPr>
            <w:r>
              <w:rPr>
                <w:rFonts w:hint="eastAsia" w:ascii="宋体" w:hAnsi="宋体" w:cs="宋体"/>
                <w:spacing w:val="4"/>
                <w:sz w:val="24"/>
                <w:szCs w:val="22"/>
                <w:highlight w:val="none"/>
              </w:rPr>
              <w:sym w:font="Wingdings 2" w:char="0052"/>
            </w:r>
            <w:r>
              <w:rPr>
                <w:rFonts w:hint="eastAsia" w:ascii="宋体" w:hAnsi="宋体" w:cs="宋体"/>
                <w:spacing w:val="4"/>
                <w:sz w:val="24"/>
                <w:szCs w:val="22"/>
                <w:highlight w:val="none"/>
              </w:rPr>
              <w:t>否</w:t>
            </w:r>
          </w:p>
        </w:tc>
      </w:tr>
      <w:tr w14:paraId="565EF60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35F80C1C">
            <w:pPr>
              <w:spacing w:line="360" w:lineRule="auto"/>
              <w:jc w:val="center"/>
              <w:rPr>
                <w:rFonts w:ascii="宋体" w:hAnsi="宋体"/>
                <w:sz w:val="24"/>
                <w:szCs w:val="24"/>
                <w:highlight w:val="none"/>
              </w:rPr>
            </w:pPr>
            <w:r>
              <w:rPr>
                <w:rFonts w:hint="eastAsia" w:ascii="宋体" w:hAnsi="宋体"/>
                <w:sz w:val="24"/>
                <w:szCs w:val="24"/>
                <w:highlight w:val="none"/>
              </w:rPr>
              <w:t>33（2）</w:t>
            </w:r>
          </w:p>
        </w:tc>
        <w:tc>
          <w:tcPr>
            <w:tcW w:w="2067" w:type="dxa"/>
            <w:vAlign w:val="center"/>
          </w:tcPr>
          <w:p w14:paraId="5787D8BC">
            <w:pPr>
              <w:spacing w:line="360" w:lineRule="auto"/>
              <w:rPr>
                <w:rFonts w:ascii="宋体" w:hAnsi="宋体"/>
                <w:b/>
                <w:sz w:val="24"/>
                <w:szCs w:val="24"/>
                <w:highlight w:val="none"/>
              </w:rPr>
            </w:pPr>
            <w:r>
              <w:rPr>
                <w:rFonts w:hint="eastAsia" w:ascii="宋体" w:hAnsi="宋体"/>
                <w:b/>
                <w:sz w:val="24"/>
                <w:szCs w:val="24"/>
                <w:highlight w:val="none"/>
              </w:rPr>
              <w:t>政府采购政策功能</w:t>
            </w:r>
          </w:p>
          <w:p w14:paraId="33554348">
            <w:pPr>
              <w:spacing w:line="360" w:lineRule="auto"/>
              <w:rPr>
                <w:rFonts w:ascii="宋体" w:hAnsi="宋体"/>
                <w:b/>
                <w:sz w:val="24"/>
                <w:szCs w:val="24"/>
                <w:highlight w:val="none"/>
              </w:rPr>
            </w:pPr>
            <w:r>
              <w:rPr>
                <w:rFonts w:hint="eastAsia" w:ascii="宋体" w:hAnsi="宋体"/>
                <w:b/>
                <w:sz w:val="24"/>
                <w:szCs w:val="24"/>
                <w:highlight w:val="none"/>
              </w:rPr>
              <w:t>（融资政策）</w:t>
            </w:r>
          </w:p>
        </w:tc>
        <w:tc>
          <w:tcPr>
            <w:tcW w:w="5940" w:type="dxa"/>
            <w:vAlign w:val="center"/>
          </w:tcPr>
          <w:p w14:paraId="131C088A">
            <w:pPr>
              <w:spacing w:line="360" w:lineRule="auto"/>
              <w:rPr>
                <w:rFonts w:ascii="Arial" w:hAnsi="Arial"/>
                <w:kern w:val="0"/>
                <w:sz w:val="24"/>
                <w:highlight w:val="none"/>
              </w:rPr>
            </w:pPr>
            <w:r>
              <w:rPr>
                <w:rFonts w:hint="eastAsia" w:ascii="宋体" w:hAnsi="宋体" w:cs="宋体"/>
                <w:spacing w:val="4"/>
                <w:sz w:val="24"/>
                <w:szCs w:val="22"/>
                <w:highlight w:val="none"/>
              </w:rPr>
              <w:t>为支持和促进中小企业发展，进一步发挥政府采购政策功能作用，有效缓解中小企业融资难等问题，根据中办、国办《关于促进中小企业健康发展的指导意见》、财政部、工信部《政府采购促进中小企业发展管理办法》（财库〔2020〕46号）、财政部《关于进一步加大政府采购支持中小企业力度的通知》（财库〔2022〕19号）、《陕西省财政厅关于加快推进我省中小企业政府采购信用融资工作的通知》（陕财办采 〔2020〕15 号）和《陕西省中小企业政府采购信用融资办法》（陕财办采〔2018〕23 号，详见本章附件1，文件链接地址：</w:t>
            </w:r>
            <w:r>
              <w:rPr>
                <w:highlight w:val="none"/>
              </w:rPr>
              <w:fldChar w:fldCharType="begin"/>
            </w:r>
            <w:r>
              <w:rPr>
                <w:highlight w:val="none"/>
              </w:rPr>
              <w:instrText xml:space="preserve"> HYPERLINK "http://www.ccgp-shaanxi.gov.cn/zcdservice/zcd/shanxi/article/zcdt/1390497710741917696" </w:instrText>
            </w:r>
            <w:r>
              <w:rPr>
                <w:highlight w:val="none"/>
              </w:rPr>
              <w:fldChar w:fldCharType="separate"/>
            </w:r>
            <w:r>
              <w:rPr>
                <w:rFonts w:hint="eastAsia" w:ascii="宋体" w:hAnsi="宋体" w:cs="宋体"/>
                <w:spacing w:val="4"/>
                <w:sz w:val="24"/>
                <w:szCs w:val="22"/>
                <w:highlight w:val="none"/>
              </w:rPr>
              <w:t>http://www.ccgp-shaanxi.gov.cn/zcdservice/zcd/shanxi/article/zcdt/1390497710741917696</w:t>
            </w:r>
            <w:r>
              <w:rPr>
                <w:rFonts w:hint="eastAsia" w:ascii="宋体" w:hAnsi="宋体" w:cs="宋体"/>
                <w:spacing w:val="4"/>
                <w:sz w:val="24"/>
                <w:szCs w:val="22"/>
                <w:highlight w:val="none"/>
              </w:rPr>
              <w:fldChar w:fldCharType="end"/>
            </w:r>
            <w:r>
              <w:rPr>
                <w:rFonts w:hint="eastAsia" w:ascii="宋体" w:hAnsi="宋体" w:cs="宋体"/>
                <w:spacing w:val="4"/>
                <w:sz w:val="24"/>
                <w:szCs w:val="22"/>
                <w:highlight w:val="none"/>
              </w:rPr>
              <w:t>）等文件的要求，为助力解决政府采购成交供应商资金不足、融资难、融资贵的困难，促进供应商依法诚信参加政府采购活动，有融资需求的供应商可登录陕西省政府釆购网—信用融资平台（http://www.ccgpshaanxi.gov.cn/zcdservice/zcd/shanxi/），或同级财政部门官网或融资平台，选择符合自身情况的“政采贷”银行及其产品，凭项目中标（成交）结果、中标（成交）通知书等信息在线向银行提出贷款意向申请、查看贷款审批情况等。政府采购监管部门业务咨询电话：029-68936409、68936154、68936341</w:t>
            </w:r>
          </w:p>
        </w:tc>
      </w:tr>
      <w:tr w14:paraId="3F7589D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7E46A892">
            <w:pPr>
              <w:spacing w:line="360" w:lineRule="auto"/>
              <w:jc w:val="center"/>
              <w:rPr>
                <w:rFonts w:ascii="宋体" w:hAnsi="宋体"/>
                <w:sz w:val="24"/>
                <w:szCs w:val="24"/>
                <w:highlight w:val="none"/>
              </w:rPr>
            </w:pPr>
            <w:r>
              <w:rPr>
                <w:rFonts w:hint="eastAsia" w:ascii="宋体" w:hAnsi="宋体"/>
                <w:sz w:val="24"/>
                <w:szCs w:val="24"/>
                <w:highlight w:val="none"/>
              </w:rPr>
              <w:t>33（3）</w:t>
            </w:r>
          </w:p>
        </w:tc>
        <w:tc>
          <w:tcPr>
            <w:tcW w:w="2067" w:type="dxa"/>
            <w:vAlign w:val="center"/>
          </w:tcPr>
          <w:p w14:paraId="6CC58597">
            <w:pPr>
              <w:spacing w:line="360" w:lineRule="auto"/>
              <w:jc w:val="left"/>
              <w:rPr>
                <w:rFonts w:ascii="宋体" w:hAnsi="宋体" w:cs="宋体"/>
                <w:sz w:val="24"/>
                <w:szCs w:val="24"/>
                <w:highlight w:val="none"/>
              </w:rPr>
            </w:pPr>
            <w:r>
              <w:rPr>
                <w:rFonts w:hint="eastAsia" w:ascii="宋体" w:hAnsi="宋体" w:cs="宋体"/>
                <w:sz w:val="24"/>
                <w:szCs w:val="24"/>
                <w:highlight w:val="none"/>
              </w:rPr>
              <w:t>政府采购政策功能（本国产品标准）</w:t>
            </w:r>
          </w:p>
        </w:tc>
        <w:tc>
          <w:tcPr>
            <w:tcW w:w="5940" w:type="dxa"/>
            <w:vAlign w:val="center"/>
          </w:tcPr>
          <w:p w14:paraId="77A362E1">
            <w:pPr>
              <w:spacing w:line="360" w:lineRule="auto"/>
              <w:rPr>
                <w:rFonts w:ascii="宋体" w:hAnsi="宋体" w:cs="宋体"/>
                <w:sz w:val="24"/>
                <w:szCs w:val="24"/>
                <w:highlight w:val="none"/>
              </w:rPr>
            </w:pPr>
            <w:r>
              <w:rPr>
                <w:rFonts w:hint="eastAsia" w:ascii="宋体" w:hAnsi="宋体" w:cs="宋体"/>
                <w:sz w:val="24"/>
                <w:szCs w:val="24"/>
                <w:highlight w:val="none"/>
              </w:rPr>
              <w:t>1、是否适用本国产品标准政策</w:t>
            </w:r>
          </w:p>
          <w:p w14:paraId="5CCC0932">
            <w:pPr>
              <w:spacing w:line="360" w:lineRule="auto"/>
              <w:rPr>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是  ☐否</w:t>
            </w:r>
          </w:p>
          <w:p w14:paraId="43C5A86A">
            <w:pPr>
              <w:spacing w:line="360" w:lineRule="auto"/>
              <w:rPr>
                <w:rFonts w:ascii="宋体" w:hAnsi="宋体"/>
                <w:kern w:val="0"/>
                <w:sz w:val="24"/>
                <w:szCs w:val="24"/>
                <w:highlight w:val="none"/>
              </w:rPr>
            </w:pPr>
            <w:r>
              <w:rPr>
                <w:rFonts w:ascii="宋体" w:hAnsi="宋体"/>
                <w:sz w:val="24"/>
                <w:szCs w:val="24"/>
                <w:highlight w:val="none"/>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BF35387">
            <w:pPr>
              <w:spacing w:line="360" w:lineRule="auto"/>
              <w:rPr>
                <w:rFonts w:ascii="宋体" w:hAnsi="宋体" w:cs="宋体"/>
                <w:sz w:val="24"/>
                <w:szCs w:val="24"/>
                <w:highlight w:val="none"/>
              </w:rPr>
            </w:pPr>
            <w:r>
              <w:rPr>
                <w:rFonts w:hint="eastAsia" w:ascii="宋体" w:hAnsi="宋体" w:cs="宋体"/>
                <w:sz w:val="24"/>
                <w:szCs w:val="24"/>
                <w:highlight w:val="none"/>
              </w:rPr>
              <w:t>2、对本国产品的支持政策：</w:t>
            </w:r>
          </w:p>
          <w:p w14:paraId="36BCB444">
            <w:pPr>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对于供应商符合政府采购关于本国产品政策的，在评标时给予相应的价格折扣，具体办法详见第五章“评标办法”。</w:t>
            </w:r>
          </w:p>
          <w:p w14:paraId="02679822">
            <w:pPr>
              <w:spacing w:line="360" w:lineRule="auto"/>
              <w:rPr>
                <w:rFonts w:ascii="宋体" w:hAnsi="宋体" w:cs="宋体"/>
                <w:sz w:val="24"/>
                <w:szCs w:val="24"/>
                <w:highlight w:val="none"/>
              </w:rPr>
            </w:pPr>
            <w:r>
              <w:rPr>
                <w:rFonts w:hint="eastAsia" w:ascii="宋体" w:hAnsi="宋体"/>
                <w:kern w:val="0"/>
                <w:sz w:val="24"/>
                <w:szCs w:val="24"/>
                <w:highlight w:val="none"/>
              </w:rPr>
              <w:t>☐否</w:t>
            </w:r>
          </w:p>
        </w:tc>
      </w:tr>
    </w:tbl>
    <w:p w14:paraId="708AE246">
      <w:pPr>
        <w:spacing w:line="360" w:lineRule="auto"/>
        <w:ind w:firstLine="843" w:firstLineChars="300"/>
        <w:jc w:val="center"/>
        <w:rPr>
          <w:rFonts w:ascii="宋体" w:hAnsi="宋体" w:cs="宋体"/>
          <w:b/>
          <w:bCs/>
          <w:color w:val="333333"/>
          <w:sz w:val="28"/>
          <w:szCs w:val="28"/>
          <w:highlight w:val="none"/>
          <w:shd w:val="clear" w:color="auto" w:fill="FFFFFF"/>
        </w:rPr>
      </w:pPr>
    </w:p>
    <w:p w14:paraId="7569454B">
      <w:pPr>
        <w:spacing w:line="360" w:lineRule="auto"/>
        <w:ind w:firstLine="843" w:firstLineChars="300"/>
        <w:jc w:val="center"/>
        <w:rPr>
          <w:rFonts w:ascii="宋体" w:hAnsi="宋体" w:cs="宋体"/>
          <w:b/>
          <w:bCs/>
          <w:color w:val="333333"/>
          <w:sz w:val="28"/>
          <w:szCs w:val="28"/>
          <w:highlight w:val="none"/>
          <w:shd w:val="clear" w:color="auto" w:fill="FFFFFF"/>
        </w:rPr>
      </w:pPr>
    </w:p>
    <w:p w14:paraId="401F0976">
      <w:pPr>
        <w:spacing w:line="360" w:lineRule="auto"/>
        <w:ind w:firstLine="843" w:firstLineChars="300"/>
        <w:jc w:val="center"/>
        <w:rPr>
          <w:rFonts w:ascii="宋体" w:hAnsi="宋体" w:cs="宋体"/>
          <w:b/>
          <w:bCs/>
          <w:color w:val="333333"/>
          <w:sz w:val="28"/>
          <w:szCs w:val="28"/>
          <w:highlight w:val="none"/>
          <w:shd w:val="clear" w:color="auto" w:fill="FFFFFF"/>
        </w:rPr>
      </w:pPr>
    </w:p>
    <w:p w14:paraId="1A20244E">
      <w:pPr>
        <w:spacing w:line="360" w:lineRule="auto"/>
        <w:ind w:firstLine="843" w:firstLineChars="300"/>
        <w:jc w:val="center"/>
        <w:rPr>
          <w:rFonts w:ascii="宋体" w:hAnsi="宋体" w:cs="宋体"/>
          <w:b/>
          <w:bCs/>
          <w:color w:val="333333"/>
          <w:sz w:val="28"/>
          <w:szCs w:val="28"/>
          <w:highlight w:val="none"/>
          <w:shd w:val="clear" w:color="auto" w:fill="FFFFFF"/>
        </w:rPr>
      </w:pPr>
    </w:p>
    <w:p w14:paraId="345A70B9">
      <w:pPr>
        <w:rPr>
          <w:b/>
          <w:sz w:val="36"/>
          <w:highlight w:val="none"/>
        </w:rPr>
      </w:pPr>
    </w:p>
    <w:p w14:paraId="21A94901">
      <w:pPr>
        <w:ind w:left="-420" w:leftChars="-200"/>
        <w:jc w:val="center"/>
        <w:rPr>
          <w:b/>
          <w:sz w:val="36"/>
          <w:highlight w:val="none"/>
        </w:rPr>
      </w:pPr>
    </w:p>
    <w:p w14:paraId="5CAADF7B">
      <w:pPr>
        <w:rPr>
          <w:b/>
          <w:sz w:val="36"/>
          <w:highlight w:val="none"/>
        </w:rPr>
      </w:pPr>
      <w:r>
        <w:rPr>
          <w:rFonts w:hint="eastAsia"/>
          <w:b/>
          <w:sz w:val="36"/>
          <w:highlight w:val="none"/>
        </w:rPr>
        <w:br w:type="page"/>
      </w:r>
    </w:p>
    <w:p w14:paraId="46B6B131">
      <w:pPr>
        <w:ind w:left="-420" w:leftChars="-200"/>
        <w:jc w:val="center"/>
        <w:rPr>
          <w:b/>
          <w:sz w:val="36"/>
          <w:highlight w:val="none"/>
        </w:rPr>
      </w:pPr>
      <w:r>
        <w:rPr>
          <w:rFonts w:hint="eastAsia"/>
          <w:b/>
          <w:sz w:val="36"/>
          <w:highlight w:val="none"/>
        </w:rPr>
        <w:t>投标人须知</w:t>
      </w:r>
    </w:p>
    <w:p w14:paraId="49B5EADA">
      <w:pPr>
        <w:jc w:val="center"/>
        <w:rPr>
          <w:rFonts w:ascii="宋体" w:hAnsi="宋体"/>
          <w:b/>
          <w:sz w:val="36"/>
          <w:szCs w:val="36"/>
          <w:highlight w:val="none"/>
        </w:rPr>
      </w:pPr>
      <w:r>
        <w:rPr>
          <w:rFonts w:hint="eastAsia" w:ascii="宋体" w:hAnsi="宋体"/>
          <w:b/>
          <w:sz w:val="36"/>
          <w:szCs w:val="36"/>
          <w:highlight w:val="none"/>
        </w:rPr>
        <w:t>一.总  则</w:t>
      </w:r>
    </w:p>
    <w:p w14:paraId="078B289F">
      <w:pPr>
        <w:spacing w:line="440" w:lineRule="exact"/>
        <w:rPr>
          <w:rFonts w:ascii="宋体" w:hAnsi="宋体"/>
          <w:highlight w:val="none"/>
        </w:rPr>
      </w:pPr>
    </w:p>
    <w:p w14:paraId="6BE38C5B">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采购人、</w:t>
      </w:r>
      <w:r>
        <w:rPr>
          <w:rFonts w:ascii="宋体" w:hAnsi="宋体"/>
          <w:b/>
          <w:sz w:val="24"/>
          <w:szCs w:val="24"/>
          <w:highlight w:val="none"/>
        </w:rPr>
        <w:t>采购代理机构和资金来源</w:t>
      </w:r>
    </w:p>
    <w:p w14:paraId="762BD40D">
      <w:pPr>
        <w:spacing w:line="500" w:lineRule="exact"/>
        <w:ind w:firstLine="480" w:firstLineChars="200"/>
        <w:rPr>
          <w:rFonts w:ascii="宋体" w:hAnsi="宋体"/>
          <w:sz w:val="24"/>
          <w:szCs w:val="24"/>
          <w:highlight w:val="none"/>
        </w:rPr>
      </w:pPr>
      <w:r>
        <w:rPr>
          <w:rFonts w:ascii="宋体" w:hAnsi="宋体"/>
          <w:sz w:val="24"/>
          <w:szCs w:val="24"/>
          <w:highlight w:val="none"/>
        </w:rPr>
        <w:t>1.1</w:t>
      </w:r>
      <w:r>
        <w:rPr>
          <w:rFonts w:hint="eastAsia" w:ascii="宋体" w:hAnsi="宋体"/>
          <w:sz w:val="24"/>
          <w:szCs w:val="24"/>
          <w:highlight w:val="none"/>
        </w:rPr>
        <w:t>采购人名称、地址见前附表。</w:t>
      </w:r>
    </w:p>
    <w:p w14:paraId="2BD56B97">
      <w:pPr>
        <w:spacing w:line="500" w:lineRule="exact"/>
        <w:ind w:firstLine="480" w:firstLineChars="200"/>
        <w:rPr>
          <w:rFonts w:ascii="宋体" w:hAnsi="宋体"/>
          <w:sz w:val="24"/>
          <w:szCs w:val="24"/>
          <w:highlight w:val="none"/>
        </w:rPr>
      </w:pPr>
      <w:r>
        <w:rPr>
          <w:rFonts w:hint="eastAsia" w:ascii="宋体" w:hAnsi="宋体"/>
          <w:sz w:val="24"/>
          <w:szCs w:val="24"/>
          <w:highlight w:val="none"/>
        </w:rPr>
        <w:t>1.2</w:t>
      </w:r>
      <w:r>
        <w:rPr>
          <w:rFonts w:ascii="宋体" w:hAnsi="宋体"/>
          <w:sz w:val="24"/>
          <w:szCs w:val="24"/>
          <w:highlight w:val="none"/>
        </w:rPr>
        <w:t>实施本次招标的采购代理机构为西北（陕西）国际招标有限公司。西北（陕西）国际招标有限公司具有中华人民共和国财政部授予的中华人民共和国政府采购代理机构甲级资格</w:t>
      </w:r>
      <w:r>
        <w:rPr>
          <w:rFonts w:hint="eastAsia" w:ascii="宋体" w:hAnsi="宋体"/>
          <w:sz w:val="24"/>
          <w:szCs w:val="24"/>
          <w:highlight w:val="none"/>
        </w:rPr>
        <w:t>，在陕西省政府采购网登记备案</w:t>
      </w:r>
      <w:r>
        <w:rPr>
          <w:rFonts w:ascii="宋体" w:hAnsi="宋体"/>
          <w:sz w:val="24"/>
          <w:szCs w:val="24"/>
          <w:highlight w:val="none"/>
        </w:rPr>
        <w:t>。</w:t>
      </w:r>
    </w:p>
    <w:p w14:paraId="6AA92FAA">
      <w:pPr>
        <w:spacing w:line="500" w:lineRule="exact"/>
        <w:ind w:firstLine="480" w:firstLineChars="200"/>
        <w:rPr>
          <w:rFonts w:ascii="宋体" w:hAnsi="宋体"/>
          <w:sz w:val="24"/>
          <w:szCs w:val="24"/>
          <w:highlight w:val="none"/>
        </w:rPr>
      </w:pPr>
      <w:r>
        <w:rPr>
          <w:rFonts w:hint="eastAsia" w:ascii="宋体" w:hAnsi="宋体"/>
          <w:sz w:val="24"/>
          <w:szCs w:val="24"/>
          <w:highlight w:val="none"/>
        </w:rPr>
        <w:t>1.3</w:t>
      </w:r>
      <w:r>
        <w:rPr>
          <w:rFonts w:ascii="宋体" w:hAnsi="宋体"/>
          <w:sz w:val="24"/>
          <w:szCs w:val="24"/>
          <w:highlight w:val="none"/>
        </w:rPr>
        <w:t xml:space="preserve"> 本次招标采购所签</w:t>
      </w:r>
      <w:r>
        <w:rPr>
          <w:rFonts w:hint="eastAsia" w:ascii="宋体" w:hAnsi="宋体"/>
          <w:sz w:val="24"/>
          <w:szCs w:val="24"/>
          <w:highlight w:val="none"/>
        </w:rPr>
        <w:t>订</w:t>
      </w:r>
      <w:r>
        <w:rPr>
          <w:rFonts w:ascii="宋体" w:hAnsi="宋体"/>
          <w:sz w:val="24"/>
          <w:szCs w:val="24"/>
          <w:highlight w:val="none"/>
        </w:rPr>
        <w:t>合同</w:t>
      </w:r>
      <w:r>
        <w:rPr>
          <w:rFonts w:hint="eastAsia" w:ascii="宋体" w:hAnsi="宋体"/>
          <w:sz w:val="24"/>
          <w:szCs w:val="24"/>
          <w:highlight w:val="none"/>
        </w:rPr>
        <w:t>将</w:t>
      </w:r>
      <w:r>
        <w:rPr>
          <w:rFonts w:ascii="宋体" w:hAnsi="宋体"/>
          <w:sz w:val="24"/>
          <w:szCs w:val="24"/>
          <w:highlight w:val="none"/>
        </w:rPr>
        <w:t>使用财政性资金支付，资金已落实到位。</w:t>
      </w:r>
    </w:p>
    <w:p w14:paraId="0DDDB502">
      <w:pPr>
        <w:spacing w:line="500" w:lineRule="exact"/>
        <w:rPr>
          <w:rFonts w:ascii="宋体" w:hAnsi="宋体"/>
          <w:b/>
          <w:sz w:val="24"/>
          <w:szCs w:val="24"/>
          <w:highlight w:val="none"/>
        </w:rPr>
      </w:pPr>
      <w:r>
        <w:rPr>
          <w:rFonts w:ascii="宋体" w:hAnsi="宋体"/>
          <w:b/>
          <w:sz w:val="24"/>
          <w:szCs w:val="24"/>
          <w:highlight w:val="none"/>
        </w:rPr>
        <w:t>2.合格的投标人</w:t>
      </w:r>
    </w:p>
    <w:p w14:paraId="5FAF9DB9">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1</w:t>
      </w:r>
      <w:r>
        <w:rPr>
          <w:rFonts w:ascii="宋体" w:hAnsi="宋体"/>
          <w:sz w:val="24"/>
          <w:szCs w:val="24"/>
          <w:highlight w:val="none"/>
        </w:rPr>
        <w:t>合格投标人条件</w:t>
      </w:r>
    </w:p>
    <w:p w14:paraId="0D476289">
      <w:pPr>
        <w:spacing w:line="500" w:lineRule="exact"/>
        <w:ind w:firstLine="480" w:firstLineChars="200"/>
        <w:rPr>
          <w:rFonts w:ascii="宋体" w:hAnsi="宋体"/>
          <w:sz w:val="24"/>
          <w:szCs w:val="24"/>
          <w:highlight w:val="none"/>
        </w:rPr>
      </w:pPr>
      <w:r>
        <w:rPr>
          <w:rFonts w:hint="eastAsia" w:ascii="宋体" w:hAnsi="宋体"/>
          <w:sz w:val="24"/>
          <w:szCs w:val="24"/>
          <w:highlight w:val="none"/>
        </w:rPr>
        <w:t>2.1.1供应商参加政府采购活动应具备下列条件：</w:t>
      </w:r>
    </w:p>
    <w:p w14:paraId="58BC1603">
      <w:pPr>
        <w:spacing w:line="500" w:lineRule="exact"/>
        <w:ind w:firstLine="480" w:firstLineChars="200"/>
        <w:rPr>
          <w:rFonts w:ascii="宋体" w:hAnsi="宋体"/>
          <w:sz w:val="24"/>
          <w:szCs w:val="24"/>
          <w:highlight w:val="none"/>
        </w:rPr>
      </w:pPr>
      <w:r>
        <w:rPr>
          <w:rFonts w:ascii="宋体" w:hAnsi="宋体"/>
          <w:sz w:val="24"/>
          <w:szCs w:val="24"/>
          <w:highlight w:val="none"/>
        </w:rPr>
        <w:t>1）具有独立承担民事责任的能力；</w:t>
      </w:r>
    </w:p>
    <w:p w14:paraId="53BFBFDF">
      <w:pPr>
        <w:spacing w:line="500" w:lineRule="exact"/>
        <w:ind w:firstLine="480" w:firstLineChars="200"/>
        <w:rPr>
          <w:rFonts w:ascii="宋体" w:hAnsi="宋体"/>
          <w:sz w:val="24"/>
          <w:szCs w:val="24"/>
          <w:highlight w:val="none"/>
        </w:rPr>
      </w:pPr>
      <w:r>
        <w:rPr>
          <w:rFonts w:ascii="宋体" w:hAnsi="宋体"/>
          <w:sz w:val="24"/>
          <w:szCs w:val="24"/>
          <w:highlight w:val="none"/>
        </w:rPr>
        <w:t>2）具有良好的商业信誉和健全的财务会计制度；</w:t>
      </w:r>
    </w:p>
    <w:p w14:paraId="78166DD3">
      <w:pPr>
        <w:spacing w:line="500" w:lineRule="exact"/>
        <w:ind w:firstLine="480" w:firstLineChars="200"/>
        <w:rPr>
          <w:rFonts w:ascii="宋体" w:hAnsi="宋体"/>
          <w:sz w:val="24"/>
          <w:szCs w:val="24"/>
          <w:highlight w:val="none"/>
        </w:rPr>
      </w:pPr>
      <w:r>
        <w:rPr>
          <w:rFonts w:ascii="宋体" w:hAnsi="宋体"/>
          <w:sz w:val="24"/>
          <w:szCs w:val="24"/>
          <w:highlight w:val="none"/>
        </w:rPr>
        <w:t>3）具有履行合同所必需的设备和专业技术能力；</w:t>
      </w:r>
    </w:p>
    <w:p w14:paraId="052DCB1E">
      <w:pPr>
        <w:spacing w:line="500" w:lineRule="exact"/>
        <w:ind w:firstLine="480" w:firstLineChars="200"/>
        <w:rPr>
          <w:rFonts w:ascii="宋体" w:hAnsi="宋体"/>
          <w:sz w:val="24"/>
          <w:szCs w:val="24"/>
          <w:highlight w:val="none"/>
        </w:rPr>
      </w:pPr>
      <w:r>
        <w:rPr>
          <w:rFonts w:ascii="宋体" w:hAnsi="宋体"/>
          <w:sz w:val="24"/>
          <w:szCs w:val="24"/>
          <w:highlight w:val="none"/>
        </w:rPr>
        <w:t>4）有依法缴纳税收和社会保障资金的良好纪录；</w:t>
      </w:r>
    </w:p>
    <w:p w14:paraId="46C57707">
      <w:pPr>
        <w:spacing w:line="500" w:lineRule="exact"/>
        <w:ind w:firstLine="480" w:firstLineChars="200"/>
        <w:rPr>
          <w:rFonts w:ascii="宋体" w:hAnsi="宋体"/>
          <w:sz w:val="24"/>
          <w:szCs w:val="24"/>
          <w:highlight w:val="none"/>
        </w:rPr>
      </w:pPr>
      <w:r>
        <w:rPr>
          <w:rFonts w:ascii="宋体" w:hAnsi="宋体"/>
          <w:sz w:val="24"/>
          <w:szCs w:val="24"/>
          <w:highlight w:val="none"/>
        </w:rPr>
        <w:t>5）参加政府采购活动前三年内，在经营活动中没有重大违法纪录；</w:t>
      </w:r>
    </w:p>
    <w:p w14:paraId="4498282D">
      <w:pPr>
        <w:spacing w:line="500" w:lineRule="exact"/>
        <w:ind w:left="1439" w:leftChars="228" w:hanging="960" w:hangingChars="400"/>
        <w:rPr>
          <w:rFonts w:ascii="宋体" w:hAnsi="宋体"/>
          <w:sz w:val="24"/>
          <w:szCs w:val="24"/>
          <w:highlight w:val="none"/>
        </w:rPr>
      </w:pPr>
      <w:r>
        <w:rPr>
          <w:rFonts w:ascii="宋体" w:hAnsi="宋体"/>
          <w:sz w:val="24"/>
          <w:szCs w:val="24"/>
          <w:highlight w:val="none"/>
        </w:rPr>
        <w:t>6）中华人民共和国法律、行政法规规定的其他条件（见投标人须知前附表）</w:t>
      </w:r>
      <w:r>
        <w:rPr>
          <w:rFonts w:hint="eastAsia" w:ascii="宋体" w:hAnsi="宋体"/>
          <w:sz w:val="24"/>
          <w:szCs w:val="24"/>
          <w:highlight w:val="none"/>
        </w:rPr>
        <w:t>。</w:t>
      </w:r>
    </w:p>
    <w:p w14:paraId="1E0BB18E">
      <w:pPr>
        <w:spacing w:line="500" w:lineRule="exact"/>
        <w:ind w:firstLine="477" w:firstLineChars="199"/>
        <w:rPr>
          <w:rFonts w:ascii="宋体" w:hAnsi="宋体"/>
          <w:sz w:val="24"/>
          <w:szCs w:val="24"/>
          <w:highlight w:val="none"/>
        </w:rPr>
      </w:pPr>
      <w:r>
        <w:rPr>
          <w:rFonts w:hint="eastAsia" w:ascii="宋体" w:hAnsi="宋体"/>
          <w:kern w:val="0"/>
          <w:sz w:val="24"/>
          <w:szCs w:val="24"/>
          <w:highlight w:val="none"/>
        </w:rPr>
        <w:t>7）落实政府采购政策需满足的资格要求</w:t>
      </w:r>
      <w:r>
        <w:rPr>
          <w:rFonts w:ascii="宋体" w:hAnsi="宋体"/>
          <w:sz w:val="24"/>
          <w:szCs w:val="24"/>
          <w:highlight w:val="none"/>
        </w:rPr>
        <w:t>（见投标人须知前附表）。</w:t>
      </w:r>
    </w:p>
    <w:p w14:paraId="1A52C861">
      <w:pPr>
        <w:spacing w:line="500" w:lineRule="exact"/>
        <w:ind w:firstLine="477" w:firstLineChars="199"/>
        <w:rPr>
          <w:rFonts w:ascii="宋体" w:hAnsi="宋体"/>
          <w:sz w:val="24"/>
          <w:szCs w:val="24"/>
          <w:highlight w:val="none"/>
        </w:rPr>
      </w:pPr>
      <w:r>
        <w:rPr>
          <w:rFonts w:hint="eastAsia" w:ascii="宋体" w:hAnsi="宋体"/>
          <w:sz w:val="24"/>
          <w:szCs w:val="24"/>
          <w:highlight w:val="none"/>
        </w:rPr>
        <w:t>8）</w:t>
      </w:r>
      <w:r>
        <w:rPr>
          <w:rFonts w:ascii="宋体" w:hAnsi="宋体"/>
          <w:sz w:val="24"/>
          <w:szCs w:val="24"/>
          <w:highlight w:val="none"/>
        </w:rPr>
        <w:t>根据本次采购项目的特殊要求，规定的供应商特</w:t>
      </w:r>
      <w:r>
        <w:rPr>
          <w:rFonts w:hint="eastAsia" w:ascii="宋体" w:hAnsi="宋体"/>
          <w:sz w:val="24"/>
          <w:szCs w:val="24"/>
          <w:highlight w:val="none"/>
        </w:rPr>
        <w:t>定</w:t>
      </w:r>
      <w:r>
        <w:rPr>
          <w:rFonts w:ascii="宋体" w:hAnsi="宋体"/>
          <w:sz w:val="24"/>
          <w:szCs w:val="24"/>
          <w:highlight w:val="none"/>
        </w:rPr>
        <w:t>条件（见投标人须知前附表）</w:t>
      </w:r>
    </w:p>
    <w:p w14:paraId="0F1575C8">
      <w:pPr>
        <w:spacing w:line="500" w:lineRule="exact"/>
        <w:ind w:firstLine="480" w:firstLineChars="200"/>
        <w:rPr>
          <w:rFonts w:ascii="宋体" w:hAnsi="宋体"/>
          <w:sz w:val="24"/>
          <w:szCs w:val="24"/>
          <w:highlight w:val="none"/>
        </w:rPr>
      </w:pPr>
      <w:r>
        <w:rPr>
          <w:rFonts w:hint="eastAsia" w:ascii="宋体" w:hAnsi="宋体"/>
          <w:sz w:val="24"/>
          <w:szCs w:val="24"/>
          <w:highlight w:val="none"/>
        </w:rPr>
        <w:t>2.2单位负责人为同一人或者存在直接控股、管理关系的不同供应商，不得参加本项目同一合同项下的投标。</w:t>
      </w:r>
      <w:r>
        <w:rPr>
          <w:rFonts w:ascii="宋体" w:hAnsi="宋体"/>
          <w:sz w:val="24"/>
          <w:szCs w:val="24"/>
          <w:highlight w:val="none"/>
        </w:rPr>
        <w:t>如果投标人在投标中隐瞒了上述关系，则该投标无效。</w:t>
      </w:r>
    </w:p>
    <w:p w14:paraId="1BBD2AF9">
      <w:pPr>
        <w:spacing w:line="500" w:lineRule="exact"/>
        <w:ind w:firstLine="480" w:firstLineChars="200"/>
        <w:rPr>
          <w:rFonts w:ascii="宋体" w:hAnsi="宋体"/>
          <w:sz w:val="24"/>
          <w:szCs w:val="24"/>
          <w:highlight w:val="none"/>
        </w:rPr>
      </w:pPr>
      <w:r>
        <w:rPr>
          <w:rFonts w:hint="eastAsia" w:ascii="宋体" w:hAnsi="宋体"/>
          <w:sz w:val="24"/>
          <w:szCs w:val="24"/>
          <w:highlight w:val="none"/>
        </w:rPr>
        <w:t>2.3参加本次投标的供应商</w:t>
      </w:r>
      <w:r>
        <w:rPr>
          <w:rFonts w:ascii="宋体" w:hAnsi="宋体"/>
          <w:sz w:val="24"/>
          <w:szCs w:val="24"/>
          <w:highlight w:val="none"/>
        </w:rPr>
        <w:t>不得</w:t>
      </w:r>
      <w:r>
        <w:rPr>
          <w:rFonts w:hint="eastAsia" w:ascii="宋体" w:hAnsi="宋体"/>
          <w:sz w:val="24"/>
          <w:szCs w:val="24"/>
          <w:highlight w:val="none"/>
        </w:rPr>
        <w:t>与</w:t>
      </w:r>
      <w:r>
        <w:rPr>
          <w:rFonts w:ascii="宋体" w:hAnsi="宋体"/>
          <w:sz w:val="24"/>
          <w:szCs w:val="24"/>
          <w:highlight w:val="none"/>
        </w:rPr>
        <w:t>采购单位（包括西北（陕西）国际招标有限公司、采购人及用户）的附属机构</w:t>
      </w:r>
      <w:r>
        <w:rPr>
          <w:rFonts w:hint="eastAsia" w:ascii="宋体" w:hAnsi="宋体"/>
          <w:sz w:val="24"/>
          <w:szCs w:val="24"/>
          <w:highlight w:val="none"/>
        </w:rPr>
        <w:t>（单位）或存在管理、控股关系</w:t>
      </w:r>
      <w:r>
        <w:rPr>
          <w:rFonts w:ascii="宋体" w:hAnsi="宋体"/>
          <w:sz w:val="24"/>
          <w:szCs w:val="24"/>
          <w:highlight w:val="none"/>
        </w:rPr>
        <w:t>。如果</w:t>
      </w:r>
      <w:r>
        <w:rPr>
          <w:rFonts w:hint="eastAsia" w:ascii="宋体" w:hAnsi="宋体"/>
          <w:sz w:val="24"/>
          <w:szCs w:val="24"/>
          <w:highlight w:val="none"/>
        </w:rPr>
        <w:t>供应商</w:t>
      </w:r>
      <w:r>
        <w:rPr>
          <w:rFonts w:ascii="宋体" w:hAnsi="宋体"/>
          <w:sz w:val="24"/>
          <w:szCs w:val="24"/>
          <w:highlight w:val="none"/>
        </w:rPr>
        <w:t>在</w:t>
      </w:r>
      <w:r>
        <w:rPr>
          <w:rFonts w:hint="eastAsia" w:ascii="宋体" w:hAnsi="宋体"/>
          <w:sz w:val="24"/>
          <w:szCs w:val="24"/>
          <w:highlight w:val="none"/>
        </w:rPr>
        <w:t>投标</w:t>
      </w:r>
      <w:r>
        <w:rPr>
          <w:rFonts w:ascii="宋体" w:hAnsi="宋体"/>
          <w:sz w:val="24"/>
          <w:szCs w:val="24"/>
          <w:highlight w:val="none"/>
        </w:rPr>
        <w:t>中隐瞒了上述关系，</w:t>
      </w:r>
      <w:r>
        <w:rPr>
          <w:rFonts w:hint="eastAsia" w:ascii="宋体" w:hAnsi="宋体"/>
          <w:sz w:val="24"/>
          <w:szCs w:val="24"/>
          <w:highlight w:val="none"/>
        </w:rPr>
        <w:t>其投标文件按无效处理</w:t>
      </w:r>
      <w:r>
        <w:rPr>
          <w:rFonts w:ascii="宋体" w:hAnsi="宋体"/>
          <w:sz w:val="24"/>
          <w:szCs w:val="24"/>
          <w:highlight w:val="none"/>
        </w:rPr>
        <w:t>。</w:t>
      </w:r>
    </w:p>
    <w:p w14:paraId="29955CB4">
      <w:pPr>
        <w:spacing w:line="500" w:lineRule="exact"/>
        <w:ind w:firstLine="480" w:firstLineChars="200"/>
        <w:rPr>
          <w:rFonts w:ascii="宋体" w:hAnsi="宋体"/>
          <w:sz w:val="24"/>
          <w:szCs w:val="24"/>
          <w:highlight w:val="none"/>
        </w:rPr>
      </w:pPr>
      <w:r>
        <w:rPr>
          <w:rFonts w:hint="eastAsia" w:ascii="宋体" w:hAnsi="宋体"/>
          <w:sz w:val="24"/>
          <w:szCs w:val="24"/>
          <w:highlight w:val="none"/>
        </w:rPr>
        <w:t>2.4为本采购项目提供整体设计、规范编制或者项目管理、监理、检测等服务的供应商，不得再参加本采购项目的投标</w:t>
      </w:r>
      <w:r>
        <w:rPr>
          <w:rFonts w:hint="eastAsia" w:ascii="仿宋_GB2312" w:hAnsi="宋体" w:eastAsia="仿宋_GB2312" w:cs="宋体"/>
          <w:color w:val="000000"/>
          <w:kern w:val="0"/>
          <w:sz w:val="29"/>
          <w:szCs w:val="29"/>
          <w:highlight w:val="none"/>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6C26BBCD">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  如为信息系统采购项目，受托为整体采购项目或者其中分项目的前期工作提供设计、编制规范、进行管理等服务的供应商不得再参加该整体采购项目及其所有分项目的采购活动；凡为分项目提供上述服务的法人及其附属机构（单位），不得再参加该分项目的采购活动。</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07C42B58">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5</w:t>
      </w:r>
      <w:r>
        <w:rPr>
          <w:rFonts w:ascii="宋体" w:hAnsi="宋体"/>
          <w:sz w:val="24"/>
          <w:szCs w:val="24"/>
          <w:highlight w:val="none"/>
        </w:rPr>
        <w:t>如果在</w:t>
      </w:r>
      <w:r>
        <w:rPr>
          <w:rFonts w:hint="eastAsia" w:ascii="宋体" w:hAnsi="宋体"/>
          <w:sz w:val="24"/>
          <w:szCs w:val="24"/>
          <w:highlight w:val="none"/>
        </w:rPr>
        <w:t>招标</w:t>
      </w:r>
      <w:r>
        <w:rPr>
          <w:rFonts w:ascii="宋体" w:hAnsi="宋体"/>
          <w:sz w:val="24"/>
          <w:szCs w:val="24"/>
          <w:highlight w:val="none"/>
        </w:rPr>
        <w:t>文件中接受联合体</w:t>
      </w:r>
      <w:r>
        <w:rPr>
          <w:rFonts w:hint="eastAsia" w:ascii="宋体" w:hAnsi="宋体"/>
          <w:sz w:val="24"/>
          <w:szCs w:val="24"/>
          <w:highlight w:val="none"/>
        </w:rPr>
        <w:t>报价</w:t>
      </w:r>
      <w:r>
        <w:rPr>
          <w:rFonts w:ascii="宋体" w:hAnsi="宋体"/>
          <w:sz w:val="24"/>
          <w:szCs w:val="24"/>
          <w:highlight w:val="none"/>
        </w:rPr>
        <w:t>（见</w:t>
      </w:r>
      <w:r>
        <w:rPr>
          <w:rFonts w:hint="eastAsia" w:ascii="宋体" w:hAnsi="宋体"/>
          <w:sz w:val="24"/>
          <w:szCs w:val="24"/>
          <w:highlight w:val="none"/>
        </w:rPr>
        <w:t>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两个以上的</w:t>
      </w:r>
      <w:r>
        <w:rPr>
          <w:rFonts w:hint="eastAsia" w:ascii="宋体" w:hAnsi="宋体"/>
          <w:sz w:val="24"/>
          <w:szCs w:val="24"/>
          <w:highlight w:val="none"/>
        </w:rPr>
        <w:t>自然人、法人或者其他组织</w:t>
      </w:r>
      <w:r>
        <w:rPr>
          <w:rFonts w:ascii="宋体" w:hAnsi="宋体"/>
          <w:sz w:val="24"/>
          <w:szCs w:val="24"/>
          <w:highlight w:val="none"/>
        </w:rPr>
        <w:t>可以组成一个联合体，以一个</w:t>
      </w:r>
      <w:r>
        <w:rPr>
          <w:rFonts w:hint="eastAsia" w:ascii="宋体" w:hAnsi="宋体"/>
          <w:sz w:val="24"/>
          <w:szCs w:val="24"/>
          <w:highlight w:val="none"/>
        </w:rPr>
        <w:t>供应商</w:t>
      </w:r>
      <w:r>
        <w:rPr>
          <w:rFonts w:ascii="宋体" w:hAnsi="宋体"/>
          <w:sz w:val="24"/>
          <w:szCs w:val="24"/>
          <w:highlight w:val="none"/>
        </w:rPr>
        <w:t>的身份共同参加投标。以联合体形式</w:t>
      </w:r>
      <w:r>
        <w:rPr>
          <w:rFonts w:hint="eastAsia" w:ascii="宋体" w:hAnsi="宋体"/>
          <w:sz w:val="24"/>
          <w:szCs w:val="24"/>
          <w:highlight w:val="none"/>
        </w:rPr>
        <w:t>进行</w:t>
      </w:r>
      <w:r>
        <w:rPr>
          <w:rFonts w:ascii="宋体" w:hAnsi="宋体"/>
          <w:sz w:val="24"/>
          <w:szCs w:val="24"/>
          <w:highlight w:val="none"/>
        </w:rPr>
        <w:t>投标的，联合体各方均应当</w:t>
      </w:r>
      <w:r>
        <w:rPr>
          <w:rFonts w:hint="eastAsia" w:ascii="宋体" w:hAnsi="宋体"/>
          <w:sz w:val="24"/>
          <w:szCs w:val="24"/>
          <w:highlight w:val="none"/>
        </w:rPr>
        <w:t>具备</w:t>
      </w:r>
      <w:r>
        <w:rPr>
          <w:rFonts w:ascii="宋体" w:hAnsi="宋体"/>
          <w:sz w:val="24"/>
          <w:szCs w:val="24"/>
          <w:highlight w:val="none"/>
        </w:rPr>
        <w:t>政府采购法第二十二条规定的条件</w:t>
      </w:r>
      <w:r>
        <w:rPr>
          <w:rFonts w:hint="eastAsia" w:ascii="宋体" w:hAnsi="宋体"/>
          <w:sz w:val="24"/>
          <w:szCs w:val="24"/>
          <w:highlight w:val="none"/>
        </w:rPr>
        <w:t>。采购人根据采购项目的特殊要求规定投标人特定条件的，联合体各方中至少应当有一方符合采购人规定的特定条件。</w:t>
      </w:r>
    </w:p>
    <w:p w14:paraId="5CC4E076">
      <w:pPr>
        <w:spacing w:line="500" w:lineRule="exact"/>
        <w:ind w:firstLine="480" w:firstLineChars="200"/>
        <w:rPr>
          <w:rFonts w:ascii="宋体" w:hAnsi="宋体"/>
          <w:sz w:val="24"/>
          <w:szCs w:val="24"/>
          <w:highlight w:val="none"/>
        </w:rPr>
      </w:pPr>
      <w:r>
        <w:rPr>
          <w:rFonts w:hint="eastAsia" w:ascii="宋体" w:hAnsi="宋体"/>
          <w:sz w:val="24"/>
          <w:szCs w:val="24"/>
          <w:highlight w:val="none"/>
        </w:rPr>
        <w:t>2.5.1</w:t>
      </w:r>
      <w:r>
        <w:rPr>
          <w:rFonts w:ascii="宋体" w:hAnsi="宋体"/>
          <w:sz w:val="24"/>
          <w:szCs w:val="24"/>
          <w:highlight w:val="none"/>
        </w:rPr>
        <w:t>联合体各方之间应当签订</w:t>
      </w:r>
      <w:r>
        <w:rPr>
          <w:rFonts w:hint="eastAsia" w:ascii="宋体" w:hAnsi="宋体"/>
          <w:sz w:val="24"/>
          <w:szCs w:val="24"/>
          <w:highlight w:val="none"/>
        </w:rPr>
        <w:t>联合</w:t>
      </w:r>
      <w:r>
        <w:rPr>
          <w:rFonts w:ascii="宋体" w:hAnsi="宋体"/>
          <w:sz w:val="24"/>
          <w:szCs w:val="24"/>
          <w:highlight w:val="none"/>
        </w:rPr>
        <w:t>投标协议，明确约定联合体各方承担的工作</w:t>
      </w:r>
      <w:r>
        <w:rPr>
          <w:rFonts w:hint="eastAsia" w:ascii="宋体" w:hAnsi="宋体"/>
          <w:sz w:val="24"/>
          <w:szCs w:val="24"/>
          <w:highlight w:val="none"/>
        </w:rPr>
        <w:t>、义务、</w:t>
      </w:r>
      <w:r>
        <w:rPr>
          <w:rFonts w:ascii="宋体" w:hAnsi="宋体"/>
          <w:sz w:val="24"/>
          <w:szCs w:val="24"/>
          <w:highlight w:val="none"/>
        </w:rPr>
        <w:t>合同份额和相应的责任，并将</w:t>
      </w:r>
      <w:r>
        <w:rPr>
          <w:rFonts w:hint="eastAsia" w:ascii="宋体" w:hAnsi="宋体"/>
          <w:sz w:val="24"/>
          <w:szCs w:val="24"/>
          <w:highlight w:val="none"/>
        </w:rPr>
        <w:t>联合</w:t>
      </w:r>
      <w:r>
        <w:rPr>
          <w:rFonts w:ascii="宋体" w:hAnsi="宋体"/>
          <w:sz w:val="24"/>
          <w:szCs w:val="24"/>
          <w:highlight w:val="none"/>
        </w:rPr>
        <w:t>投标协议</w:t>
      </w:r>
      <w:r>
        <w:rPr>
          <w:rFonts w:hint="eastAsia" w:ascii="宋体" w:hAnsi="宋体"/>
          <w:sz w:val="24"/>
          <w:szCs w:val="24"/>
          <w:highlight w:val="none"/>
        </w:rPr>
        <w:t>附在</w:t>
      </w:r>
      <w:r>
        <w:rPr>
          <w:rFonts w:ascii="宋体" w:hAnsi="宋体"/>
          <w:sz w:val="24"/>
          <w:szCs w:val="24"/>
          <w:highlight w:val="none"/>
        </w:rPr>
        <w:t>投标文件</w:t>
      </w:r>
      <w:r>
        <w:rPr>
          <w:rFonts w:hint="eastAsia" w:ascii="宋体" w:hAnsi="宋体"/>
          <w:sz w:val="24"/>
          <w:szCs w:val="24"/>
          <w:highlight w:val="none"/>
        </w:rPr>
        <w:t>中</w:t>
      </w:r>
      <w:r>
        <w:rPr>
          <w:rFonts w:ascii="宋体" w:hAnsi="宋体"/>
          <w:sz w:val="24"/>
          <w:szCs w:val="24"/>
          <w:highlight w:val="none"/>
        </w:rPr>
        <w:t>一并提交。</w:t>
      </w:r>
    </w:p>
    <w:p w14:paraId="5A0AEFB2">
      <w:pPr>
        <w:spacing w:line="500" w:lineRule="exact"/>
        <w:ind w:firstLine="480" w:firstLineChars="200"/>
        <w:rPr>
          <w:rFonts w:ascii="宋体" w:hAnsi="宋体"/>
          <w:sz w:val="24"/>
          <w:szCs w:val="24"/>
          <w:highlight w:val="none"/>
        </w:rPr>
      </w:pPr>
      <w:r>
        <w:rPr>
          <w:rFonts w:hint="eastAsia" w:ascii="宋体" w:hAnsi="宋体"/>
          <w:sz w:val="24"/>
          <w:szCs w:val="24"/>
          <w:highlight w:val="none"/>
        </w:rPr>
        <w:t>2.5.2联合体中有同类资质的供应商按照联合体分工承担相同工作的，按照资质等级较低的供应商确定资质等级。</w:t>
      </w:r>
    </w:p>
    <w:p w14:paraId="25D2ABEC">
      <w:pPr>
        <w:spacing w:line="500" w:lineRule="exact"/>
        <w:ind w:firstLine="480" w:firstLineChars="200"/>
        <w:rPr>
          <w:rFonts w:ascii="宋体" w:hAnsi="宋体"/>
          <w:sz w:val="24"/>
          <w:szCs w:val="24"/>
          <w:highlight w:val="none"/>
        </w:rPr>
      </w:pPr>
      <w:r>
        <w:rPr>
          <w:rFonts w:hint="eastAsia" w:ascii="宋体" w:hAnsi="宋体"/>
          <w:sz w:val="24"/>
          <w:szCs w:val="24"/>
          <w:highlight w:val="none"/>
        </w:rPr>
        <w:t>2.5.3以联合体形式参加投标的，联合体各方不得再单独参加或者与其他供应商另外组成联合体参加同一合同项下的投标，否则，其相关投标均为无效。</w:t>
      </w:r>
    </w:p>
    <w:p w14:paraId="67A4CDE1">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6</w:t>
      </w:r>
      <w:r>
        <w:rPr>
          <w:rFonts w:ascii="宋体" w:hAnsi="宋体"/>
          <w:sz w:val="24"/>
          <w:szCs w:val="24"/>
          <w:highlight w:val="none"/>
        </w:rPr>
        <w:t>投标人必须在西北（陕西）国际招标有限公司</w:t>
      </w:r>
      <w:r>
        <w:rPr>
          <w:rFonts w:hint="eastAsia" w:ascii="宋体" w:hAnsi="宋体"/>
          <w:sz w:val="24"/>
          <w:szCs w:val="24"/>
          <w:highlight w:val="none"/>
        </w:rPr>
        <w:t>依</w:t>
      </w:r>
      <w:r>
        <w:rPr>
          <w:rFonts w:ascii="宋体" w:hAnsi="宋体"/>
          <w:sz w:val="24"/>
          <w:szCs w:val="24"/>
          <w:highlight w:val="none"/>
        </w:rPr>
        <w:t>法获取招标文件，方可参加投标。招标文件售后不退。</w:t>
      </w:r>
    </w:p>
    <w:p w14:paraId="6DCF01BA">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7</w:t>
      </w:r>
      <w:r>
        <w:rPr>
          <w:rFonts w:ascii="宋体" w:hAnsi="宋体"/>
          <w:sz w:val="24"/>
          <w:szCs w:val="24"/>
          <w:highlight w:val="none"/>
        </w:rPr>
        <w:t>投标费用自理。不论投标的结果如何，投标人均应自行承担所有与参加投标有关的费用。</w:t>
      </w:r>
    </w:p>
    <w:p w14:paraId="11B7A046">
      <w:pPr>
        <w:spacing w:line="500" w:lineRule="exact"/>
        <w:ind w:firstLine="480" w:firstLineChars="200"/>
        <w:rPr>
          <w:rFonts w:ascii="宋体" w:hAnsi="宋体"/>
          <w:bCs/>
          <w:sz w:val="24"/>
          <w:szCs w:val="24"/>
          <w:highlight w:val="none"/>
        </w:rPr>
      </w:pPr>
      <w:r>
        <w:rPr>
          <w:rFonts w:hint="eastAsia" w:ascii="宋体" w:hAnsi="宋体"/>
          <w:bCs/>
          <w:sz w:val="24"/>
          <w:szCs w:val="24"/>
          <w:highlight w:val="none"/>
        </w:rPr>
        <w:t>2.8投标人信用记录查询及使用</w:t>
      </w:r>
    </w:p>
    <w:p w14:paraId="0B2A1F4E">
      <w:pPr>
        <w:spacing w:line="500" w:lineRule="exact"/>
        <w:ind w:firstLine="352" w:firstLineChars="147"/>
        <w:rPr>
          <w:rFonts w:ascii="宋体" w:hAnsi="宋体"/>
          <w:b/>
          <w:sz w:val="24"/>
          <w:szCs w:val="24"/>
          <w:highlight w:val="none"/>
        </w:rPr>
      </w:pPr>
      <w:bookmarkStart w:id="3" w:name="_Hlk36454126"/>
      <w:r>
        <w:rPr>
          <w:rFonts w:hint="eastAsia" w:ascii="宋体" w:hAnsi="宋体" w:cs="宋体"/>
          <w:kern w:val="0"/>
          <w:sz w:val="24"/>
          <w:szCs w:val="24"/>
          <w:highlight w:val="none"/>
        </w:rPr>
        <w:t>“信用中国”网站（www.creditchina.gov.cn）和“中国政府采购网”（ccgp.gov.cn）为投标人信用信息查询渠道，如果投标人被查实在投标截止时间列入、失信被执行人、重大税收违法失信主体、政府采购严重违法失信行为记录名单，其投标为无效。采购代理机构将打印上述失信查询记录作为该投标人无效投标的证据留存。</w:t>
      </w:r>
      <w:r>
        <w:rPr>
          <w:rFonts w:hint="eastAsia" w:ascii="宋体" w:hAnsi="宋体"/>
          <w:b/>
          <w:sz w:val="24"/>
          <w:szCs w:val="24"/>
          <w:highlight w:val="none"/>
        </w:rPr>
        <w:t xml:space="preserve"> </w:t>
      </w:r>
    </w:p>
    <w:p w14:paraId="2F977DDA">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提供货物</w:t>
      </w:r>
      <w:r>
        <w:rPr>
          <w:rFonts w:ascii="宋体" w:hAnsi="宋体"/>
          <w:b/>
          <w:sz w:val="24"/>
          <w:szCs w:val="24"/>
          <w:highlight w:val="none"/>
        </w:rPr>
        <w:t>的合格性和合法性</w:t>
      </w:r>
    </w:p>
    <w:p w14:paraId="6AAAA1BF">
      <w:pPr>
        <w:spacing w:line="500" w:lineRule="exact"/>
        <w:ind w:firstLine="352" w:firstLineChars="147"/>
        <w:rPr>
          <w:rFonts w:ascii="宋体" w:hAnsi="宋体"/>
          <w:b/>
          <w:sz w:val="24"/>
          <w:szCs w:val="24"/>
          <w:highlight w:val="none"/>
        </w:rPr>
      </w:pPr>
      <w:r>
        <w:rPr>
          <w:rFonts w:ascii="宋体" w:hAnsi="宋体"/>
          <w:sz w:val="24"/>
          <w:szCs w:val="24"/>
          <w:highlight w:val="none"/>
        </w:rPr>
        <w:t>3.1供应商</w:t>
      </w:r>
      <w:r>
        <w:rPr>
          <w:rFonts w:hint="eastAsia" w:ascii="宋体" w:hAnsi="宋体"/>
          <w:sz w:val="24"/>
          <w:szCs w:val="24"/>
          <w:highlight w:val="none"/>
        </w:rPr>
        <w:t>提供的</w:t>
      </w:r>
      <w:r>
        <w:rPr>
          <w:rFonts w:hint="eastAsia" w:ascii="宋体" w:hAnsi="宋体"/>
          <w:bCs/>
          <w:sz w:val="24"/>
          <w:szCs w:val="24"/>
          <w:highlight w:val="none"/>
        </w:rPr>
        <w:t>货物</w:t>
      </w:r>
      <w:r>
        <w:rPr>
          <w:rFonts w:ascii="宋体" w:hAnsi="宋体"/>
          <w:sz w:val="24"/>
          <w:szCs w:val="24"/>
          <w:highlight w:val="none"/>
        </w:rPr>
        <w:t>应满足</w:t>
      </w:r>
      <w:r>
        <w:rPr>
          <w:rFonts w:hint="eastAsia" w:ascii="宋体" w:hAnsi="宋体"/>
          <w:sz w:val="24"/>
          <w:szCs w:val="24"/>
          <w:highlight w:val="none"/>
        </w:rPr>
        <w:t>招标</w:t>
      </w:r>
      <w:r>
        <w:rPr>
          <w:rFonts w:ascii="宋体" w:hAnsi="宋体"/>
          <w:sz w:val="24"/>
          <w:szCs w:val="24"/>
          <w:highlight w:val="none"/>
        </w:rPr>
        <w:t>文件的</w:t>
      </w:r>
      <w:r>
        <w:rPr>
          <w:rFonts w:hint="eastAsia" w:ascii="宋体" w:hAnsi="宋体"/>
          <w:sz w:val="24"/>
          <w:szCs w:val="24"/>
          <w:highlight w:val="none"/>
        </w:rPr>
        <w:t>实质性</w:t>
      </w:r>
      <w:r>
        <w:rPr>
          <w:rFonts w:ascii="宋体" w:hAnsi="宋体"/>
          <w:sz w:val="24"/>
          <w:szCs w:val="24"/>
          <w:highlight w:val="none"/>
        </w:rPr>
        <w:t>要求</w:t>
      </w:r>
      <w:r>
        <w:rPr>
          <w:rFonts w:hint="eastAsia" w:ascii="宋体" w:hAnsi="宋体"/>
          <w:sz w:val="24"/>
          <w:szCs w:val="24"/>
          <w:highlight w:val="none"/>
        </w:rPr>
        <w:t>，</w:t>
      </w:r>
      <w:r>
        <w:rPr>
          <w:rFonts w:ascii="宋体" w:hAnsi="宋体"/>
          <w:sz w:val="24"/>
          <w:szCs w:val="24"/>
          <w:highlight w:val="none"/>
        </w:rPr>
        <w:t>并应符合国家法律法规、行业管理部门</w:t>
      </w:r>
      <w:r>
        <w:rPr>
          <w:rFonts w:hint="eastAsia" w:ascii="宋体" w:hAnsi="宋体"/>
          <w:sz w:val="24"/>
          <w:szCs w:val="24"/>
          <w:highlight w:val="none"/>
        </w:rPr>
        <w:t>所</w:t>
      </w:r>
      <w:r>
        <w:rPr>
          <w:rFonts w:ascii="宋体" w:hAnsi="宋体"/>
          <w:sz w:val="24"/>
          <w:szCs w:val="24"/>
          <w:highlight w:val="none"/>
        </w:rPr>
        <w:t>要求的其他强制性标准。</w:t>
      </w:r>
    </w:p>
    <w:bookmarkEnd w:id="3"/>
    <w:p w14:paraId="2E9FED10">
      <w:pPr>
        <w:spacing w:line="500" w:lineRule="exact"/>
        <w:rPr>
          <w:rFonts w:ascii="宋体" w:hAnsi="宋体"/>
          <w:b/>
          <w:sz w:val="24"/>
          <w:szCs w:val="24"/>
          <w:highlight w:val="none"/>
        </w:rPr>
      </w:pPr>
      <w:r>
        <w:rPr>
          <w:rFonts w:hint="eastAsia" w:ascii="宋体" w:hAnsi="宋体"/>
          <w:b/>
          <w:sz w:val="24"/>
          <w:szCs w:val="24"/>
          <w:highlight w:val="none"/>
        </w:rPr>
        <w:t>4</w:t>
      </w:r>
      <w:r>
        <w:rPr>
          <w:rFonts w:ascii="宋体" w:hAnsi="宋体"/>
          <w:b/>
          <w:sz w:val="24"/>
          <w:szCs w:val="24"/>
          <w:highlight w:val="none"/>
        </w:rPr>
        <w:t>.投标文件内容的真实性</w:t>
      </w:r>
    </w:p>
    <w:p w14:paraId="427703D3">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.1投标人应保证其投标文件中所提供的所有有关投标的资料、信息是真实的</w:t>
      </w:r>
      <w:r>
        <w:rPr>
          <w:rFonts w:hint="eastAsia" w:ascii="宋体" w:hAnsi="宋体"/>
          <w:sz w:val="24"/>
          <w:szCs w:val="24"/>
          <w:highlight w:val="none"/>
        </w:rPr>
        <w:t>，</w:t>
      </w:r>
      <w:r>
        <w:rPr>
          <w:rFonts w:ascii="宋体" w:hAnsi="宋体"/>
          <w:sz w:val="24"/>
          <w:szCs w:val="24"/>
          <w:highlight w:val="none"/>
        </w:rPr>
        <w:t>并且来源于合法的渠道。因投标文件中所提供的有关投标的资料、信息不真实</w:t>
      </w:r>
      <w:r>
        <w:rPr>
          <w:rFonts w:hint="eastAsia" w:ascii="宋体" w:hAnsi="宋体"/>
          <w:sz w:val="24"/>
          <w:szCs w:val="24"/>
          <w:highlight w:val="none"/>
        </w:rPr>
        <w:t>，</w:t>
      </w:r>
      <w:r>
        <w:rPr>
          <w:rFonts w:ascii="宋体" w:hAnsi="宋体"/>
          <w:sz w:val="24"/>
          <w:szCs w:val="24"/>
          <w:highlight w:val="none"/>
        </w:rPr>
        <w:t>或者其来源不合法而导致的所有法律责任，由投标人自行承担。</w:t>
      </w:r>
    </w:p>
    <w:p w14:paraId="274A733A">
      <w:pPr>
        <w:spacing w:line="500" w:lineRule="exact"/>
        <w:rPr>
          <w:rFonts w:ascii="宋体" w:hAnsi="宋体"/>
          <w:b/>
          <w:sz w:val="24"/>
          <w:szCs w:val="24"/>
          <w:highlight w:val="none"/>
        </w:rPr>
      </w:pPr>
      <w:r>
        <w:rPr>
          <w:rFonts w:hint="eastAsia" w:ascii="宋体" w:hAnsi="宋体"/>
          <w:b/>
          <w:sz w:val="24"/>
          <w:szCs w:val="24"/>
          <w:highlight w:val="none"/>
        </w:rPr>
        <w:t>5</w:t>
      </w:r>
      <w:r>
        <w:rPr>
          <w:rFonts w:ascii="宋体" w:hAnsi="宋体"/>
          <w:b/>
          <w:sz w:val="24"/>
          <w:szCs w:val="24"/>
          <w:highlight w:val="none"/>
        </w:rPr>
        <w:t>.招标过程的监督和管理</w:t>
      </w:r>
    </w:p>
    <w:p w14:paraId="5F33D7C7">
      <w:pPr>
        <w:spacing w:line="500" w:lineRule="exact"/>
        <w:ind w:firstLine="480" w:firstLineChars="200"/>
        <w:rPr>
          <w:rFonts w:ascii="宋体" w:hAnsi="宋体"/>
          <w:sz w:val="24"/>
          <w:szCs w:val="24"/>
          <w:highlight w:val="none"/>
        </w:rPr>
      </w:pPr>
      <w:r>
        <w:rPr>
          <w:rFonts w:hint="eastAsia" w:ascii="宋体" w:hAnsi="宋体"/>
          <w:sz w:val="24"/>
          <w:szCs w:val="24"/>
          <w:highlight w:val="none"/>
        </w:rPr>
        <w:t>5</w:t>
      </w:r>
      <w:r>
        <w:rPr>
          <w:rFonts w:ascii="宋体" w:hAnsi="宋体"/>
          <w:sz w:val="24"/>
          <w:szCs w:val="24"/>
          <w:highlight w:val="none"/>
        </w:rPr>
        <w:t xml:space="preserve">.1同级人民政府财政部门及有关部门依法履行对招标过程的监督管理职责。   </w:t>
      </w:r>
    </w:p>
    <w:p w14:paraId="22197ED0">
      <w:pPr>
        <w:spacing w:line="500" w:lineRule="exact"/>
        <w:jc w:val="center"/>
        <w:rPr>
          <w:rFonts w:ascii="宋体" w:hAnsi="宋体"/>
          <w:b/>
          <w:sz w:val="36"/>
          <w:szCs w:val="36"/>
          <w:highlight w:val="none"/>
        </w:rPr>
      </w:pPr>
    </w:p>
    <w:p w14:paraId="70184E40">
      <w:pPr>
        <w:spacing w:line="500" w:lineRule="exact"/>
        <w:jc w:val="center"/>
        <w:rPr>
          <w:rFonts w:ascii="宋体" w:hAnsi="宋体"/>
          <w:b/>
          <w:sz w:val="36"/>
          <w:szCs w:val="36"/>
          <w:highlight w:val="none"/>
        </w:rPr>
      </w:pPr>
      <w:r>
        <w:rPr>
          <w:rFonts w:ascii="宋体" w:hAnsi="宋体"/>
          <w:b/>
          <w:sz w:val="36"/>
          <w:szCs w:val="36"/>
          <w:highlight w:val="none"/>
        </w:rPr>
        <w:t>二.招标文件</w:t>
      </w:r>
    </w:p>
    <w:p w14:paraId="3FCFCC6D">
      <w:pPr>
        <w:spacing w:line="500" w:lineRule="exact"/>
        <w:rPr>
          <w:rFonts w:ascii="宋体" w:hAnsi="宋体"/>
          <w:b/>
          <w:sz w:val="24"/>
          <w:szCs w:val="24"/>
          <w:highlight w:val="none"/>
        </w:rPr>
      </w:pPr>
    </w:p>
    <w:p w14:paraId="19004742">
      <w:pPr>
        <w:spacing w:line="500" w:lineRule="exact"/>
        <w:rPr>
          <w:rFonts w:ascii="宋体" w:hAnsi="宋体"/>
          <w:b/>
          <w:sz w:val="24"/>
          <w:szCs w:val="24"/>
          <w:highlight w:val="none"/>
        </w:rPr>
      </w:pPr>
      <w:r>
        <w:rPr>
          <w:rFonts w:ascii="宋体" w:hAnsi="宋体"/>
          <w:b/>
          <w:sz w:val="24"/>
          <w:szCs w:val="24"/>
          <w:highlight w:val="none"/>
        </w:rPr>
        <w:t>6.招标文件构成　　</w:t>
      </w:r>
    </w:p>
    <w:p w14:paraId="18CE9143">
      <w:pPr>
        <w:spacing w:line="500" w:lineRule="exact"/>
        <w:ind w:firstLine="480" w:firstLineChars="200"/>
        <w:rPr>
          <w:rFonts w:ascii="宋体" w:hAnsi="宋体"/>
          <w:sz w:val="24"/>
          <w:szCs w:val="24"/>
          <w:highlight w:val="none"/>
        </w:rPr>
      </w:pPr>
      <w:r>
        <w:rPr>
          <w:rFonts w:ascii="宋体" w:hAnsi="宋体"/>
          <w:sz w:val="24"/>
          <w:szCs w:val="24"/>
          <w:highlight w:val="none"/>
        </w:rPr>
        <w:t xml:space="preserve">6.1 </w:t>
      </w:r>
      <w:r>
        <w:rPr>
          <w:rFonts w:hint="eastAsia" w:ascii="宋体" w:hAnsi="宋体"/>
          <w:sz w:val="24"/>
          <w:szCs w:val="24"/>
          <w:highlight w:val="none"/>
        </w:rPr>
        <w:t>招标文件规定了</w:t>
      </w:r>
      <w:r>
        <w:rPr>
          <w:rFonts w:ascii="宋体" w:hAnsi="宋体"/>
          <w:sz w:val="24"/>
          <w:szCs w:val="24"/>
          <w:highlight w:val="none"/>
        </w:rPr>
        <w:t>要求提供的货物和服务</w:t>
      </w:r>
      <w:r>
        <w:rPr>
          <w:rFonts w:hint="eastAsia" w:ascii="宋体" w:hAnsi="宋体"/>
          <w:sz w:val="24"/>
          <w:szCs w:val="24"/>
          <w:highlight w:val="none"/>
        </w:rPr>
        <w:t>。</w:t>
      </w:r>
      <w:r>
        <w:rPr>
          <w:rFonts w:ascii="宋体" w:hAnsi="宋体"/>
          <w:sz w:val="24"/>
          <w:szCs w:val="24"/>
          <w:highlight w:val="none"/>
        </w:rPr>
        <w:t>招标程序和合同条件在招标文件中均有说明。招标文件共</w:t>
      </w:r>
      <w:r>
        <w:rPr>
          <w:rFonts w:hint="eastAsia" w:ascii="宋体" w:hAnsi="宋体"/>
          <w:sz w:val="24"/>
          <w:szCs w:val="24"/>
          <w:highlight w:val="none"/>
        </w:rPr>
        <w:t>六</w:t>
      </w:r>
      <w:r>
        <w:rPr>
          <w:rFonts w:ascii="宋体" w:hAnsi="宋体"/>
          <w:sz w:val="24"/>
          <w:szCs w:val="24"/>
          <w:highlight w:val="none"/>
        </w:rPr>
        <w:t>章</w:t>
      </w:r>
      <w:r>
        <w:rPr>
          <w:rFonts w:hint="eastAsia" w:ascii="宋体" w:hAnsi="宋体"/>
          <w:sz w:val="24"/>
          <w:szCs w:val="24"/>
          <w:highlight w:val="none"/>
        </w:rPr>
        <w:t>或见投标人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内容如下：</w:t>
      </w:r>
    </w:p>
    <w:p w14:paraId="7121B978">
      <w:pPr>
        <w:spacing w:line="500" w:lineRule="exact"/>
        <w:ind w:firstLine="480" w:firstLineChars="200"/>
        <w:rPr>
          <w:rFonts w:ascii="宋体" w:hAnsi="宋体"/>
          <w:sz w:val="24"/>
          <w:szCs w:val="24"/>
          <w:highlight w:val="none"/>
        </w:rPr>
      </w:pPr>
      <w:r>
        <w:rPr>
          <w:rFonts w:ascii="宋体" w:hAnsi="宋体"/>
          <w:sz w:val="24"/>
          <w:szCs w:val="24"/>
          <w:highlight w:val="none"/>
        </w:rPr>
        <w:t>第一章</w:t>
      </w:r>
      <w:r>
        <w:rPr>
          <w:rFonts w:hint="eastAsia" w:ascii="宋体" w:hAnsi="宋体"/>
          <w:sz w:val="24"/>
          <w:szCs w:val="24"/>
          <w:highlight w:val="none"/>
        </w:rPr>
        <w:t xml:space="preserve"> 招标公告</w:t>
      </w:r>
    </w:p>
    <w:p w14:paraId="256A1852">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第二章 </w:t>
      </w:r>
      <w:r>
        <w:rPr>
          <w:rFonts w:ascii="宋体" w:hAnsi="宋体"/>
          <w:sz w:val="24"/>
          <w:szCs w:val="24"/>
          <w:highlight w:val="none"/>
        </w:rPr>
        <w:t>投标人须知</w:t>
      </w:r>
      <w:r>
        <w:rPr>
          <w:rFonts w:hint="eastAsia" w:ascii="宋体" w:hAnsi="宋体"/>
          <w:sz w:val="24"/>
          <w:szCs w:val="24"/>
          <w:highlight w:val="none"/>
        </w:rPr>
        <w:t>及前附表</w:t>
      </w:r>
    </w:p>
    <w:p w14:paraId="0C75C2B7">
      <w:pPr>
        <w:spacing w:line="500" w:lineRule="exact"/>
        <w:ind w:firstLine="480" w:firstLineChars="200"/>
        <w:rPr>
          <w:rFonts w:ascii="宋体" w:hAnsi="宋体"/>
          <w:sz w:val="24"/>
          <w:szCs w:val="24"/>
          <w:highlight w:val="none"/>
        </w:rPr>
      </w:pPr>
      <w:r>
        <w:rPr>
          <w:rFonts w:ascii="宋体" w:hAnsi="宋体"/>
          <w:sz w:val="24"/>
          <w:szCs w:val="24"/>
          <w:highlight w:val="none"/>
        </w:rPr>
        <w:t>第</w:t>
      </w:r>
      <w:r>
        <w:rPr>
          <w:rFonts w:hint="eastAsia" w:ascii="宋体" w:hAnsi="宋体"/>
          <w:sz w:val="24"/>
          <w:szCs w:val="24"/>
          <w:highlight w:val="none"/>
        </w:rPr>
        <w:t>三</w:t>
      </w:r>
      <w:r>
        <w:rPr>
          <w:rFonts w:ascii="宋体" w:hAnsi="宋体"/>
          <w:sz w:val="24"/>
          <w:szCs w:val="24"/>
          <w:highlight w:val="none"/>
        </w:rPr>
        <w:t>章 合同条款</w:t>
      </w:r>
    </w:p>
    <w:p w14:paraId="37817DE2">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第四章 </w:t>
      </w:r>
      <w:r>
        <w:rPr>
          <w:rFonts w:ascii="宋体" w:hAnsi="宋体"/>
          <w:sz w:val="24"/>
          <w:szCs w:val="24"/>
          <w:highlight w:val="none"/>
        </w:rPr>
        <w:t>招标内容</w:t>
      </w:r>
      <w:r>
        <w:rPr>
          <w:rFonts w:hint="eastAsia" w:ascii="宋体" w:hAnsi="宋体"/>
          <w:sz w:val="24"/>
          <w:szCs w:val="24"/>
          <w:highlight w:val="none"/>
        </w:rPr>
        <w:t>及采购需求</w:t>
      </w:r>
    </w:p>
    <w:p w14:paraId="1DD8A167">
      <w:pPr>
        <w:spacing w:line="500" w:lineRule="exact"/>
        <w:ind w:firstLine="480" w:firstLineChars="200"/>
        <w:rPr>
          <w:rFonts w:ascii="宋体" w:hAnsi="宋体"/>
          <w:sz w:val="24"/>
          <w:szCs w:val="24"/>
          <w:highlight w:val="none"/>
        </w:rPr>
      </w:pPr>
      <w:r>
        <w:rPr>
          <w:rFonts w:hint="eastAsia" w:ascii="宋体" w:hAnsi="宋体"/>
          <w:sz w:val="24"/>
          <w:szCs w:val="24"/>
          <w:highlight w:val="none"/>
        </w:rPr>
        <w:t>第五章 评标方法</w:t>
      </w:r>
    </w:p>
    <w:p w14:paraId="06D9F283">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第六章 </w:t>
      </w:r>
      <w:r>
        <w:rPr>
          <w:rFonts w:ascii="宋体" w:hAnsi="宋体"/>
          <w:sz w:val="24"/>
          <w:szCs w:val="24"/>
          <w:highlight w:val="none"/>
        </w:rPr>
        <w:t>投标文件格式</w:t>
      </w:r>
    </w:p>
    <w:p w14:paraId="35836CB0">
      <w:pPr>
        <w:spacing w:line="500" w:lineRule="exact"/>
        <w:ind w:firstLine="480" w:firstLineChars="200"/>
        <w:rPr>
          <w:rFonts w:ascii="宋体" w:hAnsi="宋体"/>
          <w:sz w:val="24"/>
          <w:szCs w:val="24"/>
          <w:highlight w:val="none"/>
        </w:rPr>
      </w:pPr>
      <w:r>
        <w:rPr>
          <w:rFonts w:ascii="宋体" w:hAnsi="宋体"/>
          <w:sz w:val="24"/>
          <w:szCs w:val="24"/>
          <w:highlight w:val="none"/>
        </w:rPr>
        <w:t>6.2投标人应认真阅读招标文件中所有的事项、格式、条款和规范等要求。如果投标人没有按照招标文件</w:t>
      </w:r>
      <w:r>
        <w:rPr>
          <w:rFonts w:hint="eastAsia" w:ascii="宋体" w:hAnsi="宋体"/>
          <w:sz w:val="24"/>
          <w:szCs w:val="24"/>
          <w:highlight w:val="none"/>
        </w:rPr>
        <w:t>的</w:t>
      </w:r>
      <w:r>
        <w:rPr>
          <w:rFonts w:ascii="宋体" w:hAnsi="宋体"/>
          <w:sz w:val="24"/>
          <w:szCs w:val="24"/>
          <w:highlight w:val="none"/>
        </w:rPr>
        <w:t>要求提交全部</w:t>
      </w:r>
      <w:r>
        <w:rPr>
          <w:rFonts w:hint="eastAsia" w:ascii="宋体" w:hAnsi="宋体"/>
          <w:sz w:val="24"/>
          <w:szCs w:val="24"/>
          <w:highlight w:val="none"/>
        </w:rPr>
        <w:t>必要的</w:t>
      </w:r>
      <w:r>
        <w:rPr>
          <w:rFonts w:ascii="宋体" w:hAnsi="宋体"/>
          <w:sz w:val="24"/>
          <w:szCs w:val="24"/>
          <w:highlight w:val="none"/>
        </w:rPr>
        <w:t>资料，由此带来的不利于投标人的评标结果，其风险由投标人承担。</w:t>
      </w:r>
    </w:p>
    <w:p w14:paraId="14DF3016">
      <w:pPr>
        <w:spacing w:line="500" w:lineRule="exact"/>
        <w:ind w:firstLine="480" w:firstLineChars="200"/>
        <w:rPr>
          <w:rFonts w:ascii="宋体" w:hAnsi="宋体"/>
          <w:sz w:val="24"/>
          <w:szCs w:val="24"/>
          <w:highlight w:val="none"/>
        </w:rPr>
      </w:pPr>
      <w:r>
        <w:rPr>
          <w:rFonts w:hint="eastAsia" w:ascii="宋体" w:hAnsi="宋体"/>
          <w:sz w:val="24"/>
          <w:szCs w:val="24"/>
          <w:highlight w:val="none"/>
        </w:rPr>
        <w:t>6.3如果</w:t>
      </w:r>
      <w:r>
        <w:rPr>
          <w:rFonts w:ascii="宋体" w:hAnsi="宋体"/>
          <w:sz w:val="24"/>
          <w:szCs w:val="24"/>
          <w:highlight w:val="none"/>
        </w:rPr>
        <w:t>投标文件没有对招标</w:t>
      </w:r>
      <w:r>
        <w:rPr>
          <w:rFonts w:hint="eastAsia" w:ascii="宋体" w:hAnsi="宋体"/>
          <w:sz w:val="24"/>
          <w:szCs w:val="24"/>
          <w:highlight w:val="none"/>
        </w:rPr>
        <w:t>内容</w:t>
      </w:r>
      <w:r>
        <w:rPr>
          <w:rFonts w:ascii="宋体" w:hAnsi="宋体"/>
          <w:sz w:val="24"/>
          <w:szCs w:val="24"/>
          <w:highlight w:val="none"/>
        </w:rPr>
        <w:t>做出实质性响应</w:t>
      </w:r>
      <w:r>
        <w:rPr>
          <w:rFonts w:hint="eastAsia" w:ascii="宋体" w:hAnsi="宋体"/>
          <w:sz w:val="24"/>
          <w:szCs w:val="24"/>
          <w:highlight w:val="none"/>
        </w:rPr>
        <w:t>，其投标为无效投标。</w:t>
      </w:r>
    </w:p>
    <w:p w14:paraId="708D7CA7">
      <w:pPr>
        <w:spacing w:line="500" w:lineRule="exact"/>
        <w:ind w:firstLine="480" w:firstLineChars="200"/>
        <w:rPr>
          <w:rFonts w:ascii="宋体" w:hAnsi="宋体"/>
          <w:sz w:val="24"/>
          <w:szCs w:val="24"/>
          <w:highlight w:val="none"/>
        </w:rPr>
      </w:pPr>
      <w:r>
        <w:rPr>
          <w:rFonts w:ascii="宋体" w:hAnsi="宋体"/>
          <w:sz w:val="24"/>
          <w:szCs w:val="24"/>
          <w:highlight w:val="none"/>
        </w:rPr>
        <w:t>6.</w:t>
      </w:r>
      <w:r>
        <w:rPr>
          <w:rFonts w:hint="eastAsia" w:ascii="宋体" w:hAnsi="宋体"/>
          <w:sz w:val="24"/>
          <w:szCs w:val="24"/>
          <w:highlight w:val="none"/>
        </w:rPr>
        <w:t>4</w:t>
      </w:r>
      <w:r>
        <w:rPr>
          <w:rFonts w:ascii="宋体" w:hAnsi="宋体"/>
          <w:sz w:val="24"/>
          <w:szCs w:val="24"/>
          <w:highlight w:val="none"/>
        </w:rPr>
        <w:t>本招标文件的解释权归</w:t>
      </w:r>
      <w:r>
        <w:rPr>
          <w:rFonts w:hint="eastAsia" w:ascii="宋体" w:hAnsi="宋体"/>
          <w:sz w:val="24"/>
          <w:szCs w:val="24"/>
          <w:highlight w:val="none"/>
        </w:rPr>
        <w:t>招标人及</w:t>
      </w:r>
      <w:r>
        <w:rPr>
          <w:rFonts w:ascii="宋体" w:hAnsi="宋体"/>
          <w:sz w:val="24"/>
          <w:szCs w:val="24"/>
          <w:highlight w:val="none"/>
        </w:rPr>
        <w:t>西北（陕西）国际招标有限公司。</w:t>
      </w:r>
    </w:p>
    <w:p w14:paraId="7356528F">
      <w:pPr>
        <w:spacing w:line="500" w:lineRule="exact"/>
        <w:rPr>
          <w:rFonts w:ascii="宋体" w:hAnsi="宋体"/>
          <w:b/>
          <w:sz w:val="24"/>
          <w:szCs w:val="24"/>
          <w:highlight w:val="none"/>
        </w:rPr>
      </w:pPr>
      <w:r>
        <w:rPr>
          <w:rFonts w:ascii="宋体" w:hAnsi="宋体"/>
          <w:b/>
          <w:sz w:val="24"/>
          <w:szCs w:val="24"/>
          <w:highlight w:val="none"/>
        </w:rPr>
        <w:t>7.招标文件的</w:t>
      </w:r>
      <w:r>
        <w:rPr>
          <w:rFonts w:hint="eastAsia" w:ascii="宋体" w:hAnsi="宋体"/>
          <w:b/>
          <w:sz w:val="24"/>
          <w:szCs w:val="24"/>
          <w:highlight w:val="none"/>
        </w:rPr>
        <w:t>澄清</w:t>
      </w:r>
      <w:r>
        <w:rPr>
          <w:rFonts w:ascii="宋体" w:hAnsi="宋体"/>
          <w:b/>
          <w:sz w:val="24"/>
          <w:szCs w:val="24"/>
          <w:highlight w:val="none"/>
        </w:rPr>
        <w:t>修改</w:t>
      </w:r>
    </w:p>
    <w:p w14:paraId="5CCB1521">
      <w:pPr>
        <w:spacing w:line="500" w:lineRule="exact"/>
        <w:ind w:firstLine="480" w:firstLineChars="200"/>
        <w:rPr>
          <w:rFonts w:ascii="宋体" w:hAnsi="宋体"/>
          <w:sz w:val="24"/>
          <w:szCs w:val="24"/>
          <w:highlight w:val="none"/>
        </w:rPr>
      </w:pPr>
      <w:r>
        <w:rPr>
          <w:rFonts w:ascii="宋体" w:hAnsi="宋体"/>
          <w:sz w:val="24"/>
          <w:szCs w:val="24"/>
          <w:highlight w:val="none"/>
        </w:rPr>
        <w:t>7.</w:t>
      </w:r>
      <w:r>
        <w:rPr>
          <w:rFonts w:hint="eastAsia" w:ascii="宋体" w:hAnsi="宋体"/>
          <w:sz w:val="24"/>
          <w:szCs w:val="24"/>
          <w:highlight w:val="none"/>
        </w:rPr>
        <w:t>1采购人</w:t>
      </w:r>
      <w:r>
        <w:rPr>
          <w:rFonts w:ascii="宋体" w:hAnsi="宋体"/>
          <w:sz w:val="24"/>
          <w:szCs w:val="24"/>
          <w:highlight w:val="none"/>
        </w:rPr>
        <w:t>如果对已发出的招标文件进行</w:t>
      </w:r>
      <w:r>
        <w:rPr>
          <w:rFonts w:hint="eastAsia" w:ascii="宋体" w:hAnsi="宋体"/>
          <w:sz w:val="24"/>
          <w:szCs w:val="24"/>
          <w:highlight w:val="none"/>
        </w:rPr>
        <w:t>必要的澄清或者</w:t>
      </w:r>
      <w:r>
        <w:rPr>
          <w:rFonts w:ascii="宋体" w:hAnsi="宋体"/>
          <w:sz w:val="24"/>
          <w:szCs w:val="24"/>
          <w:highlight w:val="none"/>
        </w:rPr>
        <w:t>修改，</w:t>
      </w:r>
      <w:r>
        <w:rPr>
          <w:rFonts w:hint="eastAsia" w:ascii="宋体" w:hAnsi="宋体"/>
          <w:sz w:val="24"/>
          <w:szCs w:val="24"/>
          <w:highlight w:val="none"/>
        </w:rPr>
        <w:t>将</w:t>
      </w:r>
      <w:r>
        <w:rPr>
          <w:rFonts w:ascii="宋体" w:hAnsi="宋体"/>
          <w:sz w:val="24"/>
          <w:szCs w:val="24"/>
          <w:highlight w:val="none"/>
        </w:rPr>
        <w:t>在</w:t>
      </w:r>
      <w:r>
        <w:rPr>
          <w:rFonts w:hint="eastAsia" w:ascii="宋体" w:hAnsi="宋体"/>
          <w:sz w:val="24"/>
          <w:szCs w:val="24"/>
          <w:highlight w:val="none"/>
        </w:rPr>
        <w:t>原公告发布</w:t>
      </w:r>
      <w:r>
        <w:rPr>
          <w:rFonts w:ascii="宋体" w:hAnsi="宋体"/>
          <w:sz w:val="24"/>
          <w:szCs w:val="24"/>
          <w:highlight w:val="none"/>
        </w:rPr>
        <w:t>媒体上</w:t>
      </w:r>
      <w:r>
        <w:rPr>
          <w:rFonts w:hint="eastAsia" w:ascii="宋体" w:hAnsi="宋体"/>
          <w:sz w:val="24"/>
          <w:szCs w:val="24"/>
          <w:highlight w:val="none"/>
        </w:rPr>
        <w:t>发布澄清公告。</w:t>
      </w:r>
      <w:r>
        <w:rPr>
          <w:rFonts w:ascii="宋体" w:hAnsi="宋体"/>
          <w:sz w:val="24"/>
          <w:szCs w:val="24"/>
          <w:highlight w:val="none"/>
        </w:rPr>
        <w:t>澄清或者修改的内容为招标文件的组成部分。</w:t>
      </w:r>
    </w:p>
    <w:p w14:paraId="67AEDD07">
      <w:pPr>
        <w:spacing w:line="500" w:lineRule="exact"/>
        <w:ind w:firstLine="480" w:firstLineChars="200"/>
        <w:rPr>
          <w:highlight w:val="none"/>
        </w:rPr>
      </w:pPr>
      <w:r>
        <w:rPr>
          <w:rFonts w:hint="eastAsia" w:ascii="宋体" w:hAnsi="宋体"/>
          <w:sz w:val="24"/>
          <w:szCs w:val="24"/>
          <w:highlight w:val="none"/>
        </w:rPr>
        <w:t>7.2澄清或者修改的内容可能影响投标文件编制的，采购代理机构将在投标截止时间至少15日前，以书面形式通知所有获取招标文件的潜在投标人；不足15日的，采购代理机构将顺延提交投标文件的截止时间。</w:t>
      </w:r>
    </w:p>
    <w:p w14:paraId="25BAC623">
      <w:pPr>
        <w:spacing w:line="500" w:lineRule="exact"/>
        <w:rPr>
          <w:rFonts w:ascii="宋体" w:hAnsi="宋体"/>
          <w:b/>
          <w:sz w:val="24"/>
          <w:szCs w:val="24"/>
          <w:highlight w:val="none"/>
        </w:rPr>
      </w:pPr>
      <w:bookmarkStart w:id="4" w:name="_Hlk36454145"/>
      <w:r>
        <w:rPr>
          <w:rFonts w:hint="eastAsia" w:ascii="宋体" w:hAnsi="宋体"/>
          <w:b/>
          <w:sz w:val="24"/>
          <w:szCs w:val="24"/>
          <w:highlight w:val="none"/>
        </w:rPr>
        <w:t>8.招标文件的质疑、询问及答复</w:t>
      </w:r>
    </w:p>
    <w:p w14:paraId="2BB4B9EF">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8.1已经合法获取招标文件的供应商对招标文件有疑问，可以向采购人或采购代理机构提出询问，采购人或采购代理机构应当及时作出答复，但答复的内容不涉及商业秘密。 </w:t>
      </w:r>
    </w:p>
    <w:p w14:paraId="5B53ACBC">
      <w:pPr>
        <w:spacing w:line="500" w:lineRule="exact"/>
        <w:ind w:firstLine="480" w:firstLineChars="200"/>
        <w:rPr>
          <w:rFonts w:ascii="宋体" w:hAnsi="宋体"/>
          <w:sz w:val="24"/>
          <w:szCs w:val="24"/>
          <w:highlight w:val="none"/>
        </w:rPr>
      </w:pPr>
      <w:r>
        <w:rPr>
          <w:rFonts w:hint="eastAsia" w:ascii="宋体" w:hAnsi="宋体"/>
          <w:sz w:val="24"/>
          <w:szCs w:val="24"/>
          <w:highlight w:val="none"/>
        </w:rPr>
        <w:t>已经合法获取招标文件的供应商认为招标文件使自己的权益受到损害的，应当在“投标人须知前附表”规定的时间内，以书面形式向采购代理机构指定的联系部门提出质疑，在此之后提出的质疑均为无效，采购代理机构不予受理。</w:t>
      </w:r>
    </w:p>
    <w:p w14:paraId="1EF1B358">
      <w:pPr>
        <w:spacing w:line="500" w:lineRule="exact"/>
        <w:ind w:firstLine="480" w:firstLineChars="200"/>
        <w:rPr>
          <w:rFonts w:ascii="宋体" w:hAnsi="宋体"/>
          <w:sz w:val="24"/>
          <w:szCs w:val="24"/>
          <w:highlight w:val="none"/>
        </w:rPr>
      </w:pPr>
      <w:r>
        <w:rPr>
          <w:rFonts w:hint="eastAsia" w:ascii="宋体" w:hAnsi="宋体"/>
          <w:sz w:val="24"/>
          <w:szCs w:val="24"/>
          <w:highlight w:val="none"/>
        </w:rPr>
        <w:t>8.2供应商提出质疑应当按照“投标人须知前附表”的要求提交质疑函和必要的证明材料。</w:t>
      </w:r>
    </w:p>
    <w:p w14:paraId="7960D07B">
      <w:pPr>
        <w:spacing w:line="500" w:lineRule="exact"/>
        <w:ind w:firstLine="480" w:firstLineChars="200"/>
        <w:rPr>
          <w:rFonts w:ascii="宋体" w:hAnsi="宋体"/>
          <w:sz w:val="24"/>
          <w:szCs w:val="24"/>
          <w:highlight w:val="none"/>
        </w:rPr>
      </w:pPr>
      <w:r>
        <w:rPr>
          <w:rFonts w:hint="eastAsia" w:ascii="宋体" w:hAnsi="宋体"/>
          <w:sz w:val="24"/>
          <w:szCs w:val="24"/>
          <w:highlight w:val="none"/>
        </w:rPr>
        <w:t>8.3对于供应商依法提出的询问或者在规定时间内收到的质疑，采购代理机构将按程序在规定的时间内予以答复。</w:t>
      </w:r>
    </w:p>
    <w:p w14:paraId="7A688D2F">
      <w:pPr>
        <w:spacing w:line="500" w:lineRule="exact"/>
        <w:ind w:firstLine="480" w:firstLineChars="200"/>
        <w:rPr>
          <w:rFonts w:ascii="宋体" w:hAnsi="宋体"/>
          <w:color w:val="FF0000"/>
          <w:sz w:val="24"/>
          <w:szCs w:val="24"/>
          <w:highlight w:val="none"/>
        </w:rPr>
      </w:pPr>
      <w:r>
        <w:rPr>
          <w:rFonts w:hint="eastAsia" w:ascii="宋体" w:hAnsi="宋体"/>
          <w:sz w:val="24"/>
          <w:szCs w:val="24"/>
          <w:highlight w:val="none"/>
        </w:rPr>
        <w:t>8.4有下列情形之一的，属于无效质疑：</w:t>
      </w:r>
    </w:p>
    <w:p w14:paraId="41336305">
      <w:pPr>
        <w:spacing w:line="500" w:lineRule="exact"/>
        <w:ind w:firstLine="480" w:firstLineChars="200"/>
        <w:rPr>
          <w:rFonts w:ascii="宋体" w:hAnsi="宋体"/>
          <w:sz w:val="24"/>
          <w:szCs w:val="24"/>
          <w:highlight w:val="none"/>
        </w:rPr>
      </w:pPr>
      <w:r>
        <w:rPr>
          <w:rFonts w:hint="eastAsia" w:ascii="宋体" w:hAnsi="宋体"/>
          <w:sz w:val="24"/>
          <w:szCs w:val="24"/>
          <w:highlight w:val="none"/>
        </w:rPr>
        <w:t>8.4.1对采购文件提出质疑的质疑人不是合法获取采购文件的潜在供应商；对采购过程、中标结果提出质疑的质疑人不是参与本次政府采购项目的供应商；</w:t>
      </w:r>
    </w:p>
    <w:p w14:paraId="7E02DC6E">
      <w:pPr>
        <w:spacing w:line="500" w:lineRule="exact"/>
        <w:ind w:firstLine="480" w:firstLineChars="200"/>
        <w:rPr>
          <w:rFonts w:ascii="宋体" w:hAnsi="宋体"/>
          <w:sz w:val="24"/>
          <w:szCs w:val="24"/>
          <w:highlight w:val="none"/>
        </w:rPr>
      </w:pPr>
      <w:r>
        <w:rPr>
          <w:rFonts w:hint="eastAsia" w:ascii="宋体" w:hAnsi="宋体"/>
          <w:sz w:val="24"/>
          <w:szCs w:val="24"/>
          <w:highlight w:val="none"/>
        </w:rPr>
        <w:t>8.4.2超过法定期限或未以书面形式提出的；</w:t>
      </w:r>
    </w:p>
    <w:p w14:paraId="48909C63">
      <w:pPr>
        <w:spacing w:line="500" w:lineRule="exact"/>
        <w:ind w:firstLine="480" w:firstLineChars="200"/>
        <w:rPr>
          <w:rFonts w:ascii="宋体" w:hAnsi="宋体"/>
          <w:sz w:val="24"/>
          <w:szCs w:val="24"/>
          <w:highlight w:val="none"/>
        </w:rPr>
      </w:pPr>
      <w:r>
        <w:rPr>
          <w:rFonts w:hint="eastAsia" w:ascii="宋体" w:hAnsi="宋体"/>
          <w:sz w:val="24"/>
          <w:szCs w:val="24"/>
          <w:highlight w:val="none"/>
        </w:rPr>
        <w:t>8.4.3缺乏必要的证明材料，或捏造事实、提供虚假材料，或以非法手段取得证明材料的；</w:t>
      </w:r>
    </w:p>
    <w:p w14:paraId="5F7EDBDD">
      <w:pPr>
        <w:spacing w:line="500" w:lineRule="exact"/>
        <w:ind w:firstLine="480" w:firstLineChars="200"/>
        <w:rPr>
          <w:rFonts w:ascii="宋体" w:hAnsi="宋体"/>
          <w:sz w:val="24"/>
          <w:szCs w:val="24"/>
          <w:highlight w:val="none"/>
        </w:rPr>
      </w:pPr>
      <w:r>
        <w:rPr>
          <w:rFonts w:hint="eastAsia" w:ascii="宋体" w:hAnsi="宋体"/>
          <w:sz w:val="24"/>
          <w:szCs w:val="24"/>
          <w:highlight w:val="none"/>
        </w:rPr>
        <w:t>8.4.4质疑函没有合法有效的签字、盖章或委托授权书的（代理人提出质疑和投诉，应当提交供应商签署的授权委托书）；</w:t>
      </w:r>
    </w:p>
    <w:p w14:paraId="4598908A">
      <w:pPr>
        <w:spacing w:line="500" w:lineRule="exact"/>
        <w:ind w:firstLine="480" w:firstLineChars="200"/>
        <w:rPr>
          <w:rFonts w:ascii="宋体" w:hAnsi="宋体"/>
          <w:sz w:val="24"/>
          <w:szCs w:val="24"/>
          <w:highlight w:val="none"/>
        </w:rPr>
      </w:pPr>
      <w:r>
        <w:rPr>
          <w:rFonts w:hint="eastAsia" w:ascii="宋体" w:hAnsi="宋体"/>
          <w:sz w:val="24"/>
          <w:szCs w:val="24"/>
          <w:highlight w:val="none"/>
        </w:rPr>
        <w:t>8.4.5针对同一采购程序环节又提出其他质疑事项的，或质疑答复后就同一事项再次提出质疑的；</w:t>
      </w:r>
    </w:p>
    <w:p w14:paraId="2F826AA3">
      <w:pPr>
        <w:spacing w:line="500" w:lineRule="exact"/>
        <w:ind w:firstLine="480" w:firstLineChars="200"/>
        <w:rPr>
          <w:rFonts w:ascii="宋体" w:hAnsi="宋体"/>
          <w:sz w:val="24"/>
          <w:szCs w:val="24"/>
          <w:highlight w:val="none"/>
        </w:rPr>
      </w:pPr>
      <w:r>
        <w:rPr>
          <w:rFonts w:hint="eastAsia" w:ascii="宋体" w:hAnsi="宋体"/>
          <w:sz w:val="24"/>
          <w:szCs w:val="24"/>
          <w:highlight w:val="none"/>
        </w:rPr>
        <w:t>8.4.6不符合法律、法规、规章和政府采购监管机构规定的其他条件的。</w:t>
      </w:r>
    </w:p>
    <w:p w14:paraId="7E33854C">
      <w:pPr>
        <w:pStyle w:val="8"/>
        <w:rPr>
          <w:highlight w:val="none"/>
        </w:rPr>
      </w:pPr>
    </w:p>
    <w:bookmarkEnd w:id="4"/>
    <w:p w14:paraId="3ABCFFD3">
      <w:pPr>
        <w:spacing w:line="500" w:lineRule="exact"/>
        <w:jc w:val="center"/>
        <w:rPr>
          <w:rFonts w:ascii="宋体" w:hAnsi="宋体"/>
          <w:b/>
          <w:sz w:val="36"/>
          <w:szCs w:val="36"/>
          <w:highlight w:val="none"/>
        </w:rPr>
      </w:pPr>
    </w:p>
    <w:p w14:paraId="1FF9D585">
      <w:pPr>
        <w:spacing w:line="500" w:lineRule="exact"/>
        <w:jc w:val="center"/>
        <w:rPr>
          <w:rFonts w:ascii="宋体" w:hAnsi="宋体"/>
          <w:b/>
          <w:sz w:val="36"/>
          <w:szCs w:val="36"/>
          <w:highlight w:val="none"/>
        </w:rPr>
      </w:pPr>
      <w:r>
        <w:rPr>
          <w:rFonts w:ascii="宋体" w:hAnsi="宋体"/>
          <w:b/>
          <w:sz w:val="36"/>
          <w:szCs w:val="36"/>
          <w:highlight w:val="none"/>
        </w:rPr>
        <w:t>三.投标文件的编制</w:t>
      </w:r>
    </w:p>
    <w:p w14:paraId="5E15EAFB">
      <w:pPr>
        <w:spacing w:line="500" w:lineRule="exact"/>
        <w:rPr>
          <w:rFonts w:ascii="宋体" w:hAnsi="宋体"/>
          <w:b/>
          <w:sz w:val="24"/>
          <w:szCs w:val="24"/>
          <w:highlight w:val="none"/>
        </w:rPr>
      </w:pPr>
    </w:p>
    <w:p w14:paraId="73B2F951">
      <w:pPr>
        <w:spacing w:line="500" w:lineRule="exact"/>
        <w:rPr>
          <w:rFonts w:ascii="宋体" w:hAnsi="宋体"/>
          <w:b/>
          <w:sz w:val="24"/>
          <w:szCs w:val="24"/>
          <w:highlight w:val="none"/>
        </w:rPr>
      </w:pPr>
      <w:r>
        <w:rPr>
          <w:rFonts w:hint="eastAsia" w:ascii="宋体" w:hAnsi="宋体"/>
          <w:b/>
          <w:sz w:val="24"/>
          <w:szCs w:val="24"/>
          <w:highlight w:val="none"/>
        </w:rPr>
        <w:t>9</w:t>
      </w:r>
      <w:r>
        <w:rPr>
          <w:rFonts w:ascii="宋体" w:hAnsi="宋体"/>
          <w:b/>
          <w:sz w:val="24"/>
          <w:szCs w:val="24"/>
          <w:highlight w:val="none"/>
        </w:rPr>
        <w:t>.投标语言</w:t>
      </w:r>
      <w:r>
        <w:rPr>
          <w:rFonts w:hint="eastAsia" w:ascii="宋体" w:hAnsi="宋体"/>
          <w:b/>
          <w:sz w:val="24"/>
          <w:szCs w:val="24"/>
          <w:highlight w:val="none"/>
        </w:rPr>
        <w:t>、</w:t>
      </w:r>
      <w:r>
        <w:rPr>
          <w:rFonts w:ascii="宋体" w:hAnsi="宋体"/>
          <w:b/>
          <w:sz w:val="24"/>
          <w:szCs w:val="24"/>
          <w:highlight w:val="none"/>
        </w:rPr>
        <w:t>投标货币</w:t>
      </w:r>
      <w:r>
        <w:rPr>
          <w:rFonts w:hint="eastAsia" w:ascii="宋体" w:hAnsi="宋体"/>
          <w:b/>
          <w:sz w:val="24"/>
          <w:szCs w:val="24"/>
          <w:highlight w:val="none"/>
        </w:rPr>
        <w:t>和计量单位</w:t>
      </w:r>
    </w:p>
    <w:p w14:paraId="2E6BEFF7">
      <w:pPr>
        <w:spacing w:line="500" w:lineRule="exact"/>
        <w:ind w:firstLine="480" w:firstLineChars="200"/>
        <w:rPr>
          <w:rFonts w:ascii="宋体" w:hAnsi="宋体"/>
          <w:b/>
          <w:sz w:val="24"/>
          <w:szCs w:val="24"/>
          <w:highlight w:val="none"/>
        </w:rPr>
      </w:pPr>
      <w:r>
        <w:rPr>
          <w:rFonts w:hint="eastAsia" w:ascii="宋体" w:hAnsi="宋体"/>
          <w:sz w:val="24"/>
          <w:szCs w:val="24"/>
          <w:highlight w:val="none"/>
        </w:rPr>
        <w:t>9</w:t>
      </w:r>
      <w:r>
        <w:rPr>
          <w:rFonts w:ascii="宋体" w:hAnsi="宋体"/>
          <w:sz w:val="24"/>
          <w:szCs w:val="24"/>
          <w:highlight w:val="none"/>
        </w:rPr>
        <w:t>.1投标人提交的投标文件以及投标人与采购代理机构就有关投标的所有</w:t>
      </w:r>
      <w:r>
        <w:rPr>
          <w:rFonts w:hint="eastAsia" w:ascii="宋体" w:hAnsi="宋体"/>
          <w:sz w:val="24"/>
          <w:szCs w:val="24"/>
          <w:highlight w:val="none"/>
        </w:rPr>
        <w:t>文件、资料、</w:t>
      </w:r>
      <w:r>
        <w:rPr>
          <w:rFonts w:ascii="宋体" w:hAnsi="宋体"/>
          <w:sz w:val="24"/>
          <w:szCs w:val="24"/>
          <w:highlight w:val="none"/>
        </w:rPr>
        <w:t>来往函电均应使用</w:t>
      </w:r>
      <w:r>
        <w:rPr>
          <w:rFonts w:hint="eastAsia" w:ascii="宋体" w:hAnsi="宋体"/>
          <w:sz w:val="24"/>
          <w:szCs w:val="24"/>
          <w:highlight w:val="none"/>
        </w:rPr>
        <w:t>简体</w:t>
      </w:r>
      <w:r>
        <w:rPr>
          <w:rFonts w:ascii="宋体" w:hAnsi="宋体"/>
          <w:sz w:val="24"/>
          <w:szCs w:val="24"/>
          <w:highlight w:val="none"/>
        </w:rPr>
        <w:t>中文</w:t>
      </w:r>
      <w:r>
        <w:rPr>
          <w:rFonts w:hint="eastAsia" w:ascii="宋体" w:hAnsi="宋体"/>
          <w:sz w:val="24"/>
          <w:szCs w:val="24"/>
          <w:highlight w:val="none"/>
        </w:rPr>
        <w:t>。对不同文字文本投标文件（包括产品样本、彩页、说明书等）的解释发生异议的，以中文文本为准。</w:t>
      </w:r>
    </w:p>
    <w:p w14:paraId="0C7EE500">
      <w:pPr>
        <w:spacing w:line="500" w:lineRule="exact"/>
        <w:ind w:firstLine="480" w:firstLineChars="200"/>
        <w:rPr>
          <w:rFonts w:ascii="宋体" w:hAnsi="宋体"/>
          <w:sz w:val="24"/>
          <w:szCs w:val="24"/>
          <w:highlight w:val="none"/>
        </w:rPr>
      </w:pPr>
      <w:r>
        <w:rPr>
          <w:rFonts w:hint="eastAsia" w:ascii="宋体" w:hAnsi="宋体"/>
          <w:sz w:val="24"/>
          <w:szCs w:val="24"/>
          <w:highlight w:val="none"/>
        </w:rPr>
        <w:t>9</w:t>
      </w:r>
      <w:r>
        <w:rPr>
          <w:rFonts w:ascii="宋体" w:hAnsi="宋体"/>
          <w:sz w:val="24"/>
          <w:szCs w:val="24"/>
          <w:highlight w:val="none"/>
        </w:rPr>
        <w:t>.2投标应以人民币报价。任何包含非人民币报价的投标</w:t>
      </w:r>
      <w:r>
        <w:rPr>
          <w:rFonts w:hint="eastAsia" w:ascii="宋体" w:hAnsi="宋体"/>
          <w:sz w:val="24"/>
          <w:szCs w:val="24"/>
          <w:highlight w:val="none"/>
        </w:rPr>
        <w:t>均按照无效投标处理</w:t>
      </w:r>
      <w:r>
        <w:rPr>
          <w:rFonts w:ascii="宋体" w:hAnsi="宋体"/>
          <w:sz w:val="24"/>
          <w:szCs w:val="24"/>
          <w:highlight w:val="none"/>
        </w:rPr>
        <w:t>。</w:t>
      </w:r>
    </w:p>
    <w:p w14:paraId="05797154">
      <w:pPr>
        <w:spacing w:line="500" w:lineRule="exact"/>
        <w:ind w:firstLine="480" w:firstLineChars="200"/>
        <w:rPr>
          <w:rFonts w:ascii="宋体" w:hAnsi="宋体"/>
          <w:sz w:val="24"/>
          <w:szCs w:val="24"/>
          <w:highlight w:val="none"/>
        </w:rPr>
      </w:pPr>
      <w:r>
        <w:rPr>
          <w:rFonts w:hint="eastAsia" w:ascii="宋体" w:hAnsi="宋体"/>
          <w:sz w:val="24"/>
          <w:szCs w:val="24"/>
          <w:highlight w:val="none"/>
        </w:rPr>
        <w:t>9.3</w:t>
      </w:r>
      <w:r>
        <w:rPr>
          <w:rFonts w:ascii="宋体" w:hAnsi="宋体"/>
          <w:sz w:val="24"/>
          <w:szCs w:val="24"/>
          <w:highlight w:val="none"/>
        </w:rPr>
        <w:t>计量单位</w:t>
      </w:r>
    </w:p>
    <w:p w14:paraId="1D60A95B">
      <w:pPr>
        <w:spacing w:line="500" w:lineRule="exact"/>
        <w:ind w:firstLine="480" w:firstLineChars="200"/>
        <w:rPr>
          <w:highlight w:val="none"/>
        </w:rPr>
      </w:pPr>
      <w:r>
        <w:rPr>
          <w:rFonts w:hint="eastAsia" w:ascii="宋体" w:hAnsi="宋体"/>
          <w:sz w:val="24"/>
          <w:szCs w:val="24"/>
          <w:highlight w:val="none"/>
        </w:rPr>
        <w:t>投标文件的计量单位应使用中华人民共和国法定计量单位，但招标文件另有规定的除外。</w:t>
      </w:r>
    </w:p>
    <w:p w14:paraId="55BC79F3">
      <w:pPr>
        <w:spacing w:line="500" w:lineRule="exact"/>
        <w:rPr>
          <w:rFonts w:ascii="宋体" w:hAnsi="宋体"/>
          <w:b/>
          <w:sz w:val="24"/>
          <w:szCs w:val="24"/>
          <w:highlight w:val="none"/>
        </w:rPr>
      </w:pPr>
      <w:r>
        <w:rPr>
          <w:rFonts w:hint="eastAsia" w:ascii="宋体" w:hAnsi="宋体"/>
          <w:b/>
          <w:sz w:val="24"/>
          <w:szCs w:val="24"/>
          <w:highlight w:val="none"/>
        </w:rPr>
        <w:t>10</w:t>
      </w:r>
      <w:r>
        <w:rPr>
          <w:rFonts w:ascii="宋体" w:hAnsi="宋体"/>
          <w:b/>
          <w:sz w:val="24"/>
          <w:szCs w:val="24"/>
          <w:highlight w:val="none"/>
        </w:rPr>
        <w:t>.投标文件格式</w:t>
      </w:r>
    </w:p>
    <w:p w14:paraId="478CB603">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.1 投标人应按照招标文件中“投标文件格式”所提供的格式和要求制作投标文件，明确表达投标意愿，详细说明投标方案</w:t>
      </w:r>
      <w:r>
        <w:rPr>
          <w:rFonts w:hint="eastAsia" w:ascii="宋体" w:hAnsi="宋体"/>
          <w:sz w:val="24"/>
          <w:szCs w:val="24"/>
          <w:highlight w:val="none"/>
        </w:rPr>
        <w:t>和投标</w:t>
      </w:r>
      <w:r>
        <w:rPr>
          <w:rFonts w:ascii="宋体" w:hAnsi="宋体"/>
          <w:sz w:val="24"/>
          <w:szCs w:val="24"/>
          <w:highlight w:val="none"/>
        </w:rPr>
        <w:t>价格。</w:t>
      </w:r>
      <w:r>
        <w:rPr>
          <w:rFonts w:hint="eastAsia" w:ascii="宋体" w:hAnsi="宋体"/>
          <w:sz w:val="24"/>
          <w:szCs w:val="24"/>
          <w:highlight w:val="none"/>
        </w:rPr>
        <w:t>若</w:t>
      </w:r>
      <w:r>
        <w:rPr>
          <w:rFonts w:ascii="宋体" w:hAnsi="宋体"/>
          <w:sz w:val="24"/>
          <w:szCs w:val="24"/>
          <w:highlight w:val="none"/>
        </w:rPr>
        <w:t>项目分标段</w:t>
      </w:r>
      <w:r>
        <w:rPr>
          <w:rFonts w:hint="eastAsia" w:ascii="宋体" w:hAnsi="宋体"/>
          <w:sz w:val="24"/>
          <w:szCs w:val="24"/>
          <w:highlight w:val="none"/>
        </w:rPr>
        <w:t>/包</w:t>
      </w:r>
      <w:r>
        <w:rPr>
          <w:rFonts w:ascii="宋体" w:hAnsi="宋体"/>
          <w:sz w:val="24"/>
          <w:szCs w:val="24"/>
          <w:highlight w:val="none"/>
        </w:rPr>
        <w:t>的，应按所投标段</w:t>
      </w:r>
      <w:r>
        <w:rPr>
          <w:rFonts w:hint="eastAsia" w:ascii="宋体" w:hAnsi="宋体"/>
          <w:sz w:val="24"/>
          <w:szCs w:val="24"/>
          <w:highlight w:val="none"/>
        </w:rPr>
        <w:t>/包</w:t>
      </w:r>
      <w:r>
        <w:rPr>
          <w:rFonts w:ascii="宋体" w:hAnsi="宋体"/>
          <w:sz w:val="24"/>
          <w:szCs w:val="24"/>
          <w:highlight w:val="none"/>
        </w:rPr>
        <w:t>分别准备投标文件</w:t>
      </w:r>
      <w:r>
        <w:rPr>
          <w:rFonts w:hint="eastAsia" w:ascii="宋体" w:hAnsi="宋体"/>
          <w:sz w:val="24"/>
          <w:szCs w:val="24"/>
          <w:highlight w:val="none"/>
        </w:rPr>
        <w:t>。</w:t>
      </w:r>
    </w:p>
    <w:p w14:paraId="700F7B6C">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.2 投标人应完整地提供招标文件要求的所有数据和资料。</w:t>
      </w:r>
    </w:p>
    <w:p w14:paraId="78450A72">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1</w:t>
      </w:r>
      <w:r>
        <w:rPr>
          <w:rFonts w:ascii="宋体" w:hAnsi="宋体"/>
          <w:b/>
          <w:sz w:val="24"/>
          <w:szCs w:val="24"/>
          <w:highlight w:val="none"/>
        </w:rPr>
        <w:t>.投标报价</w:t>
      </w:r>
      <w:r>
        <w:rPr>
          <w:rFonts w:hint="eastAsia" w:ascii="宋体" w:hAnsi="宋体"/>
          <w:b/>
          <w:sz w:val="24"/>
          <w:szCs w:val="24"/>
          <w:highlight w:val="none"/>
        </w:rPr>
        <w:t>和投标方案要求</w:t>
      </w:r>
    </w:p>
    <w:p w14:paraId="33A8BD5F">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投标人应按照“投标人须知前附表”中的规定和要求报价，任何不符合报价要求的投标将按照无效投标处理。</w:t>
      </w:r>
    </w:p>
    <w:p w14:paraId="68FB68D0">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.2</w:t>
      </w:r>
      <w:r>
        <w:rPr>
          <w:rFonts w:hint="eastAsia" w:ascii="宋体" w:hAnsi="宋体"/>
          <w:sz w:val="24"/>
          <w:szCs w:val="24"/>
          <w:highlight w:val="none"/>
        </w:rPr>
        <w:t>投标人应按照</w:t>
      </w:r>
      <w:r>
        <w:rPr>
          <w:rFonts w:ascii="宋体" w:hAnsi="宋体"/>
          <w:sz w:val="24"/>
          <w:szCs w:val="24"/>
          <w:highlight w:val="none"/>
        </w:rPr>
        <w:t>投标报价表</w:t>
      </w:r>
      <w:r>
        <w:rPr>
          <w:rFonts w:hint="eastAsia" w:ascii="宋体" w:hAnsi="宋体"/>
          <w:sz w:val="24"/>
          <w:szCs w:val="24"/>
          <w:highlight w:val="none"/>
        </w:rPr>
        <w:t>的内容</w:t>
      </w:r>
      <w:r>
        <w:rPr>
          <w:rFonts w:ascii="宋体" w:hAnsi="宋体"/>
          <w:sz w:val="24"/>
          <w:szCs w:val="24"/>
          <w:highlight w:val="none"/>
        </w:rPr>
        <w:t>标明投标的所有单项价格和总价。投标报价表中标明的价格应为履行合同的固定价格，不得以任何理由予以变更。任何有选择</w:t>
      </w:r>
      <w:r>
        <w:rPr>
          <w:rFonts w:hint="eastAsia" w:ascii="宋体" w:hAnsi="宋体"/>
          <w:sz w:val="24"/>
          <w:szCs w:val="24"/>
          <w:highlight w:val="none"/>
        </w:rPr>
        <w:t>的</w:t>
      </w:r>
      <w:r>
        <w:rPr>
          <w:rFonts w:ascii="宋体" w:hAnsi="宋体"/>
          <w:sz w:val="24"/>
          <w:szCs w:val="24"/>
          <w:highlight w:val="none"/>
        </w:rPr>
        <w:t>报价</w:t>
      </w:r>
      <w:r>
        <w:rPr>
          <w:rFonts w:hint="eastAsia" w:ascii="宋体" w:hAnsi="宋体"/>
          <w:sz w:val="24"/>
          <w:szCs w:val="24"/>
          <w:highlight w:val="none"/>
        </w:rPr>
        <w:t>及</w:t>
      </w:r>
      <w:r>
        <w:rPr>
          <w:rFonts w:ascii="宋体" w:hAnsi="宋体"/>
          <w:sz w:val="24"/>
          <w:szCs w:val="24"/>
          <w:highlight w:val="none"/>
        </w:rPr>
        <w:t>以可调整价格提交的投标</w:t>
      </w:r>
      <w:r>
        <w:rPr>
          <w:rFonts w:hint="eastAsia" w:ascii="宋体" w:hAnsi="宋体"/>
          <w:sz w:val="24"/>
          <w:szCs w:val="24"/>
          <w:highlight w:val="none"/>
        </w:rPr>
        <w:t>均按照无效投标处理</w:t>
      </w:r>
      <w:r>
        <w:rPr>
          <w:rFonts w:ascii="宋体" w:hAnsi="宋体"/>
          <w:sz w:val="24"/>
          <w:szCs w:val="24"/>
          <w:highlight w:val="none"/>
        </w:rPr>
        <w:t>。</w:t>
      </w:r>
    </w:p>
    <w:p w14:paraId="751AD557">
      <w:pPr>
        <w:spacing w:line="500" w:lineRule="exact"/>
        <w:ind w:firstLine="480" w:firstLineChars="200"/>
        <w:rPr>
          <w:rFonts w:ascii="宋体" w:hAnsi="宋体"/>
          <w:sz w:val="24"/>
          <w:szCs w:val="24"/>
          <w:highlight w:val="none"/>
        </w:rPr>
      </w:pPr>
      <w:r>
        <w:rPr>
          <w:rFonts w:hint="eastAsia" w:ascii="宋体" w:hAnsi="宋体"/>
          <w:sz w:val="24"/>
          <w:szCs w:val="24"/>
          <w:highlight w:val="none"/>
        </w:rPr>
        <w:t>11</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 xml:space="preserve"> 如果在招标文件中</w:t>
      </w:r>
      <w:r>
        <w:rPr>
          <w:rFonts w:hint="eastAsia" w:ascii="宋体" w:hAnsi="宋体"/>
          <w:sz w:val="24"/>
          <w:szCs w:val="24"/>
          <w:highlight w:val="none"/>
        </w:rPr>
        <w:t>没有</w:t>
      </w:r>
      <w:r>
        <w:rPr>
          <w:rFonts w:ascii="宋体" w:hAnsi="宋体"/>
          <w:sz w:val="24"/>
          <w:szCs w:val="24"/>
          <w:highlight w:val="none"/>
        </w:rPr>
        <w:t>允许提供备选方案，则每个投标人只允许提交一个投标方案，否则，其投标</w:t>
      </w:r>
      <w:r>
        <w:rPr>
          <w:rFonts w:hint="eastAsia" w:ascii="宋体" w:hAnsi="宋体"/>
          <w:sz w:val="24"/>
          <w:szCs w:val="24"/>
          <w:highlight w:val="none"/>
        </w:rPr>
        <w:t>按照无效投标处理</w:t>
      </w:r>
      <w:r>
        <w:rPr>
          <w:rFonts w:ascii="宋体" w:hAnsi="宋体"/>
          <w:sz w:val="24"/>
          <w:szCs w:val="24"/>
          <w:highlight w:val="none"/>
        </w:rPr>
        <w:t>。</w:t>
      </w:r>
      <w:r>
        <w:rPr>
          <w:rFonts w:hint="eastAsia" w:ascii="宋体" w:hAnsi="宋体"/>
          <w:sz w:val="24"/>
          <w:szCs w:val="24"/>
          <w:highlight w:val="none"/>
        </w:rPr>
        <w:t>如果允许提供备选方案，则按照评标方法中的规定对备选方案进行评审。</w:t>
      </w:r>
    </w:p>
    <w:p w14:paraId="7E809AE0">
      <w:pPr>
        <w:spacing w:line="500" w:lineRule="exact"/>
        <w:ind w:firstLine="480" w:firstLineChars="200"/>
        <w:rPr>
          <w:rFonts w:ascii="宋体" w:hAnsi="宋体"/>
          <w:sz w:val="24"/>
          <w:szCs w:val="24"/>
          <w:highlight w:val="none"/>
        </w:rPr>
      </w:pPr>
      <w:r>
        <w:rPr>
          <w:rFonts w:hint="eastAsia" w:ascii="宋体" w:hAnsi="宋体"/>
          <w:sz w:val="24"/>
          <w:szCs w:val="24"/>
          <w:highlight w:val="none"/>
        </w:rPr>
        <w:t>11.4本次投标的最小单元见“投标人须知前附表”中的规定，投标人可对任一最小单元进行投标，但不能对最小单元中的部分内容或者分项内容进行不完全投标。任何不完全的投标将按照无效投标处理。</w:t>
      </w:r>
    </w:p>
    <w:p w14:paraId="14063B48">
      <w:pPr>
        <w:spacing w:line="500" w:lineRule="exact"/>
        <w:rPr>
          <w:rFonts w:ascii="宋体" w:hAnsi="宋体"/>
          <w:b/>
          <w:sz w:val="24"/>
          <w:szCs w:val="24"/>
          <w:highlight w:val="none"/>
        </w:rPr>
      </w:pPr>
      <w:r>
        <w:rPr>
          <w:rFonts w:hint="eastAsia" w:ascii="宋体" w:hAnsi="宋体"/>
          <w:b/>
          <w:sz w:val="24"/>
          <w:szCs w:val="24"/>
          <w:highlight w:val="none"/>
        </w:rPr>
        <w:t>12</w:t>
      </w:r>
      <w:r>
        <w:rPr>
          <w:rFonts w:ascii="宋体" w:hAnsi="宋体"/>
          <w:b/>
          <w:sz w:val="24"/>
          <w:szCs w:val="24"/>
          <w:highlight w:val="none"/>
        </w:rPr>
        <w:t>.投标文件的构成</w:t>
      </w:r>
    </w:p>
    <w:p w14:paraId="5D403A1B">
      <w:pPr>
        <w:spacing w:line="500" w:lineRule="exact"/>
        <w:ind w:firstLine="360" w:firstLineChars="150"/>
        <w:rPr>
          <w:rFonts w:ascii="宋体" w:hAnsi="宋体"/>
          <w:sz w:val="24"/>
          <w:szCs w:val="24"/>
          <w:highlight w:val="none"/>
        </w:rPr>
      </w:pPr>
      <w:r>
        <w:rPr>
          <w:rFonts w:ascii="宋体" w:hAnsi="宋体"/>
          <w:sz w:val="24"/>
          <w:szCs w:val="24"/>
          <w:highlight w:val="none"/>
        </w:rPr>
        <w:t xml:space="preserve"> 投标人提交的投标文件应包括下列内容：</w:t>
      </w:r>
    </w:p>
    <w:p w14:paraId="2CC76E08">
      <w:pPr>
        <w:spacing w:line="500" w:lineRule="exact"/>
        <w:ind w:firstLine="480" w:firstLineChars="200"/>
        <w:rPr>
          <w:rFonts w:ascii="宋体" w:hAnsi="宋体"/>
          <w:sz w:val="24"/>
          <w:szCs w:val="24"/>
          <w:highlight w:val="none"/>
        </w:rPr>
      </w:pPr>
      <w:r>
        <w:rPr>
          <w:rFonts w:hint="eastAsia" w:ascii="宋体" w:hAnsi="宋体"/>
          <w:sz w:val="24"/>
          <w:szCs w:val="24"/>
          <w:highlight w:val="none"/>
        </w:rPr>
        <w:t>12.1</w:t>
      </w:r>
      <w:r>
        <w:rPr>
          <w:rFonts w:ascii="宋体" w:hAnsi="宋体"/>
          <w:sz w:val="24"/>
          <w:szCs w:val="24"/>
          <w:highlight w:val="none"/>
        </w:rPr>
        <w:t>按照投标人须知的要求和投标文件规定格式填写的投标书、投标报价表；按要求格式出具的</w:t>
      </w:r>
      <w:r>
        <w:rPr>
          <w:rFonts w:hint="eastAsia" w:ascii="宋体" w:hAnsi="宋体"/>
          <w:sz w:val="24"/>
          <w:szCs w:val="24"/>
          <w:highlight w:val="none"/>
        </w:rPr>
        <w:t>法定代表人身份证明及</w:t>
      </w:r>
      <w:r>
        <w:rPr>
          <w:rFonts w:ascii="宋体" w:hAnsi="宋体"/>
          <w:sz w:val="24"/>
          <w:szCs w:val="24"/>
          <w:highlight w:val="none"/>
        </w:rPr>
        <w:t>法</w:t>
      </w:r>
      <w:r>
        <w:rPr>
          <w:rFonts w:hint="eastAsia" w:ascii="宋体" w:hAnsi="宋体"/>
          <w:sz w:val="24"/>
          <w:szCs w:val="24"/>
          <w:highlight w:val="none"/>
        </w:rPr>
        <w:t>定</w:t>
      </w:r>
      <w:r>
        <w:rPr>
          <w:rFonts w:ascii="宋体" w:hAnsi="宋体"/>
          <w:sz w:val="24"/>
          <w:szCs w:val="24"/>
          <w:highlight w:val="none"/>
        </w:rPr>
        <w:t>代表</w:t>
      </w:r>
      <w:r>
        <w:rPr>
          <w:rFonts w:hint="eastAsia" w:ascii="宋体" w:hAnsi="宋体"/>
          <w:sz w:val="24"/>
          <w:szCs w:val="24"/>
          <w:highlight w:val="none"/>
        </w:rPr>
        <w:t>人</w:t>
      </w:r>
      <w:r>
        <w:rPr>
          <w:rFonts w:ascii="宋体" w:hAnsi="宋体"/>
          <w:sz w:val="24"/>
          <w:szCs w:val="24"/>
          <w:highlight w:val="none"/>
        </w:rPr>
        <w:t>授权书。</w:t>
      </w:r>
    </w:p>
    <w:p w14:paraId="316CFEAA">
      <w:pPr>
        <w:spacing w:line="500" w:lineRule="exact"/>
        <w:ind w:firstLine="480" w:firstLineChars="200"/>
        <w:rPr>
          <w:rFonts w:ascii="宋体" w:hAnsi="宋体"/>
          <w:sz w:val="24"/>
          <w:szCs w:val="24"/>
          <w:highlight w:val="none"/>
        </w:rPr>
      </w:pPr>
      <w:r>
        <w:rPr>
          <w:rFonts w:hint="eastAsia" w:ascii="宋体" w:hAnsi="宋体"/>
          <w:sz w:val="24"/>
          <w:szCs w:val="24"/>
          <w:highlight w:val="none"/>
        </w:rPr>
        <w:t>12.2</w:t>
      </w:r>
      <w:r>
        <w:rPr>
          <w:rFonts w:ascii="宋体" w:hAnsi="宋体"/>
          <w:sz w:val="24"/>
          <w:szCs w:val="24"/>
          <w:highlight w:val="none"/>
        </w:rPr>
        <w:t>按照招标文件要求提交的资</w:t>
      </w:r>
      <w:r>
        <w:rPr>
          <w:rFonts w:hint="eastAsia" w:ascii="宋体" w:hAnsi="宋体"/>
          <w:sz w:val="24"/>
          <w:szCs w:val="24"/>
          <w:highlight w:val="none"/>
        </w:rPr>
        <w:t>格</w:t>
      </w:r>
      <w:r>
        <w:rPr>
          <w:rFonts w:ascii="宋体" w:hAnsi="宋体"/>
          <w:sz w:val="24"/>
          <w:szCs w:val="24"/>
          <w:highlight w:val="none"/>
        </w:rPr>
        <w:t>证明文件</w:t>
      </w:r>
      <w:r>
        <w:rPr>
          <w:rFonts w:hint="eastAsia" w:ascii="宋体" w:hAnsi="宋体"/>
          <w:sz w:val="24"/>
          <w:szCs w:val="24"/>
          <w:highlight w:val="none"/>
        </w:rPr>
        <w:t>（详见“</w:t>
      </w:r>
      <w:r>
        <w:rPr>
          <w:rFonts w:ascii="宋体" w:hAnsi="宋体"/>
          <w:sz w:val="24"/>
          <w:szCs w:val="24"/>
          <w:highlight w:val="none"/>
        </w:rPr>
        <w:t>投标人须知前附表</w:t>
      </w:r>
      <w:r>
        <w:rPr>
          <w:rFonts w:hint="eastAsia" w:ascii="宋体" w:hAnsi="宋体"/>
          <w:sz w:val="24"/>
          <w:szCs w:val="24"/>
          <w:highlight w:val="none"/>
        </w:rPr>
        <w:t>”）。</w:t>
      </w:r>
    </w:p>
    <w:p w14:paraId="1D7159FE">
      <w:pPr>
        <w:spacing w:line="500" w:lineRule="exact"/>
        <w:ind w:left="479" w:leftChars="228"/>
        <w:rPr>
          <w:rFonts w:ascii="宋体" w:hAnsi="宋体"/>
          <w:sz w:val="24"/>
          <w:szCs w:val="24"/>
          <w:highlight w:val="none"/>
        </w:rPr>
      </w:pPr>
      <w:r>
        <w:rPr>
          <w:rFonts w:hint="eastAsia" w:ascii="宋体" w:hAnsi="宋体"/>
          <w:sz w:val="24"/>
          <w:szCs w:val="24"/>
          <w:highlight w:val="none"/>
        </w:rPr>
        <w:t>12.3按照招标文件要求提交的商务响应证明文件（详见“</w:t>
      </w:r>
      <w:r>
        <w:rPr>
          <w:rFonts w:ascii="宋体" w:hAnsi="宋体"/>
          <w:sz w:val="24"/>
          <w:szCs w:val="24"/>
          <w:highlight w:val="none"/>
        </w:rPr>
        <w:t>投标人须知前附表</w:t>
      </w:r>
      <w:r>
        <w:rPr>
          <w:rFonts w:hint="eastAsia" w:ascii="宋体" w:hAnsi="宋体"/>
          <w:sz w:val="24"/>
          <w:szCs w:val="24"/>
          <w:highlight w:val="none"/>
        </w:rPr>
        <w:t>”）。</w:t>
      </w:r>
    </w:p>
    <w:p w14:paraId="400CEE60">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w:t>
      </w:r>
      <w:r>
        <w:rPr>
          <w:rFonts w:ascii="宋体" w:hAnsi="宋体"/>
          <w:sz w:val="24"/>
          <w:szCs w:val="24"/>
          <w:highlight w:val="none"/>
        </w:rPr>
        <w:t>按照招标文件的要求编制的投标方案说明书，内容应包括</w:t>
      </w:r>
      <w:r>
        <w:rPr>
          <w:rFonts w:hint="eastAsia" w:ascii="宋体" w:hAnsi="宋体"/>
          <w:sz w:val="24"/>
          <w:szCs w:val="24"/>
          <w:highlight w:val="none"/>
        </w:rPr>
        <w:t>货物</w:t>
      </w:r>
      <w:r>
        <w:rPr>
          <w:rFonts w:ascii="宋体" w:hAnsi="宋体"/>
          <w:sz w:val="24"/>
          <w:szCs w:val="24"/>
          <w:highlight w:val="none"/>
        </w:rPr>
        <w:t>和服务的详细说明、技术规格响应表、配置说明、供货一览表、彩色样本、使用说明书，质量保证和售后服务承诺等。</w:t>
      </w:r>
    </w:p>
    <w:p w14:paraId="2D0FD523">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12.4.1</w:t>
      </w:r>
      <w:r>
        <w:rPr>
          <w:rFonts w:ascii="宋体" w:hAnsi="宋体"/>
          <w:sz w:val="24"/>
          <w:szCs w:val="24"/>
          <w:highlight w:val="none"/>
        </w:rPr>
        <w:t>投标人应在投标文件中提交货物满足招标文件要求并符合国家法律法规、行业管理部门要求的其他强制性标准的证明</w:t>
      </w:r>
      <w:r>
        <w:rPr>
          <w:rFonts w:hint="eastAsia" w:ascii="宋体" w:hAnsi="宋体"/>
          <w:sz w:val="24"/>
          <w:szCs w:val="24"/>
          <w:highlight w:val="none"/>
        </w:rPr>
        <w:t>及</w:t>
      </w:r>
      <w:r>
        <w:rPr>
          <w:rFonts w:ascii="宋体" w:hAnsi="宋体"/>
          <w:sz w:val="24"/>
          <w:szCs w:val="24"/>
          <w:highlight w:val="none"/>
        </w:rPr>
        <w:t>文件。缺少上述证明</w:t>
      </w:r>
      <w:r>
        <w:rPr>
          <w:rFonts w:hint="eastAsia" w:ascii="宋体" w:hAnsi="宋体"/>
          <w:sz w:val="24"/>
          <w:szCs w:val="24"/>
          <w:highlight w:val="none"/>
        </w:rPr>
        <w:t>及</w:t>
      </w:r>
      <w:r>
        <w:rPr>
          <w:rFonts w:ascii="宋体" w:hAnsi="宋体"/>
          <w:sz w:val="24"/>
          <w:szCs w:val="24"/>
          <w:highlight w:val="none"/>
        </w:rPr>
        <w:t>文件或证明及文件不合格的投标，与招标文件要求有重大偏离的投标，不符合国家法律法规、行业管理部门要求的其他强制性标准的投标将</w:t>
      </w:r>
      <w:r>
        <w:rPr>
          <w:rFonts w:hint="eastAsia" w:ascii="宋体" w:hAnsi="宋体"/>
          <w:sz w:val="24"/>
          <w:szCs w:val="24"/>
          <w:highlight w:val="none"/>
        </w:rPr>
        <w:t>按照无效投标处理</w:t>
      </w:r>
      <w:r>
        <w:rPr>
          <w:rFonts w:ascii="宋体" w:hAnsi="宋体"/>
          <w:sz w:val="24"/>
          <w:szCs w:val="24"/>
          <w:highlight w:val="none"/>
        </w:rPr>
        <w:t>。</w:t>
      </w:r>
    </w:p>
    <w:p w14:paraId="4F108AD8">
      <w:pPr>
        <w:spacing w:line="500" w:lineRule="exact"/>
        <w:ind w:left="2" w:firstLine="477" w:firstLineChars="199"/>
        <w:rPr>
          <w:rFonts w:ascii="宋体" w:hAnsi="宋体"/>
          <w:sz w:val="24"/>
          <w:szCs w:val="24"/>
          <w:highlight w:val="none"/>
        </w:rPr>
      </w:pPr>
      <w:r>
        <w:rPr>
          <w:rFonts w:hint="eastAsia" w:ascii="宋体" w:hAnsi="宋体"/>
          <w:sz w:val="24"/>
          <w:szCs w:val="24"/>
          <w:highlight w:val="none"/>
        </w:rPr>
        <w:t>12.4.2</w:t>
      </w:r>
      <w:r>
        <w:rPr>
          <w:rFonts w:ascii="宋体" w:hAnsi="宋体"/>
          <w:sz w:val="24"/>
          <w:szCs w:val="24"/>
          <w:highlight w:val="none"/>
        </w:rPr>
        <w:t>上述证明可以是文字资料、图纸、图片和数据，</w:t>
      </w:r>
      <w:r>
        <w:rPr>
          <w:rFonts w:hint="eastAsia" w:ascii="宋体" w:hAnsi="宋体"/>
          <w:sz w:val="24"/>
          <w:szCs w:val="24"/>
          <w:highlight w:val="none"/>
        </w:rPr>
        <w:t>也可以是实物，</w:t>
      </w:r>
      <w:r>
        <w:rPr>
          <w:rFonts w:ascii="宋体" w:hAnsi="宋体"/>
          <w:sz w:val="24"/>
          <w:szCs w:val="24"/>
          <w:highlight w:val="none"/>
        </w:rPr>
        <w:t>它包括：</w:t>
      </w:r>
    </w:p>
    <w:p w14:paraId="524EE506">
      <w:pPr>
        <w:spacing w:line="500" w:lineRule="exact"/>
        <w:ind w:left="959" w:leftChars="228" w:hanging="480" w:hangingChars="200"/>
        <w:rPr>
          <w:rFonts w:ascii="宋体" w:hAnsi="宋体"/>
          <w:sz w:val="24"/>
          <w:szCs w:val="24"/>
          <w:highlight w:val="none"/>
        </w:rPr>
      </w:pPr>
      <w:r>
        <w:rPr>
          <w:rFonts w:ascii="宋体" w:hAnsi="宋体"/>
          <w:sz w:val="24"/>
          <w:szCs w:val="24"/>
          <w:highlight w:val="none"/>
        </w:rPr>
        <w:t xml:space="preserve">1) </w:t>
      </w:r>
      <w:r>
        <w:rPr>
          <w:rFonts w:hint="eastAsia" w:ascii="宋体" w:hAnsi="宋体"/>
          <w:sz w:val="24"/>
          <w:szCs w:val="24"/>
          <w:highlight w:val="none"/>
        </w:rPr>
        <w:t>本次采购特别要求的货物及服务合格性证明文件；</w:t>
      </w:r>
    </w:p>
    <w:p w14:paraId="606B7331">
      <w:pPr>
        <w:spacing w:line="500" w:lineRule="exact"/>
        <w:ind w:left="1319" w:leftChars="228" w:hanging="840" w:hangingChars="350"/>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货物主要技术指标和性能</w:t>
      </w:r>
      <w:r>
        <w:rPr>
          <w:rFonts w:hint="eastAsia" w:ascii="宋体" w:hAnsi="宋体"/>
          <w:sz w:val="24"/>
          <w:szCs w:val="24"/>
          <w:highlight w:val="none"/>
        </w:rPr>
        <w:t>、配置、</w:t>
      </w:r>
      <w:r>
        <w:rPr>
          <w:rFonts w:ascii="宋体" w:hAnsi="宋体"/>
          <w:sz w:val="24"/>
          <w:szCs w:val="24"/>
          <w:highlight w:val="none"/>
        </w:rPr>
        <w:t>供货范围和服务内容的详细说明；</w:t>
      </w:r>
    </w:p>
    <w:p w14:paraId="014602D1">
      <w:pPr>
        <w:spacing w:line="500" w:lineRule="exact"/>
        <w:ind w:firstLine="480" w:firstLineChars="200"/>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 对招标文件提出的技术要求和商务要求进行应答，说明所提供的货物和服务对招标的技术和商务要求是否做出了实质性响应</w:t>
      </w:r>
      <w:r>
        <w:rPr>
          <w:rFonts w:hint="eastAsia" w:ascii="宋体" w:hAnsi="宋体"/>
          <w:sz w:val="24"/>
          <w:szCs w:val="24"/>
          <w:highlight w:val="none"/>
        </w:rPr>
        <w:t>，</w:t>
      </w:r>
      <w:r>
        <w:rPr>
          <w:rFonts w:ascii="宋体" w:hAnsi="宋体"/>
          <w:sz w:val="24"/>
          <w:szCs w:val="24"/>
          <w:highlight w:val="none"/>
        </w:rPr>
        <w:t>并</w:t>
      </w:r>
      <w:r>
        <w:rPr>
          <w:rFonts w:hint="eastAsia" w:ascii="宋体" w:hAnsi="宋体"/>
          <w:sz w:val="24"/>
          <w:szCs w:val="24"/>
          <w:highlight w:val="none"/>
        </w:rPr>
        <w:t>是否按照招标文件要求</w:t>
      </w:r>
      <w:r>
        <w:rPr>
          <w:rFonts w:ascii="宋体" w:hAnsi="宋体"/>
          <w:sz w:val="24"/>
          <w:szCs w:val="24"/>
          <w:highlight w:val="none"/>
        </w:rPr>
        <w:t>提供</w:t>
      </w:r>
      <w:r>
        <w:rPr>
          <w:rFonts w:hint="eastAsia" w:ascii="宋体" w:hAnsi="宋体"/>
          <w:sz w:val="24"/>
          <w:szCs w:val="24"/>
          <w:highlight w:val="none"/>
        </w:rPr>
        <w:t>相应的</w:t>
      </w:r>
      <w:r>
        <w:rPr>
          <w:rFonts w:ascii="宋体" w:hAnsi="宋体"/>
          <w:sz w:val="24"/>
          <w:szCs w:val="24"/>
          <w:highlight w:val="none"/>
        </w:rPr>
        <w:t>支持文件；</w:t>
      </w:r>
    </w:p>
    <w:p w14:paraId="33562DE0">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w:t>
      </w:r>
      <w:r>
        <w:rPr>
          <w:rFonts w:hint="eastAsia" w:ascii="宋体" w:hAnsi="宋体"/>
          <w:sz w:val="24"/>
          <w:szCs w:val="24"/>
          <w:highlight w:val="none"/>
        </w:rPr>
        <w:t>招标</w:t>
      </w:r>
      <w:r>
        <w:rPr>
          <w:rFonts w:hint="eastAsia" w:ascii="宋体" w:hAnsi="宋体" w:cs="宋体"/>
          <w:sz w:val="24"/>
          <w:szCs w:val="24"/>
          <w:highlight w:val="none"/>
        </w:rPr>
        <w:t>文件规定的其他</w:t>
      </w:r>
      <w:r>
        <w:rPr>
          <w:rFonts w:hint="eastAsia" w:ascii="宋体" w:hAnsi="宋体"/>
          <w:sz w:val="24"/>
          <w:szCs w:val="24"/>
          <w:highlight w:val="none"/>
        </w:rPr>
        <w:t>资料</w:t>
      </w:r>
      <w:r>
        <w:rPr>
          <w:rFonts w:ascii="宋体" w:hAnsi="宋体"/>
          <w:sz w:val="24"/>
          <w:szCs w:val="24"/>
          <w:highlight w:val="none"/>
        </w:rPr>
        <w:t>。</w:t>
      </w:r>
    </w:p>
    <w:p w14:paraId="42DE7120">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3</w:t>
      </w:r>
      <w:r>
        <w:rPr>
          <w:rFonts w:ascii="宋体" w:hAnsi="宋体"/>
          <w:b/>
          <w:sz w:val="24"/>
          <w:szCs w:val="24"/>
          <w:highlight w:val="none"/>
        </w:rPr>
        <w:t>.</w:t>
      </w:r>
      <w:r>
        <w:rPr>
          <w:rFonts w:hint="eastAsia" w:ascii="宋体" w:hAnsi="宋体"/>
          <w:b/>
          <w:sz w:val="24"/>
          <w:szCs w:val="24"/>
          <w:highlight w:val="none"/>
        </w:rPr>
        <w:t>落实节能、环保产品政策</w:t>
      </w:r>
    </w:p>
    <w:p w14:paraId="5C14FFC7">
      <w:pPr>
        <w:spacing w:line="500" w:lineRule="exact"/>
        <w:ind w:firstLine="480" w:firstLineChars="200"/>
        <w:rPr>
          <w:rFonts w:ascii="宋体" w:hAnsi="宋体"/>
          <w:sz w:val="24"/>
          <w:szCs w:val="24"/>
          <w:highlight w:val="none"/>
        </w:rPr>
      </w:pPr>
      <w:bookmarkStart w:id="5" w:name="_Hlk36454160"/>
      <w:r>
        <w:rPr>
          <w:rFonts w:hint="eastAsia" w:ascii="宋体" w:hAnsi="宋体"/>
          <w:sz w:val="24"/>
          <w:szCs w:val="24"/>
          <w:highlight w:val="none"/>
        </w:rPr>
        <w:t xml:space="preserve">按照政府采购政策，投标产品进入“节能产品政府采购品目清单”的；进入“环境标志产品政府采购品目清单”的，提供证明文件。拟采购产品属于节能产品政府采购清单规定必须强制采购；属于优先采购节能产品，环境标志产品的，在评标中给予加分优惠或者价格折扣（详见评标方法）。 </w:t>
      </w:r>
    </w:p>
    <w:bookmarkEnd w:id="5"/>
    <w:p w14:paraId="4B18A619">
      <w:pPr>
        <w:spacing w:line="500" w:lineRule="exact"/>
        <w:rPr>
          <w:rFonts w:ascii="宋体" w:hAnsi="宋体"/>
          <w:sz w:val="24"/>
          <w:szCs w:val="24"/>
          <w:highlight w:val="none"/>
        </w:rPr>
      </w:pPr>
      <w:r>
        <w:rPr>
          <w:rFonts w:hint="eastAsia" w:ascii="宋体" w:hAnsi="宋体"/>
          <w:b/>
          <w:sz w:val="24"/>
          <w:szCs w:val="24"/>
          <w:highlight w:val="none"/>
        </w:rPr>
        <w:t>14.</w:t>
      </w:r>
      <w:r>
        <w:rPr>
          <w:rFonts w:hint="eastAsia" w:ascii="宋体" w:hAnsi="宋体"/>
          <w:sz w:val="24"/>
          <w:szCs w:val="24"/>
          <w:highlight w:val="none"/>
        </w:rPr>
        <w:t xml:space="preserve"> </w:t>
      </w:r>
      <w:r>
        <w:rPr>
          <w:rFonts w:hint="eastAsia" w:ascii="宋体" w:hAnsi="宋体"/>
          <w:b/>
          <w:sz w:val="24"/>
          <w:szCs w:val="24"/>
          <w:highlight w:val="none"/>
        </w:rPr>
        <w:t>落实促进支持小微企业、监狱企业、残疾人企业发展的政策</w:t>
      </w:r>
    </w:p>
    <w:p w14:paraId="5D0B9578">
      <w:pPr>
        <w:spacing w:line="500" w:lineRule="exact"/>
        <w:ind w:firstLine="480" w:firstLineChars="200"/>
        <w:rPr>
          <w:rFonts w:ascii="宋体" w:hAnsi="宋体"/>
          <w:sz w:val="24"/>
          <w:szCs w:val="24"/>
          <w:highlight w:val="none"/>
        </w:rPr>
      </w:pPr>
      <w:r>
        <w:rPr>
          <w:rFonts w:hint="eastAsia" w:ascii="宋体" w:hAnsi="宋体"/>
          <w:sz w:val="24"/>
          <w:szCs w:val="24"/>
          <w:highlight w:val="none"/>
        </w:rPr>
        <w:t>按照政府采购政策，在评标中对于符合文件要求的小微企业制造的产品和服务，给予价格折扣优惠 (详见评标方法)。生产厂商属于（财库</w:t>
      </w:r>
      <w:r>
        <w:rPr>
          <w:rFonts w:hint="eastAsia" w:ascii="宋体" w:hAnsi="宋体" w:cs="宋体"/>
          <w:sz w:val="24"/>
          <w:szCs w:val="24"/>
          <w:highlight w:val="none"/>
        </w:rPr>
        <w:t>〔2020〕</w:t>
      </w:r>
      <w:r>
        <w:rPr>
          <w:rFonts w:hint="eastAsia" w:ascii="宋体" w:hAnsi="宋体"/>
          <w:sz w:val="24"/>
          <w:szCs w:val="24"/>
          <w:highlight w:val="none"/>
        </w:rPr>
        <w:t>46号）文件规定的中小企业的，提供中小企业声明函；生产厂商属于（财库</w:t>
      </w:r>
      <w:r>
        <w:rPr>
          <w:rFonts w:hint="eastAsia" w:ascii="宋体" w:hAnsi="宋体" w:cs="宋体"/>
          <w:sz w:val="24"/>
          <w:szCs w:val="24"/>
          <w:highlight w:val="none"/>
        </w:rPr>
        <w:t>〔2014〕</w:t>
      </w:r>
      <w:r>
        <w:rPr>
          <w:rFonts w:hint="eastAsia" w:ascii="宋体" w:hAnsi="宋体"/>
          <w:sz w:val="24"/>
          <w:szCs w:val="24"/>
          <w:highlight w:val="none"/>
        </w:rPr>
        <w:t>68号）文件规定的监狱企业的，提供由省级以上监狱管理局、</w:t>
      </w:r>
      <w:r>
        <w:rPr>
          <w:rFonts w:ascii="宋体" w:hAnsi="宋体"/>
          <w:spacing w:val="4"/>
          <w:sz w:val="24"/>
          <w:highlight w:val="none"/>
        </w:rPr>
        <w:t>戒毒管理局（含新疆生产建设兵团）</w:t>
      </w:r>
      <w:r>
        <w:rPr>
          <w:rFonts w:hint="eastAsia" w:ascii="宋体" w:hAnsi="宋体"/>
          <w:sz w:val="24"/>
          <w:szCs w:val="24"/>
          <w:highlight w:val="none"/>
        </w:rPr>
        <w:t>出具的属于监狱企业的证明文件，视同小微企业；生产厂商属于（财库</w:t>
      </w:r>
      <w:r>
        <w:rPr>
          <w:rFonts w:hint="eastAsia" w:ascii="宋体" w:hAnsi="宋体" w:cs="宋体"/>
          <w:sz w:val="24"/>
          <w:szCs w:val="24"/>
          <w:highlight w:val="none"/>
        </w:rPr>
        <w:t>〔2017〕</w:t>
      </w:r>
      <w:r>
        <w:rPr>
          <w:rFonts w:hint="eastAsia" w:ascii="宋体" w:hAnsi="宋体"/>
          <w:sz w:val="24"/>
          <w:szCs w:val="24"/>
          <w:highlight w:val="none"/>
        </w:rPr>
        <w:t>141号）文件规定的残疾人福利性单位的，提供《残疾人福利性单位声明函》，视同小微企业。</w:t>
      </w:r>
    </w:p>
    <w:p w14:paraId="492946D0">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1</w:t>
      </w:r>
      <w:r>
        <w:rPr>
          <w:rFonts w:hint="eastAsia" w:ascii="宋体" w:hAnsi="宋体"/>
          <w:b/>
          <w:sz w:val="24"/>
          <w:szCs w:val="24"/>
          <w:highlight w:val="none"/>
        </w:rPr>
        <w:t>5</w:t>
      </w:r>
      <w:r>
        <w:rPr>
          <w:rFonts w:ascii="宋体" w:hAnsi="宋体"/>
          <w:b/>
          <w:sz w:val="24"/>
          <w:szCs w:val="24"/>
          <w:highlight w:val="none"/>
        </w:rPr>
        <w:t>.投标保证金</w:t>
      </w:r>
    </w:p>
    <w:p w14:paraId="2F320EE5">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.1</w:t>
      </w:r>
      <w:r>
        <w:rPr>
          <w:rFonts w:hint="eastAsia" w:ascii="宋体" w:hAnsi="宋体"/>
          <w:sz w:val="24"/>
          <w:szCs w:val="24"/>
          <w:highlight w:val="none"/>
        </w:rPr>
        <w:t>如果招标文件有要求，</w:t>
      </w:r>
      <w:r>
        <w:rPr>
          <w:rFonts w:ascii="宋体" w:hAnsi="宋体"/>
          <w:sz w:val="24"/>
          <w:szCs w:val="24"/>
          <w:highlight w:val="none"/>
        </w:rPr>
        <w:t>投标人</w:t>
      </w:r>
      <w:r>
        <w:rPr>
          <w:rFonts w:hint="eastAsia" w:ascii="宋体" w:hAnsi="宋体"/>
          <w:sz w:val="24"/>
          <w:szCs w:val="24"/>
          <w:highlight w:val="none"/>
        </w:rPr>
        <w:t>应按照“投标人须知前附表”的要求，</w:t>
      </w:r>
      <w:r>
        <w:rPr>
          <w:rFonts w:ascii="宋体" w:hAnsi="宋体"/>
          <w:sz w:val="24"/>
          <w:szCs w:val="24"/>
          <w:highlight w:val="none"/>
        </w:rPr>
        <w:t>在投标时向西北（陕西）国际招标有限公司提交投标保证金,</w:t>
      </w:r>
      <w:r>
        <w:rPr>
          <w:rFonts w:hint="eastAsia" w:ascii="宋体" w:hAnsi="宋体"/>
          <w:sz w:val="24"/>
          <w:szCs w:val="24"/>
          <w:highlight w:val="none"/>
        </w:rPr>
        <w:t>其有效期与投标有效期一致，</w:t>
      </w:r>
      <w:r>
        <w:rPr>
          <w:rFonts w:ascii="宋体" w:hAnsi="宋体"/>
          <w:sz w:val="24"/>
          <w:szCs w:val="24"/>
          <w:highlight w:val="none"/>
        </w:rPr>
        <w:t>并作为其投标的一部分。</w:t>
      </w:r>
    </w:p>
    <w:p w14:paraId="7B41C4F2">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投标保证金</w:t>
      </w:r>
      <w:r>
        <w:rPr>
          <w:rFonts w:hint="eastAsia" w:ascii="宋体" w:hAnsi="宋体"/>
          <w:sz w:val="24"/>
          <w:szCs w:val="24"/>
          <w:highlight w:val="none"/>
        </w:rPr>
        <w:t>的数额、形式、缴纳办法和交纳时间见“</w:t>
      </w:r>
      <w:r>
        <w:rPr>
          <w:rFonts w:ascii="宋体" w:hAnsi="宋体"/>
          <w:sz w:val="24"/>
          <w:szCs w:val="24"/>
          <w:highlight w:val="none"/>
        </w:rPr>
        <w:t>投标人须知前附表</w:t>
      </w:r>
      <w:r>
        <w:rPr>
          <w:rFonts w:hint="eastAsia" w:ascii="宋体" w:hAnsi="宋体"/>
          <w:sz w:val="24"/>
          <w:szCs w:val="24"/>
          <w:highlight w:val="none"/>
        </w:rPr>
        <w:t>”。</w:t>
      </w:r>
    </w:p>
    <w:p w14:paraId="044D8BE6">
      <w:pPr>
        <w:spacing w:line="500" w:lineRule="exact"/>
        <w:ind w:firstLine="480" w:firstLineChars="200"/>
        <w:rPr>
          <w:rFonts w:ascii="宋体" w:hAnsi="宋体"/>
          <w:sz w:val="24"/>
          <w:szCs w:val="24"/>
          <w:highlight w:val="none"/>
        </w:rPr>
      </w:pPr>
      <w:r>
        <w:rPr>
          <w:rFonts w:hint="eastAsia" w:ascii="宋体" w:hAnsi="宋体"/>
          <w:sz w:val="24"/>
          <w:szCs w:val="24"/>
          <w:highlight w:val="none"/>
        </w:rPr>
        <w:t>15.3</w:t>
      </w:r>
      <w:r>
        <w:rPr>
          <w:rFonts w:ascii="宋体" w:hAnsi="宋体"/>
          <w:sz w:val="24"/>
          <w:szCs w:val="24"/>
          <w:highlight w:val="none"/>
        </w:rPr>
        <w:t>联合体投标的</w:t>
      </w:r>
      <w:r>
        <w:rPr>
          <w:rFonts w:hint="eastAsia" w:ascii="宋体" w:hAnsi="宋体"/>
          <w:sz w:val="24"/>
          <w:szCs w:val="24"/>
          <w:highlight w:val="none"/>
        </w:rPr>
        <w:t>，</w:t>
      </w:r>
      <w:r>
        <w:rPr>
          <w:rFonts w:ascii="宋体" w:hAnsi="宋体"/>
          <w:sz w:val="24"/>
          <w:szCs w:val="24"/>
          <w:highlight w:val="none"/>
        </w:rPr>
        <w:t>可以由联合体中的一方或者共同提交投标保证金</w:t>
      </w:r>
      <w:r>
        <w:rPr>
          <w:rFonts w:hint="eastAsia" w:ascii="宋体" w:hAnsi="宋体"/>
          <w:sz w:val="24"/>
          <w:szCs w:val="24"/>
          <w:highlight w:val="none"/>
        </w:rPr>
        <w:t>，</w:t>
      </w:r>
      <w:r>
        <w:rPr>
          <w:rFonts w:ascii="宋体" w:hAnsi="宋体"/>
          <w:sz w:val="24"/>
          <w:szCs w:val="24"/>
          <w:highlight w:val="none"/>
        </w:rPr>
        <w:t>以一方名义提交投标保证金的</w:t>
      </w:r>
      <w:r>
        <w:rPr>
          <w:rFonts w:hint="eastAsia" w:ascii="宋体" w:hAnsi="宋体"/>
          <w:sz w:val="24"/>
          <w:szCs w:val="24"/>
          <w:highlight w:val="none"/>
        </w:rPr>
        <w:t>，</w:t>
      </w:r>
      <w:r>
        <w:rPr>
          <w:rFonts w:ascii="宋体" w:hAnsi="宋体"/>
          <w:sz w:val="24"/>
          <w:szCs w:val="24"/>
          <w:highlight w:val="none"/>
        </w:rPr>
        <w:t>对联合体各方均具有约束力</w:t>
      </w:r>
      <w:r>
        <w:rPr>
          <w:rFonts w:hint="eastAsia" w:ascii="宋体" w:hAnsi="宋体"/>
          <w:sz w:val="24"/>
          <w:szCs w:val="24"/>
          <w:highlight w:val="none"/>
        </w:rPr>
        <w:t>。</w:t>
      </w:r>
    </w:p>
    <w:p w14:paraId="3AB6EA86">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p>
    <w:p w14:paraId="141E4C59">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未中标人的投标保证金，在中标通知书发出后五个工作日内退还</w:t>
      </w:r>
      <w:r>
        <w:rPr>
          <w:rFonts w:hint="eastAsia" w:ascii="宋体" w:hAnsi="宋体"/>
          <w:sz w:val="24"/>
          <w:szCs w:val="24"/>
          <w:highlight w:val="none"/>
        </w:rPr>
        <w:t>；</w:t>
      </w:r>
      <w:r>
        <w:rPr>
          <w:rFonts w:ascii="宋体" w:hAnsi="宋体"/>
          <w:sz w:val="24"/>
          <w:szCs w:val="24"/>
          <w:highlight w:val="none"/>
        </w:rPr>
        <w:t>中标人的投标保证金</w:t>
      </w:r>
      <w:r>
        <w:rPr>
          <w:rFonts w:hint="eastAsia" w:ascii="宋体" w:hAnsi="宋体"/>
          <w:sz w:val="24"/>
          <w:szCs w:val="24"/>
          <w:highlight w:val="none"/>
        </w:rPr>
        <w:t>，</w:t>
      </w:r>
      <w:r>
        <w:rPr>
          <w:rFonts w:ascii="宋体" w:hAnsi="宋体"/>
          <w:sz w:val="24"/>
          <w:szCs w:val="24"/>
          <w:highlight w:val="none"/>
        </w:rPr>
        <w:t>在采购合同签订后五个工作日内退还。</w:t>
      </w:r>
    </w:p>
    <w:p w14:paraId="5E7443AC">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6</w:t>
      </w:r>
      <w:r>
        <w:rPr>
          <w:rFonts w:ascii="宋体" w:hAnsi="宋体"/>
          <w:sz w:val="24"/>
          <w:szCs w:val="24"/>
          <w:highlight w:val="none"/>
        </w:rPr>
        <w:t>有下列情形的，</w:t>
      </w:r>
      <w:r>
        <w:rPr>
          <w:rFonts w:hint="eastAsia" w:ascii="宋体" w:hAnsi="宋体"/>
          <w:sz w:val="24"/>
          <w:szCs w:val="24"/>
          <w:highlight w:val="none"/>
        </w:rPr>
        <w:t>投标</w:t>
      </w:r>
      <w:r>
        <w:rPr>
          <w:rFonts w:ascii="宋体" w:hAnsi="宋体"/>
          <w:sz w:val="24"/>
          <w:szCs w:val="24"/>
          <w:highlight w:val="none"/>
        </w:rPr>
        <w:t xml:space="preserve">保证金不予退还： </w:t>
      </w:r>
    </w:p>
    <w:p w14:paraId="256D1B9F">
      <w:pPr>
        <w:spacing w:line="500" w:lineRule="exact"/>
        <w:ind w:firstLine="480" w:firstLineChars="200"/>
        <w:rPr>
          <w:rFonts w:ascii="宋体" w:hAnsi="宋体"/>
          <w:sz w:val="24"/>
          <w:szCs w:val="24"/>
          <w:highlight w:val="none"/>
        </w:rPr>
      </w:pPr>
      <w:r>
        <w:rPr>
          <w:rFonts w:hint="eastAsia" w:ascii="宋体" w:hAnsi="宋体"/>
          <w:sz w:val="24"/>
          <w:szCs w:val="24"/>
          <w:highlight w:val="none"/>
        </w:rPr>
        <w:t>15.6.1投标人</w:t>
      </w:r>
      <w:r>
        <w:rPr>
          <w:rFonts w:ascii="宋体" w:hAnsi="宋体"/>
          <w:sz w:val="24"/>
          <w:szCs w:val="24"/>
          <w:highlight w:val="none"/>
        </w:rPr>
        <w:t>在</w:t>
      </w:r>
      <w:r>
        <w:rPr>
          <w:rFonts w:hint="eastAsia" w:ascii="宋体" w:hAnsi="宋体"/>
          <w:sz w:val="24"/>
          <w:szCs w:val="24"/>
          <w:highlight w:val="none"/>
        </w:rPr>
        <w:t>提交投标</w:t>
      </w:r>
      <w:r>
        <w:rPr>
          <w:rFonts w:ascii="宋体" w:hAnsi="宋体"/>
          <w:sz w:val="24"/>
          <w:szCs w:val="24"/>
          <w:highlight w:val="none"/>
        </w:rPr>
        <w:t>文件截止时间后撤回</w:t>
      </w:r>
      <w:r>
        <w:rPr>
          <w:rFonts w:hint="eastAsia" w:ascii="宋体" w:hAnsi="宋体"/>
          <w:sz w:val="24"/>
          <w:szCs w:val="24"/>
          <w:highlight w:val="none"/>
        </w:rPr>
        <w:t>其投标</w:t>
      </w:r>
      <w:r>
        <w:rPr>
          <w:rFonts w:ascii="宋体" w:hAnsi="宋体"/>
          <w:sz w:val="24"/>
          <w:szCs w:val="24"/>
          <w:highlight w:val="none"/>
        </w:rPr>
        <w:t>的；</w:t>
      </w:r>
    </w:p>
    <w:p w14:paraId="2F426B57">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6</w:t>
      </w:r>
      <w:r>
        <w:rPr>
          <w:rFonts w:ascii="宋体" w:hAnsi="宋体"/>
          <w:b/>
          <w:sz w:val="24"/>
          <w:szCs w:val="24"/>
          <w:highlight w:val="none"/>
        </w:rPr>
        <w:t>.投标有效期</w:t>
      </w:r>
    </w:p>
    <w:p w14:paraId="2BB33AD4">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.1投标应在“投标人须知前附表”中规定的</w:t>
      </w:r>
      <w:r>
        <w:rPr>
          <w:rFonts w:hint="eastAsia" w:ascii="宋体" w:hAnsi="宋体"/>
          <w:sz w:val="24"/>
          <w:szCs w:val="24"/>
          <w:highlight w:val="none"/>
        </w:rPr>
        <w:t>投标有效期内</w:t>
      </w:r>
      <w:r>
        <w:rPr>
          <w:rFonts w:ascii="宋体" w:hAnsi="宋体"/>
          <w:sz w:val="24"/>
          <w:szCs w:val="24"/>
          <w:highlight w:val="none"/>
        </w:rPr>
        <w:t>保持有效。不满足规定有效期的投标将</w:t>
      </w:r>
      <w:r>
        <w:rPr>
          <w:rFonts w:hint="eastAsia" w:ascii="宋体" w:hAnsi="宋体"/>
          <w:sz w:val="24"/>
          <w:szCs w:val="24"/>
          <w:highlight w:val="none"/>
        </w:rPr>
        <w:t>按照无效投标处理</w:t>
      </w:r>
      <w:r>
        <w:rPr>
          <w:rFonts w:ascii="宋体" w:hAnsi="宋体"/>
          <w:sz w:val="24"/>
          <w:szCs w:val="24"/>
          <w:highlight w:val="none"/>
        </w:rPr>
        <w:t>。</w:t>
      </w:r>
    </w:p>
    <w:p w14:paraId="136ED033">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.2在特殊情况下，在原投标有效期期满之前，采购代理机构可向投标人提出延长投标有效期的要求。这种要求与答复均应以书面的形式。投标人可以拒绝采购代理机构的这种要求,其投标保证金</w:t>
      </w:r>
      <w:r>
        <w:rPr>
          <w:rFonts w:hint="eastAsia" w:ascii="宋体" w:hAnsi="宋体"/>
          <w:sz w:val="24"/>
          <w:szCs w:val="24"/>
          <w:highlight w:val="none"/>
        </w:rPr>
        <w:t>予以退还</w:t>
      </w:r>
      <w:r>
        <w:rPr>
          <w:rFonts w:ascii="宋体" w:hAnsi="宋体"/>
          <w:sz w:val="24"/>
          <w:szCs w:val="24"/>
          <w:highlight w:val="none"/>
        </w:rPr>
        <w:t>。同意延长的投标人既不能要求也不允许修改其投标文件，但要相应延长其投标保证金的有效期。</w:t>
      </w:r>
    </w:p>
    <w:p w14:paraId="64A9D4A9">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7</w:t>
      </w:r>
      <w:r>
        <w:rPr>
          <w:rFonts w:ascii="宋体" w:hAnsi="宋体"/>
          <w:b/>
          <w:sz w:val="24"/>
          <w:szCs w:val="24"/>
          <w:highlight w:val="none"/>
        </w:rPr>
        <w:t>.投标文件的</w:t>
      </w:r>
      <w:r>
        <w:rPr>
          <w:rFonts w:hint="eastAsia" w:ascii="宋体" w:hAnsi="宋体"/>
          <w:b/>
          <w:sz w:val="24"/>
          <w:szCs w:val="24"/>
          <w:highlight w:val="none"/>
        </w:rPr>
        <w:t>格式</w:t>
      </w:r>
      <w:r>
        <w:rPr>
          <w:rFonts w:ascii="宋体" w:hAnsi="宋体"/>
          <w:b/>
          <w:sz w:val="24"/>
          <w:szCs w:val="24"/>
          <w:highlight w:val="none"/>
        </w:rPr>
        <w:t>和签署</w:t>
      </w:r>
    </w:p>
    <w:p w14:paraId="5B8EFC99">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.1投标人应按照投标人须知的要求, 准备一份投标文件正本和“投标人须知前附表”中规定数量的副本，</w:t>
      </w:r>
      <w:r>
        <w:rPr>
          <w:rFonts w:hint="eastAsia" w:ascii="宋体" w:hAnsi="宋体"/>
          <w:sz w:val="24"/>
          <w:szCs w:val="24"/>
          <w:highlight w:val="none"/>
        </w:rPr>
        <w:t>副本可以是正本的复印件。</w:t>
      </w:r>
      <w:r>
        <w:rPr>
          <w:rFonts w:ascii="宋体" w:hAnsi="宋体"/>
          <w:sz w:val="24"/>
          <w:szCs w:val="24"/>
          <w:highlight w:val="none"/>
        </w:rPr>
        <w:t>每套投标文件须清楚地标明“正本”或“副本”。如果发生正本与副本不一致的情况，以正本为准。</w:t>
      </w:r>
    </w:p>
    <w:p w14:paraId="24E581E1">
      <w:pPr>
        <w:spacing w:line="500" w:lineRule="exact"/>
        <w:ind w:firstLine="480" w:firstLineChars="200"/>
        <w:rPr>
          <w:rFonts w:ascii="宋体" w:hAnsi="宋体"/>
          <w:sz w:val="24"/>
          <w:szCs w:val="24"/>
          <w:highlight w:val="none"/>
        </w:rPr>
      </w:pPr>
      <w:r>
        <w:rPr>
          <w:rFonts w:hint="eastAsia" w:ascii="宋体" w:hAnsi="宋体"/>
          <w:sz w:val="24"/>
          <w:szCs w:val="24"/>
          <w:highlight w:val="none"/>
        </w:rPr>
        <w:t>17.2如果招标文件有要求，还应</w:t>
      </w:r>
      <w:r>
        <w:rPr>
          <w:rFonts w:ascii="宋体" w:hAnsi="宋体"/>
          <w:sz w:val="24"/>
          <w:szCs w:val="24"/>
          <w:highlight w:val="none"/>
        </w:rPr>
        <w:t>按照</w:t>
      </w:r>
      <w:r>
        <w:rPr>
          <w:rFonts w:hint="eastAsia" w:ascii="宋体" w:hAnsi="宋体"/>
          <w:sz w:val="24"/>
          <w:szCs w:val="24"/>
          <w:highlight w:val="none"/>
        </w:rPr>
        <w:t>“</w:t>
      </w:r>
      <w:r>
        <w:rPr>
          <w:rFonts w:ascii="宋体" w:hAnsi="宋体"/>
          <w:sz w:val="24"/>
          <w:szCs w:val="24"/>
          <w:highlight w:val="none"/>
        </w:rPr>
        <w:t>投标人须知前附表</w:t>
      </w:r>
      <w:r>
        <w:rPr>
          <w:rFonts w:hint="eastAsia" w:ascii="宋体" w:hAnsi="宋体"/>
          <w:sz w:val="24"/>
          <w:szCs w:val="24"/>
          <w:highlight w:val="none"/>
        </w:rPr>
        <w:t>”</w:t>
      </w:r>
      <w:r>
        <w:rPr>
          <w:rFonts w:ascii="宋体" w:hAnsi="宋体"/>
          <w:sz w:val="24"/>
          <w:szCs w:val="24"/>
          <w:highlight w:val="none"/>
        </w:rPr>
        <w:t>的要求</w:t>
      </w:r>
      <w:r>
        <w:rPr>
          <w:rFonts w:hint="eastAsia" w:ascii="宋体" w:hAnsi="宋体"/>
          <w:sz w:val="24"/>
          <w:szCs w:val="24"/>
          <w:highlight w:val="none"/>
        </w:rPr>
        <w:t>准备相应格式和载体的电子版文件。</w:t>
      </w:r>
    </w:p>
    <w:p w14:paraId="5E6A58F4">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投标文件正本需打印或用不褪色的蓝(黑)色墨水(汁)书写,并由投标人</w:t>
      </w:r>
      <w:r>
        <w:rPr>
          <w:rFonts w:hint="eastAsia" w:ascii="宋体" w:hAnsi="宋体"/>
          <w:sz w:val="24"/>
          <w:szCs w:val="24"/>
          <w:highlight w:val="none"/>
        </w:rPr>
        <w:t>法定代表人</w:t>
      </w:r>
      <w:r>
        <w:rPr>
          <w:rFonts w:ascii="宋体" w:hAnsi="宋体"/>
          <w:sz w:val="24"/>
          <w:szCs w:val="24"/>
          <w:highlight w:val="none"/>
        </w:rPr>
        <w:t>或经</w:t>
      </w:r>
      <w:r>
        <w:rPr>
          <w:rFonts w:hint="eastAsia" w:ascii="宋体" w:hAnsi="宋体"/>
          <w:sz w:val="24"/>
          <w:szCs w:val="24"/>
          <w:highlight w:val="none"/>
        </w:rPr>
        <w:t>法定代表人</w:t>
      </w:r>
      <w:r>
        <w:rPr>
          <w:rFonts w:ascii="宋体" w:hAnsi="宋体"/>
          <w:sz w:val="24"/>
          <w:szCs w:val="24"/>
          <w:highlight w:val="none"/>
        </w:rPr>
        <w:t>正式授权的代表签</w:t>
      </w:r>
      <w:r>
        <w:rPr>
          <w:rFonts w:hint="eastAsia" w:ascii="宋体" w:hAnsi="宋体"/>
          <w:sz w:val="24"/>
          <w:szCs w:val="24"/>
          <w:highlight w:val="none"/>
        </w:rPr>
        <w:t>名</w:t>
      </w:r>
      <w:r>
        <w:rPr>
          <w:rFonts w:ascii="宋体" w:hAnsi="宋体"/>
          <w:sz w:val="24"/>
          <w:szCs w:val="24"/>
          <w:highlight w:val="none"/>
        </w:rPr>
        <w:t>。授权代表须将按招标文件规定的格式出具的“</w:t>
      </w:r>
      <w:r>
        <w:rPr>
          <w:rFonts w:hint="eastAsia" w:ascii="宋体" w:hAnsi="宋体"/>
          <w:sz w:val="24"/>
          <w:szCs w:val="24"/>
          <w:highlight w:val="none"/>
        </w:rPr>
        <w:t>法定代表人</w:t>
      </w:r>
      <w:r>
        <w:rPr>
          <w:rFonts w:ascii="宋体" w:hAnsi="宋体"/>
          <w:sz w:val="24"/>
          <w:szCs w:val="24"/>
          <w:highlight w:val="none"/>
        </w:rPr>
        <w:t>授权书”附在投标文件中。</w:t>
      </w:r>
      <w:r>
        <w:rPr>
          <w:rFonts w:hint="eastAsia" w:ascii="宋体" w:hAnsi="宋体"/>
          <w:sz w:val="24"/>
          <w:szCs w:val="24"/>
          <w:highlight w:val="none"/>
        </w:rPr>
        <w:t>法定代表人签名要求见“</w:t>
      </w:r>
      <w:r>
        <w:rPr>
          <w:rFonts w:ascii="宋体" w:hAnsi="宋体"/>
          <w:sz w:val="24"/>
          <w:szCs w:val="24"/>
          <w:highlight w:val="none"/>
        </w:rPr>
        <w:t>投标人须知前附表</w:t>
      </w:r>
      <w:r>
        <w:rPr>
          <w:rFonts w:hint="eastAsia" w:ascii="宋体" w:hAnsi="宋体"/>
          <w:sz w:val="24"/>
          <w:szCs w:val="24"/>
          <w:highlight w:val="none"/>
        </w:rPr>
        <w:t>”</w:t>
      </w:r>
    </w:p>
    <w:p w14:paraId="53FEF49A">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任何行间插字、涂改和增删，必须由投标文件的签</w:t>
      </w:r>
      <w:r>
        <w:rPr>
          <w:rFonts w:hint="eastAsia" w:ascii="宋体" w:hAnsi="宋体"/>
          <w:sz w:val="24"/>
          <w:szCs w:val="24"/>
          <w:highlight w:val="none"/>
        </w:rPr>
        <w:t>名</w:t>
      </w:r>
      <w:r>
        <w:rPr>
          <w:rFonts w:ascii="宋体" w:hAnsi="宋体"/>
          <w:sz w:val="24"/>
          <w:szCs w:val="24"/>
          <w:highlight w:val="none"/>
        </w:rPr>
        <w:t>人在旁边签</w:t>
      </w:r>
      <w:r>
        <w:rPr>
          <w:rFonts w:hint="eastAsia" w:ascii="宋体" w:hAnsi="宋体"/>
          <w:sz w:val="24"/>
          <w:szCs w:val="24"/>
          <w:highlight w:val="none"/>
        </w:rPr>
        <w:t>署全名</w:t>
      </w:r>
      <w:r>
        <w:rPr>
          <w:rFonts w:ascii="宋体" w:hAnsi="宋体"/>
          <w:sz w:val="24"/>
          <w:szCs w:val="24"/>
          <w:highlight w:val="none"/>
        </w:rPr>
        <w:t>才有效。</w:t>
      </w:r>
    </w:p>
    <w:p w14:paraId="33306819">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因字迹潦草、表述不清或不按招标文件格式编制的投标文件，所引起的对投标人不利的后果，由投标人自行负责。</w:t>
      </w:r>
    </w:p>
    <w:p w14:paraId="2256C69C">
      <w:pPr>
        <w:spacing w:line="500" w:lineRule="exact"/>
        <w:jc w:val="center"/>
        <w:rPr>
          <w:rFonts w:ascii="宋体" w:hAnsi="宋体"/>
          <w:b/>
          <w:sz w:val="36"/>
          <w:szCs w:val="36"/>
          <w:highlight w:val="none"/>
        </w:rPr>
      </w:pPr>
    </w:p>
    <w:p w14:paraId="620938D6">
      <w:pPr>
        <w:spacing w:line="500" w:lineRule="exact"/>
        <w:jc w:val="center"/>
        <w:rPr>
          <w:rFonts w:ascii="宋体" w:hAnsi="宋体"/>
          <w:b/>
          <w:sz w:val="36"/>
          <w:szCs w:val="36"/>
          <w:highlight w:val="none"/>
        </w:rPr>
      </w:pPr>
      <w:r>
        <w:rPr>
          <w:rFonts w:ascii="宋体" w:hAnsi="宋体"/>
          <w:b/>
          <w:sz w:val="36"/>
          <w:szCs w:val="36"/>
          <w:highlight w:val="none"/>
        </w:rPr>
        <w:t>四.投标文件的递交</w:t>
      </w:r>
    </w:p>
    <w:p w14:paraId="6FA25E58">
      <w:pPr>
        <w:spacing w:line="500" w:lineRule="exact"/>
        <w:rPr>
          <w:rFonts w:ascii="宋体" w:hAnsi="宋体"/>
          <w:b/>
          <w:sz w:val="24"/>
          <w:szCs w:val="24"/>
          <w:highlight w:val="none"/>
        </w:rPr>
      </w:pPr>
    </w:p>
    <w:p w14:paraId="16F10B65">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8</w:t>
      </w:r>
      <w:r>
        <w:rPr>
          <w:rFonts w:ascii="宋体" w:hAnsi="宋体"/>
          <w:b/>
          <w:sz w:val="24"/>
          <w:szCs w:val="24"/>
          <w:highlight w:val="none"/>
        </w:rPr>
        <w:t>.投标文件的</w:t>
      </w:r>
      <w:r>
        <w:rPr>
          <w:rFonts w:hint="eastAsia" w:ascii="宋体" w:hAnsi="宋体"/>
          <w:b/>
          <w:sz w:val="24"/>
          <w:szCs w:val="24"/>
          <w:highlight w:val="none"/>
        </w:rPr>
        <w:t>装订、</w:t>
      </w:r>
      <w:r>
        <w:rPr>
          <w:rFonts w:ascii="宋体" w:hAnsi="宋体"/>
          <w:b/>
          <w:sz w:val="24"/>
          <w:szCs w:val="24"/>
          <w:highlight w:val="none"/>
        </w:rPr>
        <w:t>密封和标记</w:t>
      </w:r>
    </w:p>
    <w:p w14:paraId="7EC03B22">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.1</w:t>
      </w:r>
      <w:r>
        <w:rPr>
          <w:rFonts w:hint="eastAsia" w:ascii="宋体" w:hAnsi="宋体"/>
          <w:sz w:val="24"/>
          <w:highlight w:val="none"/>
        </w:rPr>
        <w:t>投标文件的正本与副本应分别装订成册，并编制目录，具体装订、包装、密封和标记要求见本须知“投标人须知前附表”规定。</w:t>
      </w:r>
    </w:p>
    <w:p w14:paraId="6331F00C">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如果投标人未对投标文件按上述要求进行完好密封，</w:t>
      </w:r>
      <w:r>
        <w:rPr>
          <w:rFonts w:hint="eastAsia" w:ascii="宋体" w:hAnsi="宋体"/>
          <w:sz w:val="24"/>
          <w:szCs w:val="24"/>
          <w:highlight w:val="none"/>
        </w:rPr>
        <w:t>由此而</w:t>
      </w:r>
      <w:r>
        <w:rPr>
          <w:rFonts w:ascii="宋体" w:hAnsi="宋体"/>
          <w:sz w:val="24"/>
          <w:szCs w:val="24"/>
          <w:highlight w:val="none"/>
        </w:rPr>
        <w:t>引起的</w:t>
      </w:r>
      <w:r>
        <w:rPr>
          <w:rFonts w:hint="eastAsia" w:ascii="宋体" w:hAnsi="宋体"/>
          <w:sz w:val="24"/>
          <w:szCs w:val="24"/>
          <w:highlight w:val="none"/>
        </w:rPr>
        <w:t>投标文件误投、提前启封或投标资料泄露等不良后果，</w:t>
      </w:r>
      <w:r>
        <w:rPr>
          <w:rFonts w:ascii="宋体" w:hAnsi="宋体"/>
          <w:sz w:val="24"/>
          <w:szCs w:val="24"/>
          <w:highlight w:val="none"/>
        </w:rPr>
        <w:t>由投标人自行承担。</w:t>
      </w:r>
    </w:p>
    <w:p w14:paraId="41B63F85">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9</w:t>
      </w:r>
      <w:r>
        <w:rPr>
          <w:rFonts w:ascii="宋体" w:hAnsi="宋体"/>
          <w:b/>
          <w:sz w:val="24"/>
          <w:szCs w:val="24"/>
          <w:highlight w:val="none"/>
        </w:rPr>
        <w:t>．</w:t>
      </w:r>
      <w:r>
        <w:rPr>
          <w:rFonts w:hint="eastAsia" w:ascii="宋体" w:hAnsi="宋体"/>
          <w:b/>
          <w:sz w:val="24"/>
          <w:szCs w:val="24"/>
          <w:highlight w:val="none"/>
        </w:rPr>
        <w:t>投标文件递交方式和</w:t>
      </w:r>
      <w:r>
        <w:rPr>
          <w:rFonts w:ascii="宋体" w:hAnsi="宋体"/>
          <w:b/>
          <w:sz w:val="24"/>
          <w:szCs w:val="24"/>
          <w:highlight w:val="none"/>
        </w:rPr>
        <w:t>投标截止时间</w:t>
      </w:r>
    </w:p>
    <w:p w14:paraId="5FBC54A2">
      <w:pPr>
        <w:spacing w:line="500" w:lineRule="exact"/>
        <w:ind w:firstLine="480" w:firstLineChars="200"/>
        <w:rPr>
          <w:rFonts w:ascii="宋体" w:hAnsi="宋体"/>
          <w:bCs/>
          <w:sz w:val="24"/>
          <w:szCs w:val="24"/>
          <w:highlight w:val="none"/>
        </w:rPr>
      </w:pPr>
      <w:r>
        <w:rPr>
          <w:rFonts w:ascii="宋体" w:hAnsi="宋体"/>
          <w:sz w:val="24"/>
          <w:szCs w:val="24"/>
          <w:highlight w:val="none"/>
        </w:rPr>
        <w:t>1</w:t>
      </w:r>
      <w:r>
        <w:rPr>
          <w:rFonts w:hint="eastAsia" w:ascii="宋体" w:hAnsi="宋体"/>
          <w:sz w:val="24"/>
          <w:szCs w:val="24"/>
          <w:highlight w:val="none"/>
        </w:rPr>
        <w:t>9</w:t>
      </w:r>
      <w:r>
        <w:rPr>
          <w:rFonts w:ascii="宋体" w:hAnsi="宋体"/>
          <w:sz w:val="24"/>
          <w:szCs w:val="24"/>
          <w:highlight w:val="none"/>
        </w:rPr>
        <w:t>.1</w:t>
      </w:r>
      <w:r>
        <w:rPr>
          <w:rFonts w:hint="eastAsia" w:ascii="宋体" w:hAnsi="宋体"/>
          <w:bCs/>
          <w:sz w:val="24"/>
          <w:szCs w:val="24"/>
          <w:highlight w:val="none"/>
        </w:rPr>
        <w:t>投标人必须派出代表，</w:t>
      </w:r>
      <w:r>
        <w:rPr>
          <w:rFonts w:ascii="宋体" w:hAnsi="宋体"/>
          <w:bCs/>
          <w:sz w:val="24"/>
          <w:szCs w:val="24"/>
          <w:highlight w:val="none"/>
        </w:rPr>
        <w:t>在</w:t>
      </w:r>
      <w:r>
        <w:rPr>
          <w:rFonts w:hint="eastAsia" w:ascii="宋体" w:hAnsi="宋体"/>
          <w:bCs/>
          <w:sz w:val="24"/>
          <w:szCs w:val="24"/>
          <w:highlight w:val="none"/>
        </w:rPr>
        <w:t>本须知</w:t>
      </w:r>
      <w:r>
        <w:rPr>
          <w:rFonts w:ascii="宋体" w:hAnsi="宋体"/>
          <w:bCs/>
          <w:sz w:val="24"/>
          <w:szCs w:val="24"/>
          <w:highlight w:val="none"/>
        </w:rPr>
        <w:t xml:space="preserve"> “投标人须知前附表”</w:t>
      </w:r>
      <w:r>
        <w:rPr>
          <w:rFonts w:hint="eastAsia" w:ascii="宋体" w:hAnsi="宋体"/>
          <w:bCs/>
          <w:sz w:val="24"/>
          <w:szCs w:val="24"/>
          <w:highlight w:val="none"/>
        </w:rPr>
        <w:t>规定的</w:t>
      </w:r>
      <w:r>
        <w:rPr>
          <w:rFonts w:ascii="宋体" w:hAnsi="宋体"/>
          <w:bCs/>
          <w:sz w:val="24"/>
          <w:szCs w:val="24"/>
          <w:highlight w:val="none"/>
        </w:rPr>
        <w:t>投标截止时间前，将全部投标文件和投标资料</w:t>
      </w:r>
      <w:r>
        <w:rPr>
          <w:rFonts w:hint="eastAsia" w:ascii="宋体" w:hAnsi="宋体"/>
          <w:bCs/>
          <w:sz w:val="24"/>
          <w:szCs w:val="24"/>
          <w:highlight w:val="none"/>
        </w:rPr>
        <w:t>、物品等</w:t>
      </w:r>
      <w:r>
        <w:rPr>
          <w:rFonts w:ascii="宋体" w:hAnsi="宋体"/>
          <w:bCs/>
          <w:sz w:val="24"/>
          <w:szCs w:val="24"/>
          <w:highlight w:val="none"/>
        </w:rPr>
        <w:t>递交至投标地点</w:t>
      </w:r>
      <w:r>
        <w:rPr>
          <w:rFonts w:hint="eastAsia" w:ascii="宋体" w:hAnsi="宋体"/>
          <w:bCs/>
          <w:sz w:val="24"/>
          <w:szCs w:val="24"/>
          <w:highlight w:val="none"/>
        </w:rPr>
        <w:t>并签</w:t>
      </w:r>
      <w:r>
        <w:rPr>
          <w:rFonts w:hint="eastAsia" w:ascii="宋体" w:hAnsi="宋体"/>
          <w:sz w:val="24"/>
          <w:szCs w:val="24"/>
          <w:highlight w:val="none"/>
        </w:rPr>
        <w:t>名</w:t>
      </w:r>
      <w:r>
        <w:rPr>
          <w:rFonts w:hint="eastAsia" w:ascii="宋体" w:hAnsi="宋体"/>
          <w:bCs/>
          <w:sz w:val="24"/>
          <w:szCs w:val="24"/>
          <w:highlight w:val="none"/>
        </w:rPr>
        <w:t>确认。投标地点见</w:t>
      </w:r>
      <w:r>
        <w:rPr>
          <w:rFonts w:ascii="宋体" w:hAnsi="宋体"/>
          <w:bCs/>
          <w:sz w:val="24"/>
          <w:szCs w:val="24"/>
          <w:highlight w:val="none"/>
        </w:rPr>
        <w:t>“投标人须知前附表”</w:t>
      </w:r>
      <w:r>
        <w:rPr>
          <w:rFonts w:hint="eastAsia" w:ascii="宋体" w:hAnsi="宋体"/>
          <w:bCs/>
          <w:sz w:val="24"/>
          <w:szCs w:val="24"/>
          <w:highlight w:val="none"/>
        </w:rPr>
        <w:t>指明的地址或采购代理机构另行通知的地址。</w:t>
      </w:r>
    </w:p>
    <w:p w14:paraId="0004A18D">
      <w:pPr>
        <w:spacing w:line="500" w:lineRule="exact"/>
        <w:ind w:firstLine="480" w:firstLineChars="200"/>
        <w:rPr>
          <w:rFonts w:ascii="宋体" w:hAnsi="宋体"/>
          <w:sz w:val="24"/>
          <w:szCs w:val="24"/>
          <w:highlight w:val="none"/>
        </w:rPr>
      </w:pPr>
      <w:r>
        <w:rPr>
          <w:rFonts w:ascii="宋体" w:hAnsi="宋体"/>
          <w:sz w:val="24"/>
          <w:szCs w:val="24"/>
          <w:highlight w:val="none"/>
        </w:rPr>
        <w:t>19.</w:t>
      </w:r>
      <w:r>
        <w:rPr>
          <w:rFonts w:hint="eastAsia" w:ascii="宋体" w:hAnsi="宋体"/>
          <w:sz w:val="24"/>
          <w:szCs w:val="24"/>
          <w:highlight w:val="none"/>
        </w:rPr>
        <w:t>2</w:t>
      </w:r>
      <w:r>
        <w:rPr>
          <w:rFonts w:ascii="宋体" w:hAnsi="宋体"/>
          <w:sz w:val="24"/>
          <w:szCs w:val="24"/>
          <w:highlight w:val="none"/>
        </w:rPr>
        <w:t>采购代理机构拒绝接</w:t>
      </w:r>
      <w:r>
        <w:rPr>
          <w:rFonts w:hint="eastAsia" w:ascii="宋体" w:hAnsi="宋体"/>
          <w:sz w:val="24"/>
          <w:szCs w:val="24"/>
          <w:highlight w:val="none"/>
        </w:rPr>
        <w:t>收</w:t>
      </w:r>
      <w:r>
        <w:rPr>
          <w:rFonts w:ascii="宋体" w:hAnsi="宋体"/>
          <w:sz w:val="24"/>
          <w:szCs w:val="24"/>
          <w:highlight w:val="none"/>
        </w:rPr>
        <w:t>在规定的投标截止时间后</w:t>
      </w:r>
      <w:r>
        <w:rPr>
          <w:rFonts w:hint="eastAsia" w:ascii="宋体" w:hAnsi="宋体"/>
          <w:sz w:val="24"/>
          <w:szCs w:val="24"/>
          <w:highlight w:val="none"/>
        </w:rPr>
        <w:t>递交</w:t>
      </w:r>
      <w:r>
        <w:rPr>
          <w:rFonts w:ascii="宋体" w:hAnsi="宋体"/>
          <w:sz w:val="24"/>
          <w:szCs w:val="24"/>
          <w:highlight w:val="none"/>
        </w:rPr>
        <w:t>的投标文件</w:t>
      </w:r>
      <w:r>
        <w:rPr>
          <w:rFonts w:hint="eastAsia" w:ascii="宋体" w:hAnsi="宋体"/>
          <w:sz w:val="24"/>
          <w:szCs w:val="24"/>
          <w:highlight w:val="none"/>
        </w:rPr>
        <w:t>和投标资料</w:t>
      </w:r>
      <w:r>
        <w:rPr>
          <w:rFonts w:ascii="宋体" w:hAnsi="宋体"/>
          <w:sz w:val="24"/>
          <w:szCs w:val="24"/>
          <w:highlight w:val="none"/>
        </w:rPr>
        <w:t>。</w:t>
      </w:r>
    </w:p>
    <w:p w14:paraId="02B72555">
      <w:pPr>
        <w:spacing w:line="500" w:lineRule="exact"/>
        <w:rPr>
          <w:rFonts w:ascii="宋体" w:hAnsi="宋体"/>
          <w:b/>
          <w:sz w:val="24"/>
          <w:szCs w:val="24"/>
          <w:highlight w:val="none"/>
        </w:rPr>
      </w:pPr>
      <w:r>
        <w:rPr>
          <w:rFonts w:ascii="宋体" w:hAnsi="宋体"/>
          <w:b/>
          <w:sz w:val="24"/>
          <w:szCs w:val="24"/>
          <w:highlight w:val="none"/>
        </w:rPr>
        <w:t>20．投标的修改与撤回</w:t>
      </w:r>
    </w:p>
    <w:p w14:paraId="2CFE4B2C">
      <w:pPr>
        <w:spacing w:line="500" w:lineRule="exact"/>
        <w:ind w:firstLine="480" w:firstLineChars="200"/>
        <w:rPr>
          <w:rFonts w:ascii="宋体" w:hAnsi="宋体"/>
          <w:sz w:val="24"/>
          <w:szCs w:val="24"/>
          <w:highlight w:val="none"/>
        </w:rPr>
      </w:pPr>
      <w:r>
        <w:rPr>
          <w:rFonts w:ascii="宋体" w:hAnsi="宋体"/>
          <w:sz w:val="24"/>
          <w:szCs w:val="24"/>
          <w:highlight w:val="none"/>
        </w:rPr>
        <w:t>20.</w:t>
      </w:r>
      <w:r>
        <w:rPr>
          <w:rFonts w:hint="eastAsia" w:ascii="宋体" w:hAnsi="宋体"/>
          <w:sz w:val="24"/>
          <w:szCs w:val="24"/>
          <w:highlight w:val="none"/>
        </w:rPr>
        <w:t>1</w:t>
      </w:r>
      <w:r>
        <w:rPr>
          <w:rFonts w:ascii="宋体" w:hAnsi="宋体"/>
          <w:sz w:val="24"/>
          <w:szCs w:val="24"/>
          <w:highlight w:val="none"/>
        </w:rPr>
        <w:t>投标人在递交投标文件后，可以修改或撤回其投标文件，也可以提出价格变动声明，但投标人必须在规定的投标截止时间之前将修改或撤回或变动价格的书面通知文件递交到采购代理机构。</w:t>
      </w:r>
    </w:p>
    <w:p w14:paraId="368CAB26">
      <w:pPr>
        <w:spacing w:line="500" w:lineRule="exact"/>
        <w:ind w:firstLine="480" w:firstLineChars="200"/>
        <w:rPr>
          <w:rFonts w:ascii="宋体" w:hAnsi="宋体"/>
          <w:bCs/>
          <w:sz w:val="24"/>
          <w:szCs w:val="24"/>
          <w:highlight w:val="none"/>
        </w:rPr>
      </w:pPr>
      <w:r>
        <w:rPr>
          <w:rFonts w:ascii="宋体" w:hAnsi="宋体"/>
          <w:sz w:val="24"/>
          <w:szCs w:val="24"/>
          <w:highlight w:val="none"/>
        </w:rPr>
        <w:t xml:space="preserve">20.2 </w:t>
      </w:r>
      <w:r>
        <w:rPr>
          <w:rFonts w:ascii="宋体" w:hAnsi="宋体"/>
          <w:bCs/>
          <w:sz w:val="24"/>
          <w:szCs w:val="24"/>
          <w:highlight w:val="none"/>
        </w:rPr>
        <w:t>投标人的修改或撤回或变动价格的通知应按本须知第17条</w:t>
      </w:r>
      <w:r>
        <w:rPr>
          <w:rFonts w:hint="eastAsia" w:ascii="宋体" w:hAnsi="宋体"/>
          <w:bCs/>
          <w:sz w:val="24"/>
          <w:szCs w:val="24"/>
          <w:highlight w:val="none"/>
        </w:rPr>
        <w:t>和18条</w:t>
      </w:r>
      <w:r>
        <w:rPr>
          <w:rFonts w:ascii="宋体" w:hAnsi="宋体"/>
          <w:bCs/>
          <w:sz w:val="24"/>
          <w:szCs w:val="24"/>
          <w:highlight w:val="none"/>
        </w:rPr>
        <w:t>的规定编制、密封、标记和递交。</w:t>
      </w:r>
    </w:p>
    <w:p w14:paraId="5426009F">
      <w:pPr>
        <w:spacing w:line="500" w:lineRule="exact"/>
        <w:ind w:firstLine="480" w:firstLineChars="200"/>
        <w:rPr>
          <w:rFonts w:ascii="宋体" w:hAnsi="宋体"/>
          <w:sz w:val="24"/>
          <w:szCs w:val="24"/>
          <w:highlight w:val="none"/>
        </w:rPr>
      </w:pPr>
      <w:r>
        <w:rPr>
          <w:rFonts w:ascii="宋体" w:hAnsi="宋体"/>
          <w:sz w:val="24"/>
          <w:szCs w:val="24"/>
          <w:highlight w:val="none"/>
        </w:rPr>
        <w:t>20.3 在投标截止时间之后，投标人不得对其投标做任何修改或撤回。</w:t>
      </w:r>
      <w:r>
        <w:rPr>
          <w:rFonts w:hint="eastAsia" w:ascii="宋体" w:hAnsi="宋体"/>
          <w:sz w:val="24"/>
          <w:szCs w:val="24"/>
          <w:highlight w:val="none"/>
        </w:rPr>
        <w:t>投标有效期内投标人撤销投标文件的，采购人或者采购代理机构可以不退还投标保证金。</w:t>
      </w:r>
    </w:p>
    <w:p w14:paraId="3D212000">
      <w:pPr>
        <w:spacing w:line="500" w:lineRule="exact"/>
        <w:ind w:firstLine="480" w:firstLineChars="200"/>
        <w:rPr>
          <w:rFonts w:ascii="宋体" w:hAnsi="宋体"/>
          <w:sz w:val="24"/>
          <w:szCs w:val="24"/>
          <w:highlight w:val="none"/>
        </w:rPr>
      </w:pPr>
      <w:r>
        <w:rPr>
          <w:rFonts w:hint="eastAsia" w:ascii="宋体" w:hAnsi="宋体"/>
          <w:sz w:val="24"/>
          <w:szCs w:val="24"/>
          <w:highlight w:val="none"/>
        </w:rPr>
        <w:t>20.4在开标之后，对于投标人正常经营活动必须的资质和其他证明文件原件（包括但不限于：营业执照、税务登记证、经营许可证、资质等级证书、中标通知书、合同等），经审查后予以退还。其他投标文件和资料一律不予退还。</w:t>
      </w:r>
    </w:p>
    <w:p w14:paraId="27F81979">
      <w:pPr>
        <w:spacing w:line="500" w:lineRule="exact"/>
        <w:ind w:firstLine="480" w:firstLineChars="200"/>
        <w:rPr>
          <w:rFonts w:ascii="宋体" w:hAnsi="宋体"/>
          <w:sz w:val="24"/>
          <w:szCs w:val="24"/>
          <w:highlight w:val="none"/>
        </w:rPr>
      </w:pPr>
    </w:p>
    <w:p w14:paraId="29F3C131">
      <w:pPr>
        <w:spacing w:line="500" w:lineRule="exact"/>
        <w:ind w:firstLine="723" w:firstLineChars="200"/>
        <w:jc w:val="center"/>
        <w:rPr>
          <w:rFonts w:ascii="宋体" w:hAnsi="宋体"/>
          <w:b/>
          <w:sz w:val="36"/>
          <w:szCs w:val="36"/>
          <w:highlight w:val="none"/>
        </w:rPr>
      </w:pPr>
      <w:r>
        <w:rPr>
          <w:rFonts w:ascii="宋体" w:hAnsi="宋体"/>
          <w:b/>
          <w:sz w:val="36"/>
          <w:szCs w:val="36"/>
          <w:highlight w:val="none"/>
        </w:rPr>
        <w:t>五.开标</w:t>
      </w:r>
      <w:r>
        <w:rPr>
          <w:rFonts w:hint="eastAsia" w:ascii="宋体" w:hAnsi="宋体"/>
          <w:b/>
          <w:sz w:val="36"/>
          <w:szCs w:val="36"/>
          <w:highlight w:val="none"/>
        </w:rPr>
        <w:t>、审查</w:t>
      </w:r>
      <w:r>
        <w:rPr>
          <w:rFonts w:ascii="宋体" w:hAnsi="宋体"/>
          <w:b/>
          <w:sz w:val="36"/>
          <w:szCs w:val="36"/>
          <w:highlight w:val="none"/>
        </w:rPr>
        <w:t>与评标</w:t>
      </w:r>
    </w:p>
    <w:p w14:paraId="3585936E">
      <w:pPr>
        <w:spacing w:line="500" w:lineRule="exact"/>
        <w:ind w:firstLine="723" w:firstLineChars="200"/>
        <w:jc w:val="center"/>
        <w:rPr>
          <w:rFonts w:ascii="宋体" w:hAnsi="宋体"/>
          <w:b/>
          <w:sz w:val="36"/>
          <w:szCs w:val="36"/>
          <w:highlight w:val="none"/>
        </w:rPr>
      </w:pPr>
    </w:p>
    <w:p w14:paraId="67C1375C">
      <w:pPr>
        <w:spacing w:line="500" w:lineRule="exact"/>
        <w:rPr>
          <w:rFonts w:ascii="宋体" w:hAnsi="宋体"/>
          <w:b/>
          <w:sz w:val="24"/>
          <w:szCs w:val="24"/>
          <w:highlight w:val="none"/>
        </w:rPr>
      </w:pPr>
      <w:r>
        <w:rPr>
          <w:rFonts w:ascii="宋体" w:hAnsi="宋体"/>
          <w:b/>
          <w:sz w:val="24"/>
          <w:szCs w:val="24"/>
          <w:highlight w:val="none"/>
        </w:rPr>
        <w:t>21.开标</w:t>
      </w:r>
    </w:p>
    <w:p w14:paraId="60ADF15A">
      <w:pPr>
        <w:spacing w:line="500" w:lineRule="exact"/>
        <w:ind w:firstLine="480" w:firstLineChars="200"/>
        <w:rPr>
          <w:rFonts w:ascii="宋体" w:hAnsi="宋体"/>
          <w:sz w:val="24"/>
          <w:szCs w:val="24"/>
          <w:highlight w:val="none"/>
        </w:rPr>
      </w:pPr>
      <w:r>
        <w:rPr>
          <w:rFonts w:ascii="宋体" w:hAnsi="宋体"/>
          <w:sz w:val="24"/>
          <w:szCs w:val="24"/>
          <w:highlight w:val="none"/>
        </w:rPr>
        <w:t>21.1 采购代理机构在规定的时间和地点组织公开开标。</w:t>
      </w:r>
    </w:p>
    <w:p w14:paraId="12870F15">
      <w:pPr>
        <w:spacing w:line="500" w:lineRule="exact"/>
        <w:ind w:firstLine="480" w:firstLineChars="200"/>
        <w:rPr>
          <w:rFonts w:ascii="宋体" w:hAnsi="宋体"/>
          <w:sz w:val="24"/>
          <w:szCs w:val="24"/>
          <w:highlight w:val="none"/>
        </w:rPr>
      </w:pPr>
      <w:r>
        <w:rPr>
          <w:rFonts w:ascii="宋体" w:hAnsi="宋体"/>
          <w:sz w:val="24"/>
          <w:szCs w:val="24"/>
          <w:highlight w:val="none"/>
        </w:rPr>
        <w:t>21.2开标时，</w:t>
      </w:r>
      <w:r>
        <w:rPr>
          <w:rFonts w:hint="eastAsia" w:ascii="宋体" w:hAnsi="宋体"/>
          <w:sz w:val="24"/>
          <w:szCs w:val="24"/>
          <w:highlight w:val="none"/>
        </w:rPr>
        <w:t>由投标人代表检查各自在投标截止时间之前递交的投标文件的密封情况，以确认各投标人的投标文件密封情况是否与递交时一致，有无被提前启封等异常情况。</w:t>
      </w:r>
    </w:p>
    <w:p w14:paraId="656D972D">
      <w:pPr>
        <w:spacing w:line="500" w:lineRule="exact"/>
        <w:ind w:firstLine="480" w:firstLineChars="200"/>
        <w:rPr>
          <w:rFonts w:ascii="宋体" w:hAnsi="宋体"/>
          <w:sz w:val="24"/>
          <w:szCs w:val="24"/>
          <w:highlight w:val="none"/>
        </w:rPr>
      </w:pPr>
      <w:r>
        <w:rPr>
          <w:rFonts w:hint="eastAsia" w:ascii="宋体" w:hAnsi="宋体"/>
          <w:sz w:val="24"/>
          <w:szCs w:val="24"/>
          <w:highlight w:val="none"/>
        </w:rPr>
        <w:t>21.3采购代理机构将</w:t>
      </w:r>
      <w:r>
        <w:rPr>
          <w:rFonts w:ascii="宋体" w:hAnsi="宋体"/>
          <w:sz w:val="24"/>
          <w:szCs w:val="24"/>
          <w:highlight w:val="none"/>
        </w:rPr>
        <w:t>当众</w:t>
      </w:r>
      <w:r>
        <w:rPr>
          <w:rFonts w:hint="eastAsia" w:ascii="宋体" w:hAnsi="宋体"/>
          <w:sz w:val="24"/>
          <w:szCs w:val="24"/>
          <w:highlight w:val="none"/>
        </w:rPr>
        <w:t>拆封投标文件，</w:t>
      </w:r>
      <w:r>
        <w:rPr>
          <w:rFonts w:ascii="宋体" w:hAnsi="宋体"/>
          <w:sz w:val="24"/>
          <w:szCs w:val="24"/>
          <w:highlight w:val="none"/>
        </w:rPr>
        <w:t>宣</w:t>
      </w:r>
      <w:r>
        <w:rPr>
          <w:rFonts w:hint="eastAsia" w:ascii="宋体" w:hAnsi="宋体"/>
          <w:sz w:val="24"/>
          <w:szCs w:val="24"/>
          <w:highlight w:val="none"/>
        </w:rPr>
        <w:t>布</w:t>
      </w:r>
      <w:r>
        <w:rPr>
          <w:rFonts w:ascii="宋体" w:hAnsi="宋体"/>
          <w:sz w:val="24"/>
          <w:szCs w:val="24"/>
          <w:highlight w:val="none"/>
        </w:rPr>
        <w:t>投标人名称、投标价格、价格折扣、修改或撤回或变动价格的书面通知（如果有），以及</w:t>
      </w:r>
      <w:r>
        <w:rPr>
          <w:rFonts w:hint="eastAsia" w:ascii="宋体" w:hAnsi="宋体"/>
          <w:sz w:val="24"/>
          <w:szCs w:val="24"/>
          <w:highlight w:val="none"/>
        </w:rPr>
        <w:t>本须知“投标人须知前附表”规定的需要宣布的</w:t>
      </w:r>
      <w:r>
        <w:rPr>
          <w:rFonts w:ascii="宋体" w:hAnsi="宋体"/>
          <w:sz w:val="24"/>
          <w:szCs w:val="24"/>
          <w:highlight w:val="none"/>
        </w:rPr>
        <w:t>其他内容。未在开标时宣读的投标价格和价格折扣，评标时不予承认。</w:t>
      </w:r>
    </w:p>
    <w:p w14:paraId="317FFE70">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4</w:t>
      </w:r>
      <w:r>
        <w:rPr>
          <w:rFonts w:ascii="宋体" w:hAnsi="宋体"/>
          <w:sz w:val="24"/>
          <w:szCs w:val="24"/>
          <w:highlight w:val="none"/>
        </w:rPr>
        <w:t>在开标时没有</w:t>
      </w:r>
      <w:r>
        <w:rPr>
          <w:rFonts w:hint="eastAsia" w:ascii="宋体" w:hAnsi="宋体"/>
          <w:sz w:val="24"/>
          <w:szCs w:val="24"/>
          <w:highlight w:val="none"/>
        </w:rPr>
        <w:t>拆</w:t>
      </w:r>
      <w:r>
        <w:rPr>
          <w:rFonts w:ascii="宋体" w:hAnsi="宋体"/>
          <w:sz w:val="24"/>
          <w:szCs w:val="24"/>
          <w:highlight w:val="none"/>
        </w:rPr>
        <w:t>封和宣读的投标文件将原封退回给投标人。</w:t>
      </w:r>
    </w:p>
    <w:p w14:paraId="3214F533">
      <w:pPr>
        <w:spacing w:line="500" w:lineRule="exact"/>
        <w:ind w:firstLine="480" w:firstLineChars="200"/>
        <w:rPr>
          <w:rFonts w:ascii="宋体" w:hAnsi="宋体"/>
          <w:sz w:val="24"/>
          <w:szCs w:val="24"/>
          <w:highlight w:val="none"/>
        </w:rPr>
      </w:pPr>
      <w:r>
        <w:rPr>
          <w:rFonts w:hint="eastAsia" w:ascii="宋体" w:hAnsi="宋体"/>
          <w:sz w:val="24"/>
          <w:szCs w:val="24"/>
          <w:highlight w:val="none"/>
        </w:rPr>
        <w:t>21.5以邮寄方式递交投标文件的为无效投标，不予启封。</w:t>
      </w:r>
    </w:p>
    <w:p w14:paraId="21C2CA8D">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5</w:t>
      </w:r>
      <w:r>
        <w:rPr>
          <w:rFonts w:ascii="宋体" w:hAnsi="宋体"/>
          <w:sz w:val="24"/>
          <w:szCs w:val="24"/>
          <w:highlight w:val="none"/>
        </w:rPr>
        <w:t xml:space="preserve"> 采购代理机构将做开标记录，存档备查。</w:t>
      </w:r>
    </w:p>
    <w:p w14:paraId="63920B9A">
      <w:pPr>
        <w:spacing w:line="500" w:lineRule="exact"/>
        <w:ind w:firstLine="480" w:firstLineChars="200"/>
        <w:rPr>
          <w:rFonts w:ascii="宋体" w:hAnsi="宋体"/>
          <w:sz w:val="24"/>
          <w:szCs w:val="24"/>
          <w:highlight w:val="none"/>
        </w:rPr>
      </w:pPr>
      <w:r>
        <w:rPr>
          <w:rFonts w:hint="eastAsia" w:ascii="宋体" w:hAnsi="宋体"/>
          <w:sz w:val="24"/>
          <w:szCs w:val="24"/>
          <w:highlight w:val="none"/>
        </w:rPr>
        <w:t>21.6投标人未参加开标的，视同认可开标结果。</w:t>
      </w:r>
    </w:p>
    <w:p w14:paraId="24B8F462">
      <w:pPr>
        <w:spacing w:line="500" w:lineRule="exact"/>
        <w:ind w:firstLine="480" w:firstLineChars="200"/>
        <w:rPr>
          <w:rFonts w:ascii="宋体" w:hAnsi="宋体"/>
          <w:sz w:val="24"/>
          <w:szCs w:val="24"/>
          <w:highlight w:val="none"/>
        </w:rPr>
      </w:pPr>
      <w:r>
        <w:rPr>
          <w:rFonts w:hint="eastAsia" w:ascii="宋体" w:hAnsi="宋体"/>
          <w:sz w:val="24"/>
          <w:szCs w:val="24"/>
          <w:highlight w:val="none"/>
        </w:rPr>
        <w:t>21.7开标结束后，采购人或者采购代理机构将依法对投标人的资格进行审查。合格投标人不足三家的，不进行评标。</w:t>
      </w:r>
    </w:p>
    <w:p w14:paraId="32F52AB7">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22．评标组织及评标原则</w:t>
      </w:r>
    </w:p>
    <w:p w14:paraId="17D67F99">
      <w:pPr>
        <w:spacing w:line="500" w:lineRule="exact"/>
        <w:ind w:firstLine="480" w:firstLineChars="200"/>
        <w:rPr>
          <w:rFonts w:ascii="宋体" w:hAnsi="宋体"/>
          <w:sz w:val="24"/>
          <w:szCs w:val="24"/>
          <w:highlight w:val="none"/>
        </w:rPr>
      </w:pPr>
      <w:r>
        <w:rPr>
          <w:rFonts w:ascii="宋体" w:hAnsi="宋体"/>
          <w:sz w:val="24"/>
          <w:szCs w:val="24"/>
          <w:highlight w:val="none"/>
        </w:rPr>
        <w:t>22.1按照《中华人民共和国政府采购法》</w:t>
      </w:r>
      <w:r>
        <w:rPr>
          <w:rFonts w:hint="eastAsia" w:ascii="宋体" w:hAnsi="宋体"/>
          <w:sz w:val="24"/>
          <w:szCs w:val="24"/>
          <w:highlight w:val="none"/>
        </w:rPr>
        <w:t>、《中华人民共和国政府采购法实施条例》</w:t>
      </w:r>
      <w:r>
        <w:rPr>
          <w:rFonts w:ascii="宋体" w:hAnsi="宋体"/>
          <w:sz w:val="24"/>
          <w:szCs w:val="24"/>
          <w:highlight w:val="none"/>
        </w:rPr>
        <w:t>和《政府采购</w:t>
      </w:r>
      <w:r>
        <w:rPr>
          <w:rFonts w:hint="eastAsia" w:ascii="宋体" w:hAnsi="宋体"/>
          <w:sz w:val="24"/>
          <w:szCs w:val="24"/>
          <w:highlight w:val="none"/>
        </w:rPr>
        <w:t>货物</w:t>
      </w:r>
      <w:r>
        <w:rPr>
          <w:rFonts w:ascii="宋体" w:hAnsi="宋体"/>
          <w:sz w:val="24"/>
          <w:szCs w:val="24"/>
          <w:highlight w:val="none"/>
        </w:rPr>
        <w:t>和服务招标投标管理办法》的规定，依法组建评标委员会。评标委员会按照招标文件规定的评标</w:t>
      </w:r>
      <w:r>
        <w:rPr>
          <w:rFonts w:hint="eastAsia" w:ascii="宋体" w:hAnsi="宋体"/>
          <w:sz w:val="24"/>
          <w:szCs w:val="24"/>
          <w:highlight w:val="none"/>
        </w:rPr>
        <w:t>方</w:t>
      </w:r>
      <w:r>
        <w:rPr>
          <w:rFonts w:ascii="宋体" w:hAnsi="宋体"/>
          <w:sz w:val="24"/>
          <w:szCs w:val="24"/>
          <w:highlight w:val="none"/>
        </w:rPr>
        <w:t>法独立进行评标工作。</w:t>
      </w:r>
    </w:p>
    <w:p w14:paraId="28C972B8">
      <w:pPr>
        <w:spacing w:line="500" w:lineRule="exact"/>
        <w:ind w:firstLine="480" w:firstLineChars="200"/>
        <w:rPr>
          <w:rFonts w:ascii="宋体" w:hAnsi="宋体"/>
          <w:sz w:val="24"/>
          <w:szCs w:val="24"/>
          <w:highlight w:val="none"/>
        </w:rPr>
      </w:pPr>
      <w:r>
        <w:rPr>
          <w:rFonts w:ascii="宋体" w:hAnsi="宋体"/>
          <w:sz w:val="24"/>
          <w:szCs w:val="24"/>
          <w:highlight w:val="none"/>
        </w:rPr>
        <w:t>22.2招标文件和投标文件是评标的依据。在评标中，不得改变招标文件中规定的评标标准、方法和中标条件。投标人不得在</w:t>
      </w:r>
      <w:r>
        <w:rPr>
          <w:rFonts w:hint="eastAsia" w:ascii="宋体" w:hAnsi="宋体"/>
          <w:sz w:val="24"/>
          <w:szCs w:val="24"/>
          <w:highlight w:val="none"/>
        </w:rPr>
        <w:t>投标截止时间后</w:t>
      </w:r>
      <w:r>
        <w:rPr>
          <w:rFonts w:ascii="宋体" w:hAnsi="宋体"/>
          <w:sz w:val="24"/>
          <w:szCs w:val="24"/>
          <w:highlight w:val="none"/>
        </w:rPr>
        <w:t>使用任何方式对投标文件的实质性内容做任何更改。</w:t>
      </w:r>
    </w:p>
    <w:p w14:paraId="7EF4223D">
      <w:pPr>
        <w:spacing w:line="500" w:lineRule="exact"/>
        <w:ind w:firstLine="480" w:firstLineChars="200"/>
        <w:rPr>
          <w:rFonts w:ascii="宋体" w:hAnsi="宋体"/>
          <w:sz w:val="24"/>
          <w:szCs w:val="24"/>
          <w:highlight w:val="none"/>
        </w:rPr>
      </w:pPr>
      <w:r>
        <w:rPr>
          <w:rFonts w:ascii="宋体" w:hAnsi="宋体"/>
          <w:sz w:val="24"/>
          <w:szCs w:val="24"/>
          <w:highlight w:val="none"/>
        </w:rPr>
        <w:t>22.3在评标期间，对</w:t>
      </w:r>
      <w:r>
        <w:rPr>
          <w:rFonts w:hint="eastAsia" w:ascii="宋体" w:hAnsi="宋体"/>
          <w:sz w:val="24"/>
          <w:szCs w:val="24"/>
          <w:highlight w:val="none"/>
        </w:rPr>
        <w:t>于</w:t>
      </w:r>
      <w:r>
        <w:rPr>
          <w:rFonts w:ascii="宋体" w:hAnsi="宋体"/>
          <w:sz w:val="24"/>
          <w:szCs w:val="24"/>
          <w:highlight w:val="none"/>
        </w:rPr>
        <w:t>投标文件中含义不明确、同类问题表述不一致或者有明显文字和计算错误的内容，评标委员会</w:t>
      </w:r>
      <w:r>
        <w:rPr>
          <w:rFonts w:hint="eastAsia" w:ascii="宋体" w:hAnsi="宋体"/>
          <w:sz w:val="24"/>
          <w:szCs w:val="24"/>
          <w:highlight w:val="none"/>
        </w:rPr>
        <w:t>应当</w:t>
      </w:r>
      <w:r>
        <w:rPr>
          <w:rFonts w:ascii="宋体" w:hAnsi="宋体"/>
          <w:sz w:val="24"/>
          <w:szCs w:val="24"/>
          <w:highlight w:val="none"/>
        </w:rPr>
        <w:t>以书面形式（由评标委员会专家签</w:t>
      </w:r>
      <w:r>
        <w:rPr>
          <w:rFonts w:hint="eastAsia" w:ascii="宋体" w:hAnsi="宋体"/>
          <w:sz w:val="24"/>
          <w:szCs w:val="24"/>
          <w:highlight w:val="none"/>
        </w:rPr>
        <w:t>名</w:t>
      </w:r>
      <w:r>
        <w:rPr>
          <w:rFonts w:ascii="宋体" w:hAnsi="宋体"/>
          <w:sz w:val="24"/>
          <w:szCs w:val="24"/>
          <w:highlight w:val="none"/>
        </w:rPr>
        <w:t>）要求投标人做出必要的澄清、说明或者纠正。投标人的澄清、说明或者补正应当采用书面形式，由其</w:t>
      </w:r>
      <w:r>
        <w:rPr>
          <w:rFonts w:hint="eastAsia" w:ascii="宋体" w:hAnsi="宋体"/>
          <w:sz w:val="24"/>
          <w:szCs w:val="24"/>
          <w:highlight w:val="none"/>
        </w:rPr>
        <w:t>法人代表或其</w:t>
      </w:r>
      <w:r>
        <w:rPr>
          <w:rFonts w:ascii="宋体" w:hAnsi="宋体"/>
          <w:sz w:val="24"/>
          <w:szCs w:val="24"/>
          <w:highlight w:val="none"/>
        </w:rPr>
        <w:t>授权的代表</w:t>
      </w:r>
      <w:r>
        <w:rPr>
          <w:rFonts w:hint="eastAsia" w:ascii="宋体" w:hAnsi="宋体"/>
          <w:sz w:val="24"/>
          <w:szCs w:val="24"/>
          <w:highlight w:val="none"/>
        </w:rPr>
        <w:t>签署全名。</w:t>
      </w:r>
      <w:r>
        <w:rPr>
          <w:rFonts w:ascii="宋体" w:hAnsi="宋体"/>
          <w:sz w:val="24"/>
          <w:szCs w:val="24"/>
          <w:highlight w:val="none"/>
        </w:rPr>
        <w:t>投标人的澄清、说明或者补正不得超出投标文件的范围或者改变投标文件的实质性内容。</w:t>
      </w:r>
    </w:p>
    <w:p w14:paraId="01747273">
      <w:pPr>
        <w:spacing w:line="500" w:lineRule="exact"/>
        <w:ind w:firstLine="480" w:firstLineChars="200"/>
        <w:rPr>
          <w:rFonts w:ascii="宋体" w:hAnsi="宋体"/>
          <w:sz w:val="24"/>
          <w:szCs w:val="24"/>
          <w:highlight w:val="none"/>
        </w:rPr>
      </w:pPr>
      <w:r>
        <w:rPr>
          <w:rFonts w:ascii="宋体" w:hAnsi="宋体"/>
          <w:sz w:val="24"/>
          <w:szCs w:val="24"/>
          <w:highlight w:val="none"/>
        </w:rPr>
        <w:t>22.4如果投标人在规定</w:t>
      </w:r>
      <w:r>
        <w:rPr>
          <w:rFonts w:hint="eastAsia" w:ascii="宋体" w:hAnsi="宋体"/>
          <w:sz w:val="24"/>
          <w:szCs w:val="24"/>
          <w:highlight w:val="none"/>
        </w:rPr>
        <w:t>时</w:t>
      </w:r>
      <w:r>
        <w:rPr>
          <w:rFonts w:ascii="宋体" w:hAnsi="宋体"/>
          <w:sz w:val="24"/>
          <w:szCs w:val="24"/>
          <w:highlight w:val="none"/>
        </w:rPr>
        <w:t>限内，未能答复或拒绝答复评委会提出的澄清</w:t>
      </w:r>
      <w:r>
        <w:rPr>
          <w:rFonts w:hint="eastAsia" w:ascii="宋体" w:hAnsi="宋体"/>
          <w:sz w:val="24"/>
          <w:szCs w:val="24"/>
          <w:highlight w:val="none"/>
        </w:rPr>
        <w:t>、说明或者补正的</w:t>
      </w:r>
      <w:r>
        <w:rPr>
          <w:rFonts w:ascii="宋体" w:hAnsi="宋体"/>
          <w:sz w:val="24"/>
          <w:szCs w:val="24"/>
          <w:highlight w:val="none"/>
        </w:rPr>
        <w:t>要求，将由评委会根据其投标文件按最大风险进行评标。</w:t>
      </w:r>
    </w:p>
    <w:p w14:paraId="643804E6">
      <w:pPr>
        <w:spacing w:line="500" w:lineRule="exact"/>
        <w:rPr>
          <w:rFonts w:ascii="宋体" w:hAnsi="宋体"/>
          <w:b/>
          <w:sz w:val="24"/>
          <w:szCs w:val="24"/>
          <w:highlight w:val="none"/>
        </w:rPr>
      </w:pPr>
      <w:r>
        <w:rPr>
          <w:rFonts w:ascii="宋体" w:hAnsi="宋体"/>
          <w:b/>
          <w:sz w:val="24"/>
          <w:szCs w:val="24"/>
          <w:highlight w:val="none"/>
        </w:rPr>
        <w:t>23．评标过程的保密</w:t>
      </w:r>
    </w:p>
    <w:p w14:paraId="000FBB03">
      <w:pPr>
        <w:spacing w:line="500" w:lineRule="exact"/>
        <w:ind w:firstLine="600" w:firstLineChars="250"/>
        <w:rPr>
          <w:rFonts w:ascii="宋体" w:hAnsi="宋体"/>
          <w:sz w:val="24"/>
          <w:szCs w:val="24"/>
          <w:highlight w:val="none"/>
        </w:rPr>
      </w:pPr>
      <w:r>
        <w:rPr>
          <w:rFonts w:ascii="宋体" w:hAnsi="宋体"/>
          <w:sz w:val="24"/>
          <w:szCs w:val="24"/>
          <w:highlight w:val="none"/>
        </w:rPr>
        <w:t>23.1评标委员会成员</w:t>
      </w:r>
      <w:r>
        <w:rPr>
          <w:rFonts w:hint="eastAsia" w:ascii="宋体" w:hAnsi="宋体"/>
          <w:sz w:val="24"/>
          <w:szCs w:val="24"/>
          <w:highlight w:val="none"/>
        </w:rPr>
        <w:t>、采购人与采购代理机构</w:t>
      </w:r>
      <w:r>
        <w:rPr>
          <w:rFonts w:ascii="宋体" w:hAnsi="宋体"/>
          <w:sz w:val="24"/>
          <w:szCs w:val="24"/>
          <w:highlight w:val="none"/>
        </w:rPr>
        <w:t>有关人员</w:t>
      </w:r>
      <w:r>
        <w:rPr>
          <w:rFonts w:hint="eastAsia" w:ascii="宋体" w:hAnsi="宋体"/>
          <w:sz w:val="24"/>
          <w:szCs w:val="24"/>
          <w:highlight w:val="none"/>
        </w:rPr>
        <w:t>对评标情况以及在评标过程中获悉的国家秘密、商业秘密负有保密责任。</w:t>
      </w:r>
    </w:p>
    <w:p w14:paraId="35B2267A">
      <w:pPr>
        <w:spacing w:line="500" w:lineRule="exact"/>
        <w:ind w:left="210" w:leftChars="100" w:firstLine="360" w:firstLineChars="150"/>
        <w:rPr>
          <w:rFonts w:ascii="宋体" w:hAnsi="宋体"/>
          <w:sz w:val="24"/>
          <w:szCs w:val="24"/>
          <w:highlight w:val="none"/>
        </w:rPr>
      </w:pPr>
      <w:r>
        <w:rPr>
          <w:rFonts w:ascii="宋体" w:hAnsi="宋体"/>
          <w:sz w:val="24"/>
          <w:szCs w:val="24"/>
          <w:highlight w:val="none"/>
        </w:rPr>
        <w:t>23.2在评标过程中，如果投标人试图在投标文件的评审和比较、中标候选人的推荐以及与评标有关的其他方面，向评标</w:t>
      </w:r>
      <w:r>
        <w:rPr>
          <w:rFonts w:hint="eastAsia" w:ascii="宋体" w:hAnsi="宋体"/>
          <w:sz w:val="24"/>
          <w:szCs w:val="24"/>
          <w:highlight w:val="none"/>
        </w:rPr>
        <w:t>专家</w:t>
      </w:r>
      <w:r>
        <w:rPr>
          <w:rFonts w:ascii="宋体" w:hAnsi="宋体"/>
          <w:sz w:val="24"/>
          <w:szCs w:val="24"/>
          <w:highlight w:val="none"/>
        </w:rPr>
        <w:t>、采购人和采购代理机构施加任何影响，其投标将</w:t>
      </w:r>
      <w:r>
        <w:rPr>
          <w:rFonts w:hint="eastAsia" w:ascii="宋体" w:hAnsi="宋体"/>
          <w:sz w:val="24"/>
          <w:szCs w:val="24"/>
          <w:highlight w:val="none"/>
        </w:rPr>
        <w:t>按照无效投标处理</w:t>
      </w:r>
      <w:r>
        <w:rPr>
          <w:rFonts w:ascii="宋体" w:hAnsi="宋体"/>
          <w:sz w:val="24"/>
          <w:szCs w:val="24"/>
          <w:highlight w:val="none"/>
        </w:rPr>
        <w:t>。</w:t>
      </w:r>
    </w:p>
    <w:p w14:paraId="14CBD189">
      <w:pPr>
        <w:spacing w:line="500" w:lineRule="exact"/>
        <w:rPr>
          <w:rFonts w:ascii="宋体" w:hAnsi="宋体"/>
          <w:b/>
          <w:sz w:val="24"/>
          <w:szCs w:val="24"/>
          <w:highlight w:val="none"/>
        </w:rPr>
      </w:pPr>
      <w:r>
        <w:rPr>
          <w:rFonts w:ascii="宋体" w:hAnsi="宋体"/>
          <w:b/>
          <w:sz w:val="24"/>
          <w:szCs w:val="24"/>
          <w:highlight w:val="none"/>
        </w:rPr>
        <w:t>24．评标方法</w:t>
      </w:r>
    </w:p>
    <w:p w14:paraId="2E78185F">
      <w:pPr>
        <w:spacing w:line="500" w:lineRule="exact"/>
        <w:ind w:firstLine="480" w:firstLineChars="200"/>
        <w:rPr>
          <w:rFonts w:ascii="宋体" w:hAnsi="宋体"/>
          <w:sz w:val="24"/>
          <w:szCs w:val="24"/>
          <w:highlight w:val="none"/>
        </w:rPr>
      </w:pPr>
      <w:r>
        <w:rPr>
          <w:rFonts w:ascii="宋体" w:hAnsi="宋体"/>
          <w:sz w:val="24"/>
          <w:szCs w:val="24"/>
          <w:highlight w:val="none"/>
        </w:rPr>
        <w:t>24.1按照</w:t>
      </w:r>
      <w:r>
        <w:rPr>
          <w:rFonts w:hint="eastAsia" w:ascii="宋体" w:hAnsi="宋体"/>
          <w:sz w:val="24"/>
          <w:szCs w:val="24"/>
          <w:highlight w:val="none"/>
        </w:rPr>
        <w:t>《中华人民共和国政府采购法》、《中华人民共和国政府采购法实施条例》和</w:t>
      </w:r>
      <w:r>
        <w:rPr>
          <w:rFonts w:ascii="宋体" w:hAnsi="宋体"/>
          <w:sz w:val="24"/>
          <w:szCs w:val="24"/>
          <w:highlight w:val="none"/>
        </w:rPr>
        <w:t>《政府采购</w:t>
      </w:r>
      <w:r>
        <w:rPr>
          <w:rFonts w:hint="eastAsia" w:ascii="宋体" w:hAnsi="宋体"/>
          <w:sz w:val="24"/>
          <w:szCs w:val="24"/>
          <w:highlight w:val="none"/>
        </w:rPr>
        <w:t>货物</w:t>
      </w:r>
      <w:r>
        <w:rPr>
          <w:rFonts w:ascii="宋体" w:hAnsi="宋体"/>
          <w:sz w:val="24"/>
          <w:szCs w:val="24"/>
          <w:highlight w:val="none"/>
        </w:rPr>
        <w:t>和服务招标投标管理办法》的规定，本次评标采用以下评标方法中的一种：具体见“投标人须知前附表”。</w:t>
      </w:r>
    </w:p>
    <w:p w14:paraId="718E354F">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1） 最低评标价法，</w:t>
      </w:r>
      <w:r>
        <w:rPr>
          <w:rFonts w:hint="eastAsia" w:ascii="宋体" w:hAnsi="宋体" w:cs="宋体"/>
          <w:kern w:val="0"/>
          <w:sz w:val="24"/>
          <w:szCs w:val="24"/>
          <w:highlight w:val="none"/>
        </w:rPr>
        <w:t>是指投标文件满足招标文件全部实质性要求，且投标报价最低的投标人为中标候选人的评标方法。</w:t>
      </w:r>
    </w:p>
    <w:p w14:paraId="618AA0DC">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2） 综合评分法，</w:t>
      </w:r>
      <w:r>
        <w:rPr>
          <w:rFonts w:hint="eastAsia" w:ascii="宋体" w:hAnsi="宋体" w:cs="宋体"/>
          <w:kern w:val="0"/>
          <w:sz w:val="24"/>
          <w:szCs w:val="24"/>
          <w:highlight w:val="none"/>
        </w:rPr>
        <w:t>是指投标文件满足招标文件全部实质性要求，且按照评审因素的量化指标评审得分最高的投标人为中标候选人的评标方法。</w:t>
      </w:r>
    </w:p>
    <w:p w14:paraId="0A2FEB3B">
      <w:pPr>
        <w:spacing w:line="500" w:lineRule="exact"/>
        <w:rPr>
          <w:rFonts w:ascii="宋体" w:hAnsi="宋体"/>
          <w:b/>
          <w:sz w:val="24"/>
          <w:szCs w:val="24"/>
          <w:highlight w:val="none"/>
        </w:rPr>
      </w:pPr>
      <w:r>
        <w:rPr>
          <w:rFonts w:ascii="宋体" w:hAnsi="宋体"/>
          <w:b/>
          <w:sz w:val="24"/>
          <w:szCs w:val="24"/>
          <w:highlight w:val="none"/>
        </w:rPr>
        <w:t>25．评</w:t>
      </w:r>
      <w:r>
        <w:rPr>
          <w:rFonts w:hint="eastAsia" w:ascii="宋体" w:hAnsi="宋体"/>
          <w:b/>
          <w:sz w:val="24"/>
          <w:szCs w:val="24"/>
          <w:highlight w:val="none"/>
        </w:rPr>
        <w:t>标</w:t>
      </w:r>
      <w:r>
        <w:rPr>
          <w:rFonts w:ascii="宋体" w:hAnsi="宋体"/>
          <w:b/>
          <w:sz w:val="24"/>
          <w:szCs w:val="24"/>
          <w:highlight w:val="none"/>
        </w:rPr>
        <w:t>程序</w:t>
      </w:r>
    </w:p>
    <w:p w14:paraId="007E46ED">
      <w:pPr>
        <w:spacing w:line="500" w:lineRule="exact"/>
        <w:ind w:firstLine="480" w:firstLineChars="200"/>
        <w:rPr>
          <w:rFonts w:ascii="宋体" w:hAnsi="宋体"/>
          <w:sz w:val="24"/>
          <w:szCs w:val="24"/>
          <w:highlight w:val="none"/>
        </w:rPr>
      </w:pPr>
      <w:r>
        <w:rPr>
          <w:rFonts w:hint="eastAsia" w:ascii="宋体" w:hAnsi="宋体"/>
          <w:sz w:val="24"/>
          <w:szCs w:val="24"/>
          <w:highlight w:val="none"/>
        </w:rPr>
        <w:t>评标程序为</w:t>
      </w:r>
      <w:r>
        <w:rPr>
          <w:rFonts w:ascii="宋体" w:hAnsi="宋体"/>
          <w:sz w:val="24"/>
          <w:szCs w:val="24"/>
          <w:highlight w:val="none"/>
        </w:rPr>
        <w:t>投标文件</w:t>
      </w:r>
      <w:r>
        <w:rPr>
          <w:rFonts w:hint="eastAsia" w:ascii="宋体" w:hAnsi="宋体"/>
          <w:sz w:val="24"/>
          <w:szCs w:val="24"/>
          <w:highlight w:val="none"/>
        </w:rPr>
        <w:t>审查</w:t>
      </w:r>
      <w:r>
        <w:rPr>
          <w:rFonts w:ascii="宋体" w:hAnsi="宋体"/>
          <w:sz w:val="24"/>
          <w:szCs w:val="24"/>
          <w:highlight w:val="none"/>
        </w:rPr>
        <w:t>、澄清</w:t>
      </w:r>
      <w:r>
        <w:rPr>
          <w:rFonts w:hint="eastAsia" w:ascii="宋体" w:hAnsi="宋体"/>
          <w:sz w:val="24"/>
          <w:szCs w:val="24"/>
          <w:highlight w:val="none"/>
        </w:rPr>
        <w:t>、比较与评价、推荐</w:t>
      </w:r>
      <w:r>
        <w:rPr>
          <w:rFonts w:ascii="宋体" w:hAnsi="宋体"/>
          <w:sz w:val="24"/>
          <w:szCs w:val="24"/>
          <w:highlight w:val="none"/>
        </w:rPr>
        <w:t>中标候选</w:t>
      </w:r>
      <w:r>
        <w:rPr>
          <w:rFonts w:hint="eastAsia" w:ascii="宋体" w:hAnsi="宋体"/>
          <w:sz w:val="24"/>
          <w:szCs w:val="24"/>
          <w:highlight w:val="none"/>
        </w:rPr>
        <w:t>人</w:t>
      </w:r>
      <w:r>
        <w:rPr>
          <w:rFonts w:ascii="宋体" w:hAnsi="宋体"/>
          <w:sz w:val="24"/>
          <w:szCs w:val="24"/>
          <w:highlight w:val="none"/>
        </w:rPr>
        <w:t>名单</w:t>
      </w:r>
      <w:r>
        <w:rPr>
          <w:rFonts w:hint="eastAsia" w:ascii="宋体" w:hAnsi="宋体"/>
          <w:sz w:val="24"/>
          <w:szCs w:val="24"/>
          <w:highlight w:val="none"/>
        </w:rPr>
        <w:t>。</w:t>
      </w:r>
    </w:p>
    <w:p w14:paraId="5D119825">
      <w:pPr>
        <w:spacing w:line="500" w:lineRule="exact"/>
        <w:jc w:val="center"/>
        <w:rPr>
          <w:rFonts w:ascii="宋体" w:hAnsi="宋体"/>
          <w:b/>
          <w:sz w:val="36"/>
          <w:szCs w:val="36"/>
          <w:highlight w:val="none"/>
        </w:rPr>
      </w:pPr>
    </w:p>
    <w:p w14:paraId="5A276601">
      <w:pPr>
        <w:spacing w:line="500" w:lineRule="exact"/>
        <w:jc w:val="center"/>
        <w:rPr>
          <w:rFonts w:ascii="宋体" w:hAnsi="宋体"/>
          <w:b/>
          <w:sz w:val="36"/>
          <w:szCs w:val="36"/>
          <w:highlight w:val="none"/>
        </w:rPr>
      </w:pPr>
      <w:r>
        <w:rPr>
          <w:rFonts w:ascii="宋体" w:hAnsi="宋体"/>
          <w:b/>
          <w:sz w:val="36"/>
          <w:szCs w:val="36"/>
          <w:highlight w:val="none"/>
        </w:rPr>
        <w:t>六.定标、中标通知与签约</w:t>
      </w:r>
    </w:p>
    <w:p w14:paraId="5D1DD850">
      <w:pPr>
        <w:spacing w:line="500" w:lineRule="exact"/>
        <w:jc w:val="center"/>
        <w:rPr>
          <w:rFonts w:ascii="宋体" w:hAnsi="宋体"/>
          <w:b/>
          <w:sz w:val="36"/>
          <w:szCs w:val="36"/>
          <w:highlight w:val="none"/>
        </w:rPr>
      </w:pPr>
    </w:p>
    <w:p w14:paraId="1E5AC273">
      <w:pPr>
        <w:spacing w:line="500" w:lineRule="exact"/>
        <w:rPr>
          <w:rFonts w:ascii="宋体" w:hAnsi="宋体"/>
          <w:b/>
          <w:sz w:val="24"/>
          <w:szCs w:val="24"/>
          <w:highlight w:val="none"/>
        </w:rPr>
      </w:pPr>
      <w:r>
        <w:rPr>
          <w:rFonts w:ascii="宋体" w:hAnsi="宋体"/>
          <w:b/>
          <w:sz w:val="24"/>
          <w:szCs w:val="24"/>
          <w:highlight w:val="none"/>
        </w:rPr>
        <w:t>26．定标</w:t>
      </w:r>
    </w:p>
    <w:p w14:paraId="0BBED53C">
      <w:pPr>
        <w:spacing w:line="500" w:lineRule="exact"/>
        <w:ind w:firstLine="480" w:firstLineChars="200"/>
        <w:rPr>
          <w:rFonts w:ascii="宋体" w:hAnsi="宋体"/>
          <w:sz w:val="24"/>
          <w:szCs w:val="24"/>
          <w:highlight w:val="none"/>
        </w:rPr>
      </w:pPr>
      <w:r>
        <w:rPr>
          <w:rFonts w:ascii="宋体" w:hAnsi="宋体"/>
          <w:sz w:val="24"/>
          <w:szCs w:val="24"/>
          <w:highlight w:val="none"/>
        </w:rPr>
        <w:t>26.1评委会根据评标方法的规定对投标人进行评审排序，推荐1～3名中标候选人，作为评标结果。评标结果由全体评委签</w:t>
      </w:r>
      <w:r>
        <w:rPr>
          <w:rFonts w:hint="eastAsia" w:ascii="宋体" w:hAnsi="宋体"/>
          <w:sz w:val="24"/>
          <w:szCs w:val="24"/>
          <w:highlight w:val="none"/>
        </w:rPr>
        <w:t>名</w:t>
      </w:r>
      <w:r>
        <w:rPr>
          <w:rFonts w:ascii="宋体" w:hAnsi="宋体"/>
          <w:sz w:val="24"/>
          <w:szCs w:val="24"/>
          <w:highlight w:val="none"/>
        </w:rPr>
        <w:t>确认。</w:t>
      </w:r>
    </w:p>
    <w:p w14:paraId="0B4358A5">
      <w:pPr>
        <w:spacing w:line="500" w:lineRule="exact"/>
        <w:ind w:firstLine="480" w:firstLineChars="200"/>
        <w:rPr>
          <w:rFonts w:ascii="宋体" w:hAnsi="宋体"/>
          <w:sz w:val="24"/>
          <w:szCs w:val="24"/>
          <w:highlight w:val="none"/>
        </w:rPr>
      </w:pPr>
      <w:r>
        <w:rPr>
          <w:rFonts w:ascii="宋体" w:hAnsi="宋体"/>
          <w:sz w:val="24"/>
          <w:szCs w:val="24"/>
          <w:highlight w:val="none"/>
        </w:rPr>
        <w:t>26.2</w:t>
      </w:r>
      <w:r>
        <w:rPr>
          <w:rFonts w:hint="eastAsia" w:ascii="宋体" w:hAnsi="宋体"/>
          <w:sz w:val="24"/>
          <w:szCs w:val="24"/>
          <w:highlight w:val="none"/>
        </w:rPr>
        <w:t>采购人应当自收到评标报告之日起5个工作日内，在评标报告确定的中标候选人名单中按顺序确定中标人。中标候选人并列的，由采购人自行确定中标人</w:t>
      </w:r>
      <w:r>
        <w:rPr>
          <w:rFonts w:ascii="宋体" w:hAnsi="宋体"/>
          <w:sz w:val="24"/>
          <w:szCs w:val="24"/>
          <w:highlight w:val="none"/>
        </w:rPr>
        <w:t>。</w:t>
      </w:r>
    </w:p>
    <w:p w14:paraId="603419A5">
      <w:pPr>
        <w:spacing w:line="500" w:lineRule="exact"/>
        <w:ind w:firstLine="480" w:firstLineChars="200"/>
        <w:rPr>
          <w:rFonts w:ascii="宋体" w:hAnsi="宋体"/>
          <w:sz w:val="24"/>
          <w:szCs w:val="24"/>
          <w:highlight w:val="none"/>
        </w:rPr>
      </w:pPr>
      <w:r>
        <w:rPr>
          <w:rFonts w:hint="eastAsia" w:ascii="宋体" w:hAnsi="宋体"/>
          <w:sz w:val="24"/>
          <w:szCs w:val="24"/>
          <w:highlight w:val="none"/>
        </w:rPr>
        <w:t>26.3</w:t>
      </w:r>
      <w:r>
        <w:rPr>
          <w:rFonts w:hint="eastAsia" w:ascii="宋体" w:hAnsi="宋体"/>
          <w:spacing w:val="4"/>
          <w:sz w:val="24"/>
          <w:highlight w:val="none"/>
        </w:rPr>
        <w:t>采购人也可以委托评委会直接确定中标人。</w:t>
      </w:r>
    </w:p>
    <w:p w14:paraId="24C2EFDF">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4</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确定之后，中标结果将在</w:t>
      </w:r>
      <w:r>
        <w:rPr>
          <w:rFonts w:hint="eastAsia" w:ascii="宋体" w:hAnsi="宋体"/>
          <w:sz w:val="24"/>
          <w:szCs w:val="24"/>
          <w:highlight w:val="none"/>
        </w:rPr>
        <w:t>省级以上</w:t>
      </w:r>
      <w:r>
        <w:rPr>
          <w:rFonts w:ascii="宋体" w:hAnsi="宋体"/>
          <w:sz w:val="24"/>
          <w:szCs w:val="24"/>
          <w:highlight w:val="none"/>
        </w:rPr>
        <w:t>财政部门指定的媒体上公告。如果中标人为</w:t>
      </w:r>
      <w:r>
        <w:rPr>
          <w:rFonts w:hint="eastAsia" w:ascii="宋体" w:hAnsi="宋体"/>
          <w:sz w:val="24"/>
          <w:szCs w:val="24"/>
          <w:highlight w:val="none"/>
        </w:rPr>
        <w:t>享受政府采购规定扶持政策的企业</w:t>
      </w:r>
      <w:r>
        <w:rPr>
          <w:rFonts w:ascii="宋体" w:hAnsi="宋体"/>
          <w:sz w:val="24"/>
          <w:szCs w:val="24"/>
          <w:highlight w:val="none"/>
        </w:rPr>
        <w:t>，将同时公告其《中小企业声明函》</w:t>
      </w:r>
      <w:r>
        <w:rPr>
          <w:rFonts w:hint="eastAsia" w:ascii="宋体" w:hAnsi="宋体"/>
          <w:sz w:val="24"/>
          <w:szCs w:val="24"/>
          <w:highlight w:val="none"/>
        </w:rPr>
        <w:t>或《残疾人福利性单位声明函》</w:t>
      </w:r>
      <w:r>
        <w:rPr>
          <w:rFonts w:ascii="宋体" w:hAnsi="宋体"/>
          <w:sz w:val="24"/>
          <w:szCs w:val="24"/>
          <w:highlight w:val="none"/>
        </w:rPr>
        <w:t>。</w:t>
      </w:r>
    </w:p>
    <w:p w14:paraId="37BA533F">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5</w:t>
      </w:r>
      <w:r>
        <w:rPr>
          <w:rFonts w:ascii="宋体" w:hAnsi="宋体"/>
          <w:sz w:val="24"/>
          <w:szCs w:val="24"/>
          <w:highlight w:val="none"/>
        </w:rPr>
        <w:t>投标人对中标公告有异议的，</w:t>
      </w:r>
      <w:r>
        <w:rPr>
          <w:rFonts w:hint="eastAsia" w:ascii="宋体" w:hAnsi="宋体"/>
          <w:sz w:val="24"/>
          <w:szCs w:val="24"/>
          <w:highlight w:val="none"/>
        </w:rPr>
        <w:t>按照《中华人民共和国政府采购法》第五十二条、《政府采购质疑和投诉办法》之规定执行。</w:t>
      </w:r>
      <w:r>
        <w:rPr>
          <w:rFonts w:ascii="宋体" w:hAnsi="宋体"/>
          <w:sz w:val="24"/>
          <w:szCs w:val="24"/>
          <w:highlight w:val="none"/>
        </w:rPr>
        <w:t>提出质疑的投标人</w:t>
      </w:r>
      <w:r>
        <w:rPr>
          <w:rFonts w:hint="eastAsia" w:ascii="宋体" w:hAnsi="宋体"/>
          <w:sz w:val="24"/>
          <w:szCs w:val="24"/>
          <w:highlight w:val="none"/>
        </w:rPr>
        <w:t>应当有明确的请求和必要的证明材料，</w:t>
      </w:r>
      <w:r>
        <w:rPr>
          <w:rFonts w:ascii="宋体" w:hAnsi="宋体"/>
          <w:sz w:val="24"/>
          <w:szCs w:val="24"/>
          <w:highlight w:val="none"/>
        </w:rPr>
        <w:t>应保证提出的质疑内容及相应证明材料的真实性及来源的合法性，并承担相应的法律责任。</w:t>
      </w:r>
    </w:p>
    <w:p w14:paraId="2301B1C9">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6中标供应商拒绝与采购人签订合同的，采购人可以按照评审报告推荐的中标候选人名单排序，确定下一候选人为中标人，也可以重新开展政府采购活动。</w:t>
      </w:r>
    </w:p>
    <w:p w14:paraId="698B9E9E">
      <w:pPr>
        <w:spacing w:line="500" w:lineRule="exact"/>
        <w:ind w:firstLine="480" w:firstLineChars="200"/>
        <w:rPr>
          <w:rFonts w:ascii="宋体" w:hAnsi="宋体"/>
          <w:sz w:val="24"/>
          <w:szCs w:val="24"/>
          <w:highlight w:val="none"/>
        </w:rPr>
      </w:pPr>
      <w:r>
        <w:rPr>
          <w:rFonts w:hint="eastAsia" w:ascii="宋体" w:hAnsi="宋体"/>
          <w:sz w:val="24"/>
          <w:szCs w:val="24"/>
          <w:highlight w:val="none"/>
        </w:rPr>
        <w:t>26.7关于本次评标的特别规定（见“投标人须知前附表）。</w:t>
      </w:r>
    </w:p>
    <w:p w14:paraId="4BE24DD9">
      <w:pPr>
        <w:spacing w:line="500" w:lineRule="exact"/>
        <w:rPr>
          <w:rFonts w:ascii="宋体" w:hAnsi="宋体"/>
          <w:b/>
          <w:sz w:val="24"/>
          <w:szCs w:val="24"/>
          <w:highlight w:val="none"/>
        </w:rPr>
      </w:pPr>
      <w:r>
        <w:rPr>
          <w:rFonts w:ascii="宋体" w:hAnsi="宋体"/>
          <w:b/>
          <w:sz w:val="24"/>
          <w:szCs w:val="24"/>
          <w:highlight w:val="none"/>
        </w:rPr>
        <w:t>27．中标与</w:t>
      </w:r>
      <w:r>
        <w:rPr>
          <w:rFonts w:hint="eastAsia" w:ascii="宋体" w:hAnsi="宋体"/>
          <w:b/>
          <w:sz w:val="24"/>
          <w:szCs w:val="24"/>
          <w:highlight w:val="none"/>
        </w:rPr>
        <w:t>招标结果</w:t>
      </w:r>
      <w:r>
        <w:rPr>
          <w:rFonts w:ascii="宋体" w:hAnsi="宋体"/>
          <w:b/>
          <w:sz w:val="24"/>
          <w:szCs w:val="24"/>
          <w:highlight w:val="none"/>
        </w:rPr>
        <w:t>通知</w:t>
      </w:r>
    </w:p>
    <w:p w14:paraId="74B847E2">
      <w:pPr>
        <w:spacing w:line="500" w:lineRule="exact"/>
        <w:ind w:firstLine="480" w:firstLineChars="200"/>
        <w:rPr>
          <w:rFonts w:ascii="宋体" w:hAnsi="宋体"/>
          <w:sz w:val="24"/>
          <w:szCs w:val="24"/>
          <w:highlight w:val="none"/>
        </w:rPr>
      </w:pPr>
      <w:r>
        <w:rPr>
          <w:rFonts w:hint="eastAsia" w:ascii="宋体" w:hAnsi="宋体"/>
          <w:sz w:val="24"/>
          <w:szCs w:val="24"/>
          <w:highlight w:val="none"/>
        </w:rPr>
        <w:t>27.1西北（陕西）国际招标有限公司将自中标人确定之日起2个工作日内，在省级以上财政部门指定的媒体上公告中标结果，招标文件随中标结果同时公告。中标公告期限为1个工作日。</w:t>
      </w:r>
    </w:p>
    <w:p w14:paraId="10A76488">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2在公告中标结果的同时，</w:t>
      </w:r>
      <w:r>
        <w:rPr>
          <w:rFonts w:ascii="宋体" w:hAnsi="宋体"/>
          <w:sz w:val="24"/>
          <w:szCs w:val="24"/>
          <w:highlight w:val="none"/>
        </w:rPr>
        <w:t>西北（陕西）国际招标有限公司</w:t>
      </w:r>
      <w:r>
        <w:rPr>
          <w:rFonts w:hint="eastAsia" w:ascii="宋体" w:hAnsi="宋体"/>
          <w:sz w:val="24"/>
          <w:szCs w:val="24"/>
          <w:highlight w:val="none"/>
        </w:rPr>
        <w:t>将</w:t>
      </w:r>
      <w:r>
        <w:rPr>
          <w:rFonts w:ascii="宋体" w:hAnsi="宋体"/>
          <w:sz w:val="24"/>
          <w:szCs w:val="24"/>
          <w:highlight w:val="none"/>
        </w:rPr>
        <w:t>发出《中标通知书》</w:t>
      </w:r>
      <w:r>
        <w:rPr>
          <w:rFonts w:hint="eastAsia" w:ascii="宋体" w:hAnsi="宋体"/>
          <w:sz w:val="24"/>
          <w:szCs w:val="24"/>
          <w:highlight w:val="none"/>
        </w:rPr>
        <w:t>；</w:t>
      </w:r>
      <w:r>
        <w:rPr>
          <w:rFonts w:ascii="宋体" w:hAnsi="宋体"/>
          <w:sz w:val="24"/>
          <w:szCs w:val="24"/>
          <w:highlight w:val="none"/>
        </w:rPr>
        <w:t xml:space="preserve"> </w:t>
      </w:r>
      <w:r>
        <w:rPr>
          <w:rFonts w:hint="eastAsia" w:ascii="宋体" w:hAnsi="宋体"/>
          <w:sz w:val="24"/>
          <w:szCs w:val="24"/>
          <w:highlight w:val="none"/>
        </w:rPr>
        <w:t>向未中标的投标人发出《招标结果通知》。</w:t>
      </w:r>
    </w:p>
    <w:p w14:paraId="30DA318E">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3</w:t>
      </w:r>
      <w:r>
        <w:rPr>
          <w:rFonts w:ascii="宋体" w:hAnsi="宋体"/>
          <w:sz w:val="24"/>
          <w:szCs w:val="24"/>
          <w:highlight w:val="none"/>
        </w:rPr>
        <w:t>中标通知书对采购人和中标</w:t>
      </w:r>
      <w:r>
        <w:rPr>
          <w:rFonts w:hint="eastAsia" w:ascii="宋体" w:hAnsi="宋体"/>
          <w:sz w:val="24"/>
          <w:szCs w:val="24"/>
          <w:highlight w:val="none"/>
        </w:rPr>
        <w:t>人</w:t>
      </w:r>
      <w:r>
        <w:rPr>
          <w:rFonts w:ascii="宋体" w:hAnsi="宋体"/>
          <w:sz w:val="24"/>
          <w:szCs w:val="24"/>
          <w:highlight w:val="none"/>
        </w:rPr>
        <w:t>具有同等法律效力。中标通知书发出之后，采购人</w:t>
      </w:r>
      <w:r>
        <w:rPr>
          <w:rFonts w:hint="eastAsia" w:ascii="宋体" w:hAnsi="宋体"/>
          <w:sz w:val="24"/>
          <w:szCs w:val="24"/>
          <w:highlight w:val="none"/>
        </w:rPr>
        <w:t>擅自</w:t>
      </w:r>
      <w:r>
        <w:rPr>
          <w:rFonts w:ascii="宋体" w:hAnsi="宋体"/>
          <w:sz w:val="24"/>
          <w:szCs w:val="24"/>
          <w:highlight w:val="none"/>
        </w:rPr>
        <w:t>改变中标结果，或者中标</w:t>
      </w:r>
      <w:r>
        <w:rPr>
          <w:rFonts w:hint="eastAsia" w:ascii="宋体" w:hAnsi="宋体"/>
          <w:sz w:val="24"/>
          <w:szCs w:val="24"/>
          <w:highlight w:val="none"/>
        </w:rPr>
        <w:t>人</w:t>
      </w:r>
      <w:r>
        <w:rPr>
          <w:rFonts w:ascii="宋体" w:hAnsi="宋体"/>
          <w:sz w:val="24"/>
          <w:szCs w:val="24"/>
          <w:highlight w:val="none"/>
        </w:rPr>
        <w:t>放弃中标，应当承担相应的法律责任。</w:t>
      </w:r>
    </w:p>
    <w:p w14:paraId="406FEC47">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4</w:t>
      </w:r>
      <w:r>
        <w:rPr>
          <w:rFonts w:ascii="宋体" w:hAnsi="宋体"/>
          <w:sz w:val="24"/>
          <w:szCs w:val="24"/>
          <w:highlight w:val="none"/>
        </w:rPr>
        <w:t xml:space="preserve"> 中标通知书发出后五个工作日内，西北（陕西）国际招标有限公司退还</w:t>
      </w:r>
      <w:r>
        <w:rPr>
          <w:rFonts w:hint="eastAsia" w:ascii="宋体" w:hAnsi="宋体"/>
          <w:sz w:val="24"/>
          <w:szCs w:val="24"/>
          <w:highlight w:val="none"/>
        </w:rPr>
        <w:t>其</w:t>
      </w:r>
      <w:r>
        <w:rPr>
          <w:rFonts w:ascii="宋体" w:hAnsi="宋体"/>
          <w:sz w:val="24"/>
          <w:szCs w:val="24"/>
          <w:highlight w:val="none"/>
        </w:rPr>
        <w:t>投标保证金。中标人的投标保证金将在合同签订之后五个工作日内退还</w:t>
      </w:r>
      <w:r>
        <w:rPr>
          <w:rFonts w:hint="eastAsia" w:ascii="宋体" w:hAnsi="宋体"/>
          <w:sz w:val="24"/>
          <w:szCs w:val="24"/>
          <w:highlight w:val="none"/>
        </w:rPr>
        <w:t>。</w:t>
      </w:r>
    </w:p>
    <w:p w14:paraId="6E7D502F">
      <w:pPr>
        <w:spacing w:line="500" w:lineRule="exact"/>
        <w:rPr>
          <w:rFonts w:ascii="宋体" w:hAnsi="宋体"/>
          <w:b/>
          <w:sz w:val="24"/>
          <w:szCs w:val="24"/>
          <w:highlight w:val="none"/>
        </w:rPr>
      </w:pPr>
      <w:r>
        <w:rPr>
          <w:rFonts w:ascii="宋体" w:hAnsi="宋体"/>
          <w:b/>
          <w:sz w:val="24"/>
          <w:szCs w:val="24"/>
          <w:highlight w:val="none"/>
        </w:rPr>
        <w:t>28. 中标合同的签订</w:t>
      </w:r>
    </w:p>
    <w:p w14:paraId="69CAFCF7">
      <w:pPr>
        <w:spacing w:line="500" w:lineRule="exact"/>
        <w:ind w:firstLine="480" w:firstLineChars="200"/>
        <w:rPr>
          <w:rFonts w:ascii="宋体" w:hAnsi="宋体"/>
          <w:sz w:val="24"/>
          <w:szCs w:val="24"/>
          <w:highlight w:val="none"/>
        </w:rPr>
      </w:pPr>
      <w:r>
        <w:rPr>
          <w:rFonts w:ascii="宋体" w:hAnsi="宋体"/>
          <w:sz w:val="24"/>
          <w:szCs w:val="24"/>
          <w:highlight w:val="none"/>
        </w:rPr>
        <w:t>28.1采购人应当自中标通知书发出之日起</w:t>
      </w:r>
      <w:r>
        <w:rPr>
          <w:rFonts w:hint="eastAsia" w:ascii="宋体" w:hAnsi="宋体"/>
          <w:sz w:val="24"/>
          <w:szCs w:val="24"/>
          <w:highlight w:val="none"/>
        </w:rPr>
        <w:t>二十五日</w:t>
      </w:r>
      <w:r>
        <w:rPr>
          <w:rFonts w:ascii="宋体" w:hAnsi="宋体"/>
          <w:sz w:val="24"/>
          <w:szCs w:val="24"/>
          <w:highlight w:val="none"/>
        </w:rPr>
        <w:t>内，按照招标文件和中标</w:t>
      </w:r>
      <w:r>
        <w:rPr>
          <w:rFonts w:hint="eastAsia" w:ascii="宋体" w:hAnsi="宋体"/>
          <w:sz w:val="24"/>
          <w:szCs w:val="24"/>
          <w:highlight w:val="none"/>
        </w:rPr>
        <w:t>人</w:t>
      </w:r>
      <w:r>
        <w:rPr>
          <w:rFonts w:ascii="宋体" w:hAnsi="宋体"/>
          <w:sz w:val="24"/>
          <w:szCs w:val="24"/>
          <w:highlight w:val="none"/>
        </w:rPr>
        <w:t>投标文件（包括评标中形成的澄清文件）的</w:t>
      </w:r>
      <w:r>
        <w:rPr>
          <w:rFonts w:hint="eastAsia" w:ascii="宋体" w:hAnsi="宋体"/>
          <w:sz w:val="24"/>
          <w:szCs w:val="24"/>
          <w:highlight w:val="none"/>
        </w:rPr>
        <w:t>规</w:t>
      </w:r>
      <w:r>
        <w:rPr>
          <w:rFonts w:ascii="宋体" w:hAnsi="宋体"/>
          <w:sz w:val="24"/>
          <w:szCs w:val="24"/>
          <w:highlight w:val="none"/>
        </w:rPr>
        <w:t>定，与中标</w:t>
      </w:r>
      <w:r>
        <w:rPr>
          <w:rFonts w:hint="eastAsia" w:ascii="宋体" w:hAnsi="宋体"/>
          <w:sz w:val="24"/>
          <w:szCs w:val="24"/>
          <w:highlight w:val="none"/>
        </w:rPr>
        <w:t>人</w:t>
      </w:r>
      <w:r>
        <w:rPr>
          <w:rFonts w:ascii="宋体" w:hAnsi="宋体"/>
          <w:sz w:val="24"/>
          <w:szCs w:val="24"/>
          <w:highlight w:val="none"/>
        </w:rPr>
        <w:t>签订书面合同。</w:t>
      </w:r>
      <w:r>
        <w:rPr>
          <w:rFonts w:hint="eastAsia" w:ascii="宋体" w:hAnsi="宋体"/>
          <w:sz w:val="24"/>
          <w:szCs w:val="24"/>
          <w:highlight w:val="none"/>
        </w:rPr>
        <w:t>所签订的合同不得对招标文件确定的事项和中标人投标文件作实质性修改。</w:t>
      </w:r>
    </w:p>
    <w:p w14:paraId="535E73DA">
      <w:pPr>
        <w:spacing w:line="500" w:lineRule="exact"/>
        <w:ind w:firstLine="480" w:firstLineChars="200"/>
        <w:rPr>
          <w:rFonts w:ascii="宋体" w:hAnsi="宋体"/>
          <w:sz w:val="24"/>
          <w:szCs w:val="24"/>
          <w:highlight w:val="none"/>
        </w:rPr>
      </w:pPr>
      <w:r>
        <w:rPr>
          <w:rFonts w:ascii="宋体" w:hAnsi="宋体"/>
          <w:sz w:val="24"/>
          <w:szCs w:val="24"/>
          <w:highlight w:val="none"/>
        </w:rPr>
        <w:t>28.2</w:t>
      </w:r>
      <w:r>
        <w:rPr>
          <w:rFonts w:hint="eastAsia" w:ascii="宋体" w:hAnsi="宋体"/>
          <w:sz w:val="24"/>
          <w:szCs w:val="24"/>
          <w:highlight w:val="none"/>
        </w:rPr>
        <w:t>采购人自政府采购合同签订之日起2个工作日内，将政府采购合同在省级以上人民政府财政部门指定的媒体上公告，但政府采购合同中涉及国家秘密、商业秘密的内容除外。</w:t>
      </w:r>
    </w:p>
    <w:p w14:paraId="589388CE">
      <w:pPr>
        <w:spacing w:line="500" w:lineRule="exact"/>
        <w:rPr>
          <w:rFonts w:ascii="宋体" w:hAnsi="宋体"/>
          <w:b/>
          <w:sz w:val="24"/>
          <w:szCs w:val="24"/>
          <w:highlight w:val="none"/>
        </w:rPr>
      </w:pPr>
      <w:r>
        <w:rPr>
          <w:rFonts w:ascii="宋体" w:hAnsi="宋体"/>
          <w:b/>
          <w:sz w:val="24"/>
          <w:szCs w:val="24"/>
          <w:highlight w:val="none"/>
        </w:rPr>
        <w:t>29．</w:t>
      </w:r>
      <w:r>
        <w:rPr>
          <w:rFonts w:hint="eastAsia" w:ascii="宋体" w:hAnsi="宋体"/>
          <w:b/>
          <w:sz w:val="24"/>
          <w:szCs w:val="24"/>
          <w:highlight w:val="none"/>
        </w:rPr>
        <w:t>中标合同的履约验收</w:t>
      </w:r>
    </w:p>
    <w:p w14:paraId="017B4723">
      <w:pPr>
        <w:spacing w:line="500" w:lineRule="exact"/>
        <w:ind w:firstLine="480" w:firstLineChars="200"/>
        <w:rPr>
          <w:rFonts w:ascii="宋体" w:hAnsi="宋体"/>
          <w:sz w:val="24"/>
          <w:szCs w:val="24"/>
          <w:highlight w:val="none"/>
        </w:rPr>
      </w:pPr>
      <w:r>
        <w:rPr>
          <w:rFonts w:ascii="宋体" w:hAnsi="宋体"/>
          <w:sz w:val="24"/>
          <w:szCs w:val="24"/>
          <w:highlight w:val="none"/>
        </w:rPr>
        <w:t>29.1</w:t>
      </w:r>
      <w:r>
        <w:rPr>
          <w:rFonts w:hint="eastAsia" w:ascii="宋体" w:hAnsi="宋体" w:cs="宋体"/>
          <w:kern w:val="0"/>
          <w:sz w:val="24"/>
          <w:szCs w:val="24"/>
          <w:highlight w:val="none"/>
        </w:rPr>
        <w:t>政府采购合同的履行、违约责任和解决争议的方法等适用《民法典》。</w:t>
      </w:r>
      <w:r>
        <w:rPr>
          <w:rFonts w:hint="eastAsia" w:ascii="宋体" w:hAnsi="宋体"/>
          <w:sz w:val="24"/>
          <w:szCs w:val="24"/>
          <w:highlight w:val="none"/>
        </w:rPr>
        <w:t>采购人按照政府采购合同规定的技术、服务、安全标准组织对供应商履约情况进行验收，并出具验收书。</w:t>
      </w:r>
    </w:p>
    <w:p w14:paraId="53843770">
      <w:pPr>
        <w:spacing w:line="500" w:lineRule="exact"/>
        <w:rPr>
          <w:rFonts w:ascii="宋体" w:hAnsi="宋体"/>
          <w:b/>
          <w:sz w:val="24"/>
          <w:szCs w:val="24"/>
          <w:highlight w:val="none"/>
        </w:rPr>
      </w:pPr>
      <w:r>
        <w:rPr>
          <w:rFonts w:hint="eastAsia" w:ascii="宋体" w:hAnsi="宋体"/>
          <w:b/>
          <w:sz w:val="24"/>
          <w:szCs w:val="24"/>
          <w:highlight w:val="none"/>
        </w:rPr>
        <w:t>30</w:t>
      </w:r>
      <w:r>
        <w:rPr>
          <w:rFonts w:ascii="宋体" w:hAnsi="宋体"/>
          <w:b/>
          <w:sz w:val="24"/>
          <w:szCs w:val="24"/>
          <w:highlight w:val="none"/>
        </w:rPr>
        <w:t>．招标代理服务费</w:t>
      </w:r>
    </w:p>
    <w:p w14:paraId="57B54390">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.1中标单位应在收到中标通知书</w:t>
      </w:r>
      <w:r>
        <w:rPr>
          <w:rFonts w:hint="eastAsia" w:ascii="宋体" w:hAnsi="宋体"/>
          <w:sz w:val="24"/>
          <w:szCs w:val="24"/>
          <w:highlight w:val="none"/>
        </w:rPr>
        <w:t>3</w:t>
      </w:r>
      <w:r>
        <w:rPr>
          <w:rFonts w:ascii="宋体" w:hAnsi="宋体"/>
          <w:sz w:val="24"/>
          <w:szCs w:val="24"/>
          <w:highlight w:val="none"/>
        </w:rPr>
        <w:t>日内，向西北（陕西）国际招标有限公司一次性支付招标代理服务费。</w:t>
      </w:r>
    </w:p>
    <w:p w14:paraId="514686C2">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.2招标代理服务费的金额见前附表</w:t>
      </w:r>
      <w:r>
        <w:rPr>
          <w:rFonts w:hint="eastAsia" w:ascii="宋体" w:hAnsi="宋体"/>
          <w:sz w:val="24"/>
          <w:szCs w:val="24"/>
          <w:highlight w:val="none"/>
        </w:rPr>
        <w:t>。</w:t>
      </w:r>
    </w:p>
    <w:p w14:paraId="4309D5D7">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1</w:t>
      </w:r>
      <w:r>
        <w:rPr>
          <w:rFonts w:ascii="宋体" w:hAnsi="宋体"/>
          <w:b/>
          <w:sz w:val="24"/>
          <w:szCs w:val="24"/>
          <w:highlight w:val="none"/>
        </w:rPr>
        <w:t>.</w:t>
      </w:r>
      <w:r>
        <w:rPr>
          <w:rFonts w:hint="eastAsia" w:ascii="宋体" w:hAnsi="宋体"/>
          <w:b/>
          <w:sz w:val="24"/>
          <w:szCs w:val="24"/>
          <w:highlight w:val="none"/>
        </w:rPr>
        <w:t>废标与采购方式的变更</w:t>
      </w:r>
    </w:p>
    <w:p w14:paraId="15817D80">
      <w:pPr>
        <w:spacing w:line="500" w:lineRule="exact"/>
        <w:ind w:firstLine="480" w:firstLineChars="200"/>
        <w:rPr>
          <w:rFonts w:ascii="宋体" w:hAnsi="宋体"/>
          <w:sz w:val="24"/>
          <w:szCs w:val="24"/>
          <w:highlight w:val="none"/>
        </w:rPr>
      </w:pPr>
      <w:r>
        <w:rPr>
          <w:rFonts w:ascii="宋体" w:hAnsi="宋体"/>
          <w:sz w:val="24"/>
          <w:szCs w:val="24"/>
          <w:highlight w:val="none"/>
        </w:rPr>
        <w:t>3</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在招标采购中</w:t>
      </w:r>
      <w:r>
        <w:rPr>
          <w:rFonts w:ascii="宋体" w:hAnsi="宋体"/>
          <w:sz w:val="24"/>
          <w:szCs w:val="24"/>
          <w:highlight w:val="none"/>
        </w:rPr>
        <w:t>，出现下列情形之一的</w:t>
      </w:r>
      <w:r>
        <w:rPr>
          <w:rFonts w:hint="eastAsia" w:ascii="宋体" w:hAnsi="宋体"/>
          <w:sz w:val="24"/>
          <w:szCs w:val="24"/>
          <w:highlight w:val="none"/>
        </w:rPr>
        <w:t>，</w:t>
      </w:r>
      <w:r>
        <w:rPr>
          <w:rFonts w:ascii="宋体" w:hAnsi="宋体"/>
          <w:sz w:val="24"/>
          <w:szCs w:val="24"/>
          <w:highlight w:val="none"/>
        </w:rPr>
        <w:t>应予</w:t>
      </w:r>
      <w:r>
        <w:rPr>
          <w:rFonts w:hint="eastAsia" w:ascii="宋体" w:hAnsi="宋体"/>
          <w:sz w:val="24"/>
          <w:szCs w:val="24"/>
          <w:highlight w:val="none"/>
        </w:rPr>
        <w:t>以</w:t>
      </w:r>
      <w:r>
        <w:rPr>
          <w:rFonts w:ascii="宋体" w:hAnsi="宋体"/>
          <w:sz w:val="24"/>
          <w:szCs w:val="24"/>
          <w:highlight w:val="none"/>
        </w:rPr>
        <w:t>废标</w:t>
      </w:r>
      <w:r>
        <w:rPr>
          <w:rFonts w:hint="eastAsia" w:ascii="宋体" w:hAnsi="宋体"/>
          <w:sz w:val="24"/>
          <w:szCs w:val="24"/>
          <w:highlight w:val="none"/>
        </w:rPr>
        <w:t>：</w:t>
      </w:r>
      <w:r>
        <w:rPr>
          <w:rFonts w:ascii="宋体" w:hAnsi="宋体"/>
          <w:sz w:val="24"/>
          <w:szCs w:val="24"/>
          <w:highlight w:val="none"/>
        </w:rPr>
        <w:t>　　</w:t>
      </w:r>
    </w:p>
    <w:p w14:paraId="48CC3797">
      <w:pPr>
        <w:spacing w:line="500" w:lineRule="exact"/>
        <w:ind w:left="2" w:firstLine="477" w:firstLineChars="199"/>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一</w:t>
      </w:r>
      <w:r>
        <w:rPr>
          <w:rFonts w:ascii="宋体" w:hAnsi="宋体"/>
          <w:sz w:val="24"/>
          <w:szCs w:val="24"/>
          <w:highlight w:val="none"/>
        </w:rPr>
        <w:t xml:space="preserve">）符合专业条件的供应商或者对招标文件作实质响应的供应商不足三家的； </w:t>
      </w:r>
    </w:p>
    <w:p w14:paraId="3E60A99E">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（二）出现影响采购公正的违法、违规行为的； </w:t>
      </w:r>
    </w:p>
    <w:p w14:paraId="1865BA7F">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（三）投标人的报价均超过了采购预算，采购人不能支付的；</w:t>
      </w:r>
    </w:p>
    <w:p w14:paraId="2D5BFE93">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（四）因重大变故，采购任务取消的。 </w:t>
      </w:r>
    </w:p>
    <w:p w14:paraId="00818BFC">
      <w:pPr>
        <w:spacing w:line="500" w:lineRule="exact"/>
        <w:ind w:left="1079" w:leftChars="228" w:hanging="600" w:hangingChars="250"/>
        <w:rPr>
          <w:rFonts w:ascii="宋体" w:hAnsi="宋体"/>
          <w:sz w:val="24"/>
          <w:szCs w:val="24"/>
          <w:highlight w:val="none"/>
        </w:rPr>
      </w:pPr>
      <w:r>
        <w:rPr>
          <w:rFonts w:hint="eastAsia" w:ascii="宋体" w:hAnsi="宋体"/>
          <w:sz w:val="24"/>
          <w:szCs w:val="24"/>
          <w:highlight w:val="none"/>
        </w:rPr>
        <w:t xml:space="preserve">31.2 </w:t>
      </w:r>
      <w:r>
        <w:rPr>
          <w:rFonts w:ascii="宋体" w:hAnsi="宋体"/>
          <w:sz w:val="24"/>
          <w:szCs w:val="24"/>
          <w:highlight w:val="none"/>
        </w:rPr>
        <w:t>废标后，除采购任务取消情形外，</w:t>
      </w:r>
      <w:r>
        <w:rPr>
          <w:rFonts w:hint="eastAsia" w:ascii="宋体" w:hAnsi="宋体"/>
          <w:sz w:val="24"/>
          <w:szCs w:val="24"/>
          <w:highlight w:val="none"/>
        </w:rPr>
        <w:t>按照以下方式处理：</w:t>
      </w:r>
    </w:p>
    <w:p w14:paraId="47E62115">
      <w:pPr>
        <w:spacing w:line="500" w:lineRule="exact"/>
        <w:ind w:firstLine="480" w:firstLineChars="200"/>
        <w:rPr>
          <w:rFonts w:ascii="宋体" w:hAnsi="宋体"/>
          <w:sz w:val="24"/>
          <w:szCs w:val="24"/>
          <w:highlight w:val="none"/>
        </w:rPr>
      </w:pPr>
      <w:r>
        <w:rPr>
          <w:rFonts w:hint="eastAsia" w:ascii="宋体" w:hAnsi="宋体"/>
          <w:sz w:val="24"/>
          <w:szCs w:val="24"/>
          <w:highlight w:val="none"/>
        </w:rPr>
        <w:t>（一）招标文件存在不合理条款或者招标程序不符合规定的，采购人、采购代理机构改正后依法重新招标；</w:t>
      </w:r>
    </w:p>
    <w:p w14:paraId="39B9EEA5">
      <w:pPr>
        <w:spacing w:line="500" w:lineRule="exact"/>
        <w:ind w:firstLine="480" w:firstLineChars="200"/>
        <w:rPr>
          <w:rFonts w:ascii="宋体" w:hAnsi="宋体"/>
          <w:sz w:val="24"/>
          <w:szCs w:val="24"/>
          <w:highlight w:val="none"/>
        </w:rPr>
      </w:pPr>
      <w:r>
        <w:rPr>
          <w:rFonts w:hint="eastAsia" w:ascii="宋体" w:hAnsi="宋体"/>
          <w:sz w:val="24"/>
          <w:szCs w:val="24"/>
          <w:highlight w:val="none"/>
        </w:rPr>
        <w:t>（二）招标文件没有不合理条款、招标程序符合规定，需要重新招标的，依法重新招标；需要采用其他采购方式采购的，采购人应当依法报财政部门批准。</w:t>
      </w:r>
    </w:p>
    <w:p w14:paraId="6BC47D67">
      <w:pPr>
        <w:spacing w:line="500" w:lineRule="exact"/>
        <w:rPr>
          <w:rFonts w:ascii="宋体" w:hAnsi="宋体"/>
          <w:b/>
          <w:sz w:val="24"/>
          <w:szCs w:val="24"/>
          <w:highlight w:val="none"/>
        </w:rPr>
      </w:pPr>
      <w:r>
        <w:rPr>
          <w:rFonts w:hint="eastAsia" w:ascii="宋体" w:hAnsi="宋体"/>
          <w:b/>
          <w:sz w:val="24"/>
          <w:szCs w:val="24"/>
          <w:highlight w:val="none"/>
        </w:rPr>
        <w:t>*</w:t>
      </w:r>
      <w:r>
        <w:rPr>
          <w:rFonts w:ascii="宋体" w:hAnsi="宋体"/>
          <w:b/>
          <w:sz w:val="24"/>
          <w:szCs w:val="24"/>
          <w:highlight w:val="none"/>
        </w:rPr>
        <w:t>3</w:t>
      </w:r>
      <w:r>
        <w:rPr>
          <w:rFonts w:hint="eastAsia" w:ascii="宋体" w:hAnsi="宋体"/>
          <w:b/>
          <w:sz w:val="24"/>
          <w:szCs w:val="24"/>
          <w:highlight w:val="none"/>
        </w:rPr>
        <w:t>2</w:t>
      </w:r>
      <w:r>
        <w:rPr>
          <w:rFonts w:ascii="宋体" w:hAnsi="宋体"/>
          <w:b/>
          <w:sz w:val="24"/>
          <w:szCs w:val="24"/>
          <w:highlight w:val="none"/>
        </w:rPr>
        <w:t>.充分、公平竞争保障措施</w:t>
      </w:r>
    </w:p>
    <w:p w14:paraId="16462CA1">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32.1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4ABA069B">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32.2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09BC566A">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32.3非单一产品采购项目，在第六章“招标内容一览表”中载明核心产品，核心产品允许有多个，不同供应商提供了任意一个相同品牌的核心产品，即视为提供相同品牌的供应商，按以上规定处理。</w:t>
      </w:r>
    </w:p>
    <w:p w14:paraId="155D1F95">
      <w:pPr>
        <w:spacing w:line="500" w:lineRule="exact"/>
        <w:ind w:firstLine="480" w:firstLineChars="200"/>
        <w:rPr>
          <w:rFonts w:ascii="宋体" w:hAnsi="宋体"/>
          <w:sz w:val="24"/>
          <w:szCs w:val="24"/>
          <w:highlight w:val="none"/>
        </w:rPr>
      </w:pPr>
      <w:r>
        <w:rPr>
          <w:rFonts w:hint="eastAsia" w:ascii="宋体" w:hAnsi="宋体" w:cs="宋体"/>
          <w:kern w:val="0"/>
          <w:sz w:val="24"/>
          <w:szCs w:val="24"/>
          <w:highlight w:val="none"/>
        </w:rPr>
        <w:t>33.</w:t>
      </w:r>
      <w:r>
        <w:rPr>
          <w:rFonts w:hint="eastAsia" w:ascii="宋体" w:hAnsi="宋体"/>
          <w:sz w:val="24"/>
          <w:szCs w:val="24"/>
          <w:highlight w:val="none"/>
        </w:rPr>
        <w:t>其它事项说明</w:t>
      </w:r>
    </w:p>
    <w:p w14:paraId="7E9BED38">
      <w:pPr>
        <w:spacing w:line="500" w:lineRule="exact"/>
        <w:ind w:firstLine="480" w:firstLineChars="200"/>
        <w:rPr>
          <w:rFonts w:ascii="宋体" w:hAnsi="宋体"/>
          <w:sz w:val="24"/>
          <w:szCs w:val="24"/>
          <w:highlight w:val="none"/>
        </w:rPr>
      </w:pPr>
      <w:r>
        <w:rPr>
          <w:rFonts w:hint="eastAsia" w:ascii="宋体" w:hAnsi="宋体"/>
          <w:sz w:val="24"/>
          <w:szCs w:val="24"/>
          <w:highlight w:val="none"/>
        </w:rPr>
        <w:t>详见“投标人须知前附表”相关内容</w:t>
      </w:r>
    </w:p>
    <w:p w14:paraId="1A4B47ED">
      <w:pPr>
        <w:pStyle w:val="8"/>
        <w:rPr>
          <w:highlight w:val="none"/>
        </w:rPr>
      </w:pPr>
    </w:p>
    <w:p w14:paraId="5585E3D4">
      <w:pPr>
        <w:spacing w:line="360" w:lineRule="auto"/>
        <w:ind w:firstLine="870" w:firstLineChars="197"/>
        <w:jc w:val="center"/>
        <w:outlineLvl w:val="0"/>
        <w:rPr>
          <w:rFonts w:ascii="宋体" w:hAnsi="宋体"/>
          <w:b/>
          <w:sz w:val="44"/>
          <w:highlight w:val="none"/>
        </w:rPr>
      </w:pPr>
      <w:r>
        <w:rPr>
          <w:rFonts w:ascii="宋体" w:hAnsi="宋体"/>
          <w:b/>
          <w:sz w:val="44"/>
          <w:highlight w:val="none"/>
        </w:rPr>
        <w:br w:type="page"/>
      </w:r>
      <w:bookmarkStart w:id="6" w:name="_Toc6717"/>
      <w:r>
        <w:rPr>
          <w:rFonts w:hint="eastAsia" w:ascii="宋体" w:hAnsi="宋体"/>
          <w:b/>
          <w:sz w:val="44"/>
          <w:highlight w:val="none"/>
        </w:rPr>
        <w:t>第三章 合同文本</w:t>
      </w:r>
      <w:bookmarkEnd w:id="6"/>
    </w:p>
    <w:p w14:paraId="5E5E7A26">
      <w:pPr>
        <w:jc w:val="center"/>
        <w:rPr>
          <w:rFonts w:ascii="宋体" w:hAnsi="宋体"/>
          <w:sz w:val="24"/>
          <w:szCs w:val="24"/>
          <w:highlight w:val="none"/>
        </w:rPr>
      </w:pPr>
    </w:p>
    <w:p w14:paraId="173865D5">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第一部分 合同通用条款</w:t>
      </w:r>
    </w:p>
    <w:p w14:paraId="562F7283">
      <w:pPr>
        <w:spacing w:line="420" w:lineRule="exact"/>
        <w:rPr>
          <w:rFonts w:ascii="宋体" w:hAnsi="宋体"/>
          <w:b/>
          <w:sz w:val="24"/>
          <w:highlight w:val="none"/>
        </w:rPr>
      </w:pPr>
      <w:r>
        <w:rPr>
          <w:rFonts w:hint="eastAsia" w:ascii="宋体" w:hAnsi="宋体"/>
          <w:b/>
          <w:sz w:val="24"/>
          <w:highlight w:val="none"/>
        </w:rPr>
        <w:t>1.定义</w:t>
      </w:r>
    </w:p>
    <w:p w14:paraId="5E011745">
      <w:pPr>
        <w:spacing w:line="420" w:lineRule="exact"/>
        <w:ind w:firstLine="600"/>
        <w:rPr>
          <w:rFonts w:ascii="宋体" w:hAnsi="宋体"/>
          <w:sz w:val="24"/>
          <w:highlight w:val="none"/>
        </w:rPr>
      </w:pPr>
      <w:r>
        <w:rPr>
          <w:rFonts w:hint="eastAsia" w:ascii="宋体" w:hAnsi="宋体"/>
          <w:sz w:val="24"/>
          <w:highlight w:val="none"/>
        </w:rPr>
        <w:t xml:space="preserve"> 本合同下列术语应解释为:</w:t>
      </w:r>
    </w:p>
    <w:p w14:paraId="6F25FA20">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“合同”系指买卖双方签署的、合同格式中载明的买卖双方所达成的协</w:t>
      </w:r>
    </w:p>
    <w:p w14:paraId="5A5C68E1">
      <w:pPr>
        <w:spacing w:line="420" w:lineRule="exact"/>
        <w:ind w:left="178" w:leftChars="85"/>
        <w:rPr>
          <w:rFonts w:ascii="宋体" w:hAnsi="宋体"/>
          <w:sz w:val="24"/>
          <w:highlight w:val="none"/>
        </w:rPr>
      </w:pPr>
      <w:r>
        <w:rPr>
          <w:rFonts w:hint="eastAsia" w:ascii="宋体" w:hAnsi="宋体"/>
          <w:sz w:val="24"/>
          <w:highlight w:val="none"/>
        </w:rPr>
        <w:t>议,包括所有的附件、附录和上述文件所提到的构成合同的所有文件。</w:t>
      </w:r>
    </w:p>
    <w:p w14:paraId="47ADEDC3">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“合同价”系指根据本合同规定，卖方在正确地完全履行合同义务后买</w:t>
      </w:r>
    </w:p>
    <w:p w14:paraId="28C4C599">
      <w:pPr>
        <w:spacing w:line="420" w:lineRule="exact"/>
        <w:ind w:left="178" w:leftChars="85"/>
        <w:rPr>
          <w:rFonts w:ascii="宋体" w:hAnsi="宋体"/>
          <w:sz w:val="24"/>
          <w:highlight w:val="none"/>
        </w:rPr>
      </w:pPr>
      <w:r>
        <w:rPr>
          <w:rFonts w:hint="eastAsia" w:ascii="宋体" w:hAnsi="宋体"/>
          <w:sz w:val="24"/>
          <w:highlight w:val="none"/>
        </w:rPr>
        <w:t>方应支付给卖方的价格。</w:t>
      </w:r>
    </w:p>
    <w:p w14:paraId="1CEB0E6A">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“货物”系指卖方根据合同规定，须向买方提供的一切材料、设备、机</w:t>
      </w:r>
    </w:p>
    <w:p w14:paraId="7C87DD59">
      <w:pPr>
        <w:spacing w:line="420" w:lineRule="exact"/>
        <w:ind w:left="178" w:leftChars="85"/>
        <w:rPr>
          <w:rFonts w:ascii="宋体" w:hAnsi="宋体"/>
          <w:sz w:val="24"/>
          <w:highlight w:val="none"/>
        </w:rPr>
      </w:pPr>
      <w:r>
        <w:rPr>
          <w:rFonts w:hint="eastAsia" w:ascii="宋体" w:hAnsi="宋体"/>
          <w:sz w:val="24"/>
          <w:highlight w:val="none"/>
        </w:rPr>
        <w:t>械、仪表、备件、工具和其它材料。</w:t>
      </w:r>
    </w:p>
    <w:p w14:paraId="1889E848">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“服务”系指根据合同规定，卖方承担与供货有关的服务。如运输、保</w:t>
      </w:r>
    </w:p>
    <w:p w14:paraId="1741817F">
      <w:pPr>
        <w:spacing w:line="420" w:lineRule="exact"/>
        <w:ind w:left="178" w:leftChars="85"/>
        <w:rPr>
          <w:rFonts w:ascii="宋体" w:hAnsi="宋体"/>
          <w:sz w:val="24"/>
          <w:highlight w:val="none"/>
        </w:rPr>
      </w:pPr>
      <w:r>
        <w:rPr>
          <w:rFonts w:hint="eastAsia" w:ascii="宋体" w:hAnsi="宋体"/>
          <w:sz w:val="24"/>
          <w:highlight w:val="none"/>
        </w:rPr>
        <w:t>险以及其它的伴随服务；例如安装、调试、提供技术援助、培训和合同中规定的卖方应承担的其它义务。</w:t>
      </w:r>
    </w:p>
    <w:p w14:paraId="5CE0288C">
      <w:pPr>
        <w:spacing w:line="420" w:lineRule="exact"/>
        <w:ind w:firstLine="600"/>
        <w:rPr>
          <w:rFonts w:ascii="宋体" w:hAnsi="宋体"/>
          <w:sz w:val="24"/>
          <w:highlight w:val="none"/>
        </w:rPr>
      </w:pPr>
      <w:r>
        <w:rPr>
          <w:rFonts w:hint="eastAsia" w:ascii="宋体" w:hAnsi="宋体"/>
          <w:sz w:val="24"/>
          <w:highlight w:val="none"/>
        </w:rPr>
        <w:t>5）“合同条款”系指本合同条款。</w:t>
      </w:r>
    </w:p>
    <w:p w14:paraId="2B3954B5">
      <w:pPr>
        <w:spacing w:line="420" w:lineRule="exact"/>
        <w:ind w:firstLine="600"/>
        <w:rPr>
          <w:rFonts w:ascii="宋体" w:hAnsi="宋体"/>
          <w:sz w:val="24"/>
          <w:highlight w:val="none"/>
        </w:rPr>
      </w:pPr>
      <w:r>
        <w:rPr>
          <w:rFonts w:hint="eastAsia" w:ascii="宋体" w:hAnsi="宋体"/>
          <w:sz w:val="24"/>
          <w:highlight w:val="none"/>
        </w:rPr>
        <w:t>6）“买方”系指在合同专用条款中指明的购买货物和服务的单位。</w:t>
      </w:r>
    </w:p>
    <w:p w14:paraId="61C7D66E">
      <w:pPr>
        <w:spacing w:line="420" w:lineRule="exact"/>
        <w:ind w:firstLine="600"/>
        <w:rPr>
          <w:rFonts w:ascii="宋体" w:hAnsi="宋体"/>
          <w:sz w:val="24"/>
          <w:highlight w:val="none"/>
        </w:rPr>
      </w:pPr>
      <w:r>
        <w:rPr>
          <w:rFonts w:hint="eastAsia" w:ascii="宋体" w:hAnsi="宋体"/>
          <w:sz w:val="24"/>
          <w:highlight w:val="none"/>
        </w:rPr>
        <w:t>7）“卖方”系指签署本合同，提供本合同项下货物和服务的单位。</w:t>
      </w:r>
    </w:p>
    <w:p w14:paraId="600D77E0">
      <w:pPr>
        <w:spacing w:line="420" w:lineRule="exact"/>
        <w:ind w:left="838" w:leftChars="285" w:hanging="240" w:hangingChars="100"/>
        <w:rPr>
          <w:rFonts w:ascii="宋体" w:hAnsi="宋体"/>
          <w:sz w:val="24"/>
          <w:highlight w:val="none"/>
        </w:rPr>
      </w:pPr>
      <w:r>
        <w:rPr>
          <w:rFonts w:hint="eastAsia" w:ascii="宋体" w:hAnsi="宋体"/>
          <w:sz w:val="24"/>
          <w:highlight w:val="none"/>
        </w:rPr>
        <w:t>8）“项目现场”系指本合同(包括附件)指明的最终交货及安装、培训、使</w:t>
      </w:r>
    </w:p>
    <w:p w14:paraId="36D88A40">
      <w:pPr>
        <w:spacing w:line="420" w:lineRule="exact"/>
        <w:rPr>
          <w:rFonts w:ascii="宋体" w:hAnsi="宋体"/>
          <w:sz w:val="24"/>
          <w:highlight w:val="none"/>
        </w:rPr>
      </w:pPr>
      <w:r>
        <w:rPr>
          <w:rFonts w:hint="eastAsia" w:ascii="宋体" w:hAnsi="宋体"/>
          <w:sz w:val="24"/>
          <w:highlight w:val="none"/>
        </w:rPr>
        <w:t>用地点。</w:t>
      </w:r>
    </w:p>
    <w:p w14:paraId="0C38CC3B">
      <w:pPr>
        <w:spacing w:line="420" w:lineRule="exact"/>
        <w:ind w:left="838" w:leftChars="285" w:hanging="240" w:hangingChars="100"/>
        <w:rPr>
          <w:rFonts w:ascii="宋体" w:hAnsi="宋体"/>
          <w:sz w:val="24"/>
          <w:highlight w:val="none"/>
        </w:rPr>
      </w:pPr>
      <w:r>
        <w:rPr>
          <w:rFonts w:hint="eastAsia" w:ascii="宋体" w:hAnsi="宋体"/>
          <w:sz w:val="24"/>
          <w:highlight w:val="none"/>
        </w:rPr>
        <w:t>9）“天”指日历天数。</w:t>
      </w:r>
    </w:p>
    <w:p w14:paraId="6106FC3D">
      <w:pPr>
        <w:spacing w:line="420" w:lineRule="exact"/>
        <w:rPr>
          <w:rFonts w:ascii="宋体" w:hAnsi="宋体"/>
          <w:b/>
          <w:sz w:val="24"/>
          <w:highlight w:val="none"/>
        </w:rPr>
      </w:pPr>
      <w:r>
        <w:rPr>
          <w:rFonts w:hint="eastAsia" w:ascii="宋体" w:hAnsi="宋体"/>
          <w:b/>
          <w:sz w:val="24"/>
          <w:highlight w:val="none"/>
        </w:rPr>
        <w:t>2.技术规格</w:t>
      </w:r>
    </w:p>
    <w:p w14:paraId="732AB4B8">
      <w:pPr>
        <w:spacing w:line="420" w:lineRule="exact"/>
        <w:ind w:firstLine="600"/>
        <w:rPr>
          <w:rFonts w:ascii="宋体" w:hAnsi="宋体"/>
          <w:sz w:val="24"/>
          <w:highlight w:val="none"/>
        </w:rPr>
      </w:pPr>
      <w:r>
        <w:rPr>
          <w:rFonts w:hint="eastAsia" w:ascii="宋体" w:hAnsi="宋体"/>
          <w:sz w:val="24"/>
          <w:highlight w:val="none"/>
        </w:rPr>
        <w:t>2.1卖方交付的货物的技术规格及型号应与本合同所指明的技术规格及型号(包括合同附件)相一致。</w:t>
      </w:r>
    </w:p>
    <w:p w14:paraId="2376AADB">
      <w:pPr>
        <w:spacing w:line="420" w:lineRule="exact"/>
        <w:ind w:firstLine="600"/>
        <w:rPr>
          <w:rFonts w:ascii="宋体" w:hAnsi="宋体"/>
          <w:sz w:val="24"/>
          <w:highlight w:val="none"/>
        </w:rPr>
      </w:pPr>
      <w:r>
        <w:rPr>
          <w:rFonts w:hint="eastAsia" w:ascii="宋体" w:hAnsi="宋体"/>
          <w:sz w:val="24"/>
          <w:highlight w:val="none"/>
        </w:rPr>
        <w:t>2.2 除技术规格另有规定外,计量单位应该使用公制。</w:t>
      </w:r>
    </w:p>
    <w:p w14:paraId="77BC3465">
      <w:pPr>
        <w:spacing w:line="420" w:lineRule="exact"/>
        <w:rPr>
          <w:rFonts w:ascii="宋体" w:hAnsi="宋体"/>
          <w:b/>
          <w:sz w:val="24"/>
          <w:highlight w:val="none"/>
        </w:rPr>
      </w:pPr>
      <w:r>
        <w:rPr>
          <w:rFonts w:hint="eastAsia" w:ascii="宋体" w:hAnsi="宋体"/>
          <w:b/>
          <w:sz w:val="24"/>
          <w:highlight w:val="none"/>
        </w:rPr>
        <w:t>3.专利权</w:t>
      </w:r>
    </w:p>
    <w:p w14:paraId="17500575">
      <w:pPr>
        <w:spacing w:line="420" w:lineRule="exact"/>
        <w:ind w:firstLine="600"/>
        <w:rPr>
          <w:rFonts w:ascii="宋体" w:hAnsi="宋体"/>
          <w:sz w:val="24"/>
          <w:highlight w:val="none"/>
        </w:rPr>
      </w:pPr>
      <w:r>
        <w:rPr>
          <w:rFonts w:hint="eastAsia" w:ascii="宋体" w:hAnsi="宋体"/>
          <w:sz w:val="24"/>
          <w:highlight w:val="none"/>
        </w:rPr>
        <w:t>卖方应保证买方在使用该货物或其任何一部分时免受第三方提出侵犯其专利权·商标权或工业设计权的起诉。</w:t>
      </w:r>
    </w:p>
    <w:p w14:paraId="405164B2">
      <w:pPr>
        <w:spacing w:line="420" w:lineRule="exact"/>
        <w:rPr>
          <w:rFonts w:ascii="宋体" w:hAnsi="宋体"/>
          <w:b/>
          <w:sz w:val="24"/>
          <w:highlight w:val="none"/>
        </w:rPr>
      </w:pPr>
      <w:r>
        <w:rPr>
          <w:rFonts w:hint="eastAsia" w:ascii="宋体" w:hAnsi="宋体"/>
          <w:b/>
          <w:sz w:val="24"/>
          <w:highlight w:val="none"/>
        </w:rPr>
        <w:t>4.交货地点和交货期</w:t>
      </w:r>
    </w:p>
    <w:p w14:paraId="7EC269AF">
      <w:pPr>
        <w:spacing w:line="420" w:lineRule="exact"/>
        <w:ind w:firstLine="480" w:firstLineChars="200"/>
        <w:rPr>
          <w:rFonts w:ascii="宋体" w:hAnsi="宋体"/>
          <w:b/>
          <w:sz w:val="24"/>
          <w:highlight w:val="none"/>
        </w:rPr>
      </w:pPr>
      <w:r>
        <w:rPr>
          <w:rFonts w:hint="eastAsia" w:ascii="宋体" w:hAnsi="宋体"/>
          <w:sz w:val="24"/>
          <w:highlight w:val="none"/>
        </w:rPr>
        <w:t>见合同专用条款。</w:t>
      </w:r>
    </w:p>
    <w:p w14:paraId="66726EAA">
      <w:pPr>
        <w:spacing w:line="420" w:lineRule="exact"/>
        <w:rPr>
          <w:rFonts w:ascii="宋体" w:hAnsi="宋体"/>
          <w:b/>
          <w:sz w:val="24"/>
          <w:highlight w:val="none"/>
        </w:rPr>
      </w:pPr>
      <w:r>
        <w:rPr>
          <w:rFonts w:hint="eastAsia" w:ascii="宋体" w:hAnsi="宋体"/>
          <w:b/>
          <w:sz w:val="24"/>
          <w:highlight w:val="none"/>
        </w:rPr>
        <w:t>5.包装要求和装运条件</w:t>
      </w:r>
    </w:p>
    <w:p w14:paraId="173C8C57">
      <w:pPr>
        <w:spacing w:line="420" w:lineRule="exact"/>
        <w:ind w:firstLine="600"/>
        <w:rPr>
          <w:rFonts w:ascii="宋体" w:hAnsi="宋体"/>
          <w:sz w:val="24"/>
          <w:highlight w:val="none"/>
        </w:rPr>
      </w:pPr>
      <w:r>
        <w:rPr>
          <w:rFonts w:hint="eastAsia" w:ascii="宋体" w:hAnsi="宋体"/>
          <w:sz w:val="24"/>
          <w:highlight w:val="none"/>
        </w:rPr>
        <w:t>5.1除合同另有规定外，卖方提供的全部货物，均应按标准保护措施进行包装。这类包装应适应于远距离运输、防潮、防震、防锈和防野蛮装卸，以确保货物安全无损运抵项目现场。</w:t>
      </w:r>
    </w:p>
    <w:p w14:paraId="0EBB12E3">
      <w:pPr>
        <w:spacing w:line="420" w:lineRule="exact"/>
        <w:ind w:firstLine="480" w:firstLineChars="200"/>
        <w:rPr>
          <w:rFonts w:ascii="宋体" w:hAnsi="宋体"/>
          <w:b/>
          <w:sz w:val="24"/>
          <w:highlight w:val="none"/>
        </w:rPr>
      </w:pPr>
      <w:r>
        <w:rPr>
          <w:rFonts w:hint="eastAsia" w:ascii="宋体" w:hAnsi="宋体"/>
          <w:sz w:val="24"/>
          <w:highlight w:val="none"/>
        </w:rPr>
        <w:t>5.2每一个包装箱内应附一份详细装箱单和质量合格证。</w:t>
      </w:r>
    </w:p>
    <w:p w14:paraId="60D3F23D">
      <w:pPr>
        <w:spacing w:line="420" w:lineRule="exact"/>
        <w:ind w:firstLine="480"/>
        <w:rPr>
          <w:rFonts w:ascii="宋体" w:hAnsi="宋体"/>
          <w:sz w:val="24"/>
          <w:highlight w:val="none"/>
        </w:rPr>
      </w:pPr>
      <w:r>
        <w:rPr>
          <w:rFonts w:hint="eastAsia" w:ascii="宋体" w:hAnsi="宋体"/>
          <w:sz w:val="24"/>
          <w:highlight w:val="none"/>
        </w:rPr>
        <w:t>5.3卖方负责安排货物到达交货地点的一切运输，并承担运输费用。</w:t>
      </w:r>
    </w:p>
    <w:p w14:paraId="0E283F7C">
      <w:pPr>
        <w:spacing w:line="420" w:lineRule="exact"/>
        <w:ind w:firstLine="480"/>
        <w:rPr>
          <w:rFonts w:ascii="宋体" w:hAnsi="宋体"/>
          <w:sz w:val="24"/>
          <w:highlight w:val="none"/>
        </w:rPr>
      </w:pPr>
      <w:r>
        <w:rPr>
          <w:rFonts w:hint="eastAsia" w:ascii="宋体" w:hAnsi="宋体"/>
          <w:sz w:val="24"/>
          <w:highlight w:val="none"/>
        </w:rPr>
        <w:t>5.4卖方装运的货物不应超过合同规定的数量或重量。否则，卖方应对因超数量或重量而产生的一切后果负责。</w:t>
      </w:r>
    </w:p>
    <w:p w14:paraId="09701870">
      <w:pPr>
        <w:spacing w:line="420" w:lineRule="exact"/>
        <w:rPr>
          <w:rFonts w:ascii="宋体" w:hAnsi="宋体"/>
          <w:b/>
          <w:sz w:val="24"/>
          <w:highlight w:val="none"/>
        </w:rPr>
      </w:pPr>
      <w:r>
        <w:rPr>
          <w:rFonts w:hint="eastAsia" w:ascii="宋体" w:hAnsi="宋体"/>
          <w:b/>
          <w:sz w:val="24"/>
          <w:highlight w:val="none"/>
        </w:rPr>
        <w:t>6.保险</w:t>
      </w:r>
    </w:p>
    <w:p w14:paraId="51212EEA">
      <w:pPr>
        <w:spacing w:line="420" w:lineRule="exact"/>
        <w:ind w:firstLine="480" w:firstLineChars="200"/>
        <w:rPr>
          <w:rFonts w:ascii="宋体" w:hAnsi="宋体"/>
          <w:sz w:val="24"/>
          <w:highlight w:val="none"/>
        </w:rPr>
      </w:pPr>
      <w:r>
        <w:rPr>
          <w:rFonts w:hint="eastAsia" w:ascii="宋体" w:hAnsi="宋体"/>
          <w:sz w:val="24"/>
          <w:highlight w:val="none"/>
        </w:rPr>
        <w:t>6.1保险范围应包括卖方装运的全部货物；由卖方办理货物在运抵目的港/项目现场途中的保险,保险应以人民币按照发票金额的110%办理“一切险”。</w:t>
      </w:r>
    </w:p>
    <w:p w14:paraId="39C5E5E8">
      <w:pPr>
        <w:spacing w:line="420" w:lineRule="exact"/>
        <w:rPr>
          <w:rFonts w:ascii="宋体" w:hAnsi="宋体"/>
          <w:b/>
          <w:sz w:val="24"/>
          <w:highlight w:val="none"/>
        </w:rPr>
      </w:pPr>
      <w:r>
        <w:rPr>
          <w:rFonts w:hint="eastAsia" w:ascii="宋体" w:hAnsi="宋体"/>
          <w:b/>
          <w:sz w:val="24"/>
          <w:highlight w:val="none"/>
        </w:rPr>
        <w:t>7.付款</w:t>
      </w:r>
    </w:p>
    <w:p w14:paraId="4E6813A2">
      <w:pPr>
        <w:spacing w:line="420" w:lineRule="exact"/>
        <w:ind w:firstLine="480"/>
        <w:rPr>
          <w:rFonts w:ascii="宋体" w:hAnsi="宋体"/>
          <w:sz w:val="24"/>
          <w:highlight w:val="none"/>
        </w:rPr>
      </w:pPr>
      <w:r>
        <w:rPr>
          <w:rFonts w:hint="eastAsia" w:ascii="宋体" w:hAnsi="宋体"/>
          <w:sz w:val="24"/>
          <w:highlight w:val="none"/>
        </w:rPr>
        <w:t>7.1本合同以人民币付款。</w:t>
      </w:r>
    </w:p>
    <w:p w14:paraId="32AEF2E4">
      <w:pPr>
        <w:spacing w:line="420" w:lineRule="exact"/>
        <w:ind w:firstLine="480"/>
        <w:rPr>
          <w:rFonts w:ascii="宋体" w:hAnsi="宋体"/>
          <w:sz w:val="24"/>
          <w:highlight w:val="none"/>
        </w:rPr>
      </w:pPr>
      <w:r>
        <w:rPr>
          <w:rFonts w:hint="eastAsia" w:ascii="宋体" w:hAnsi="宋体"/>
          <w:sz w:val="24"/>
          <w:highlight w:val="none"/>
        </w:rPr>
        <w:t>7.2卖方应按照双方签订的合同规定交货,货物由买方验收合格并出具验收书后，连同合同一并送政府采购管理部门办理结算。货物发票交买方。</w:t>
      </w:r>
    </w:p>
    <w:p w14:paraId="419A8F18">
      <w:pPr>
        <w:pStyle w:val="29"/>
        <w:ind w:firstLine="480"/>
        <w:rPr>
          <w:rFonts w:ascii="宋体" w:hAnsi="宋体" w:eastAsia="宋体" w:cs="Times New Roman"/>
          <w:kern w:val="2"/>
          <w:sz w:val="24"/>
          <w:szCs w:val="20"/>
          <w:highlight w:val="none"/>
        </w:rPr>
      </w:pPr>
      <w:r>
        <w:rPr>
          <w:rFonts w:hint="eastAsia" w:ascii="宋体" w:hAnsi="宋体"/>
          <w:sz w:val="24"/>
          <w:highlight w:val="none"/>
        </w:rPr>
        <w:t>7.3</w:t>
      </w:r>
      <w:r>
        <w:rPr>
          <w:rFonts w:hint="eastAsia" w:ascii="宋体" w:hAnsi="宋体" w:eastAsia="宋体" w:cs="Times New Roman"/>
          <w:kern w:val="2"/>
          <w:sz w:val="24"/>
          <w:szCs w:val="20"/>
          <w:highlight w:val="none"/>
        </w:rPr>
        <w:t>合同价款支付按照国库集中支付制度及财政管理相关规定执行。</w:t>
      </w:r>
    </w:p>
    <w:p w14:paraId="2C64AF88">
      <w:pPr>
        <w:pStyle w:val="29"/>
        <w:ind w:firstLine="480"/>
        <w:rPr>
          <w:rFonts w:ascii="宋体" w:hAnsi="宋体"/>
          <w:sz w:val="24"/>
          <w:highlight w:val="none"/>
        </w:rPr>
      </w:pPr>
      <w:r>
        <w:rPr>
          <w:rFonts w:hint="eastAsia" w:ascii="宋体" w:hAnsi="宋体" w:eastAsia="宋体" w:cs="Times New Roman"/>
          <w:kern w:val="2"/>
          <w:sz w:val="24"/>
          <w:szCs w:val="20"/>
          <w:highlight w:val="none"/>
        </w:rPr>
        <w:t>7.</w:t>
      </w:r>
      <w:r>
        <w:rPr>
          <w:rFonts w:hint="eastAsia" w:ascii="宋体" w:hAnsi="宋体" w:cs="Times New Roman"/>
          <w:kern w:val="2"/>
          <w:sz w:val="24"/>
          <w:szCs w:val="20"/>
          <w:highlight w:val="none"/>
        </w:rPr>
        <w:t>4</w:t>
      </w:r>
      <w:r>
        <w:rPr>
          <w:rFonts w:hint="eastAsia" w:ascii="宋体" w:hAnsi="宋体" w:eastAsia="宋体" w:cs="Times New Roman"/>
          <w:kern w:val="2"/>
          <w:sz w:val="24"/>
          <w:szCs w:val="20"/>
          <w:highlight w:val="none"/>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在【合同专用条款】中约定。逾期支付的，乙方可要求甲方支付违约金，违约金按照银行同期利息或【合同专用条款】规定支付。</w:t>
      </w:r>
    </w:p>
    <w:p w14:paraId="31489F2D">
      <w:pPr>
        <w:spacing w:line="420" w:lineRule="exact"/>
        <w:rPr>
          <w:rFonts w:ascii="宋体" w:hAnsi="宋体"/>
          <w:b/>
          <w:sz w:val="24"/>
          <w:highlight w:val="none"/>
        </w:rPr>
      </w:pPr>
      <w:r>
        <w:rPr>
          <w:rFonts w:hint="eastAsia" w:ascii="宋体" w:hAnsi="宋体"/>
          <w:b/>
          <w:sz w:val="24"/>
          <w:highlight w:val="none"/>
        </w:rPr>
        <w:t>8.伴随服务</w:t>
      </w:r>
    </w:p>
    <w:p w14:paraId="39F7CC5E">
      <w:pPr>
        <w:spacing w:line="420" w:lineRule="exact"/>
        <w:ind w:firstLine="480" w:firstLineChars="200"/>
        <w:rPr>
          <w:rFonts w:ascii="宋体" w:hAnsi="宋体"/>
          <w:sz w:val="24"/>
          <w:highlight w:val="none"/>
        </w:rPr>
      </w:pPr>
      <w:r>
        <w:rPr>
          <w:rFonts w:hint="eastAsia" w:ascii="宋体" w:hAnsi="宋体"/>
          <w:sz w:val="24"/>
          <w:highlight w:val="none"/>
        </w:rPr>
        <w:t>8.1卖方应随同每套货物提供相应的每一套设备和仪器的中文的技术文件。例如：产品目录、图纸、操作手册、使用说明、维护手册或服务指南等。</w:t>
      </w:r>
    </w:p>
    <w:p w14:paraId="45533E24">
      <w:pPr>
        <w:spacing w:line="420" w:lineRule="exact"/>
        <w:ind w:firstLine="480" w:firstLineChars="200"/>
        <w:rPr>
          <w:rFonts w:ascii="宋体" w:hAnsi="宋体"/>
          <w:sz w:val="24"/>
          <w:highlight w:val="none"/>
        </w:rPr>
      </w:pPr>
      <w:r>
        <w:rPr>
          <w:rFonts w:hint="eastAsia" w:ascii="宋体" w:hAnsi="宋体"/>
          <w:sz w:val="24"/>
          <w:highlight w:val="none"/>
        </w:rPr>
        <w:t>8.2对于合同附件中有要求的货物，卖方还应提供下列服务：</w:t>
      </w:r>
    </w:p>
    <w:p w14:paraId="19393AC9">
      <w:pPr>
        <w:spacing w:line="420" w:lineRule="exact"/>
        <w:ind w:firstLine="480" w:firstLineChars="200"/>
        <w:rPr>
          <w:rFonts w:ascii="宋体" w:hAnsi="宋体"/>
          <w:sz w:val="24"/>
          <w:highlight w:val="none"/>
        </w:rPr>
      </w:pPr>
      <w:r>
        <w:rPr>
          <w:rFonts w:hint="eastAsia" w:ascii="宋体" w:hAnsi="宋体"/>
          <w:sz w:val="24"/>
          <w:highlight w:val="none"/>
        </w:rPr>
        <w:t>1）货物的现场安装、调试和启动监督；</w:t>
      </w:r>
    </w:p>
    <w:p w14:paraId="402EAB97">
      <w:pPr>
        <w:spacing w:line="420" w:lineRule="exact"/>
        <w:ind w:firstLine="480" w:firstLineChars="200"/>
        <w:rPr>
          <w:rFonts w:ascii="宋体" w:hAnsi="宋体"/>
          <w:sz w:val="24"/>
          <w:highlight w:val="none"/>
        </w:rPr>
      </w:pPr>
      <w:r>
        <w:rPr>
          <w:rFonts w:hint="eastAsia" w:ascii="宋体" w:hAnsi="宋体"/>
          <w:sz w:val="24"/>
          <w:highlight w:val="none"/>
        </w:rPr>
        <w:t>2）提供货物组装和维修所需的工具，提供货物调试所需的试剂、耗材等</w:t>
      </w:r>
    </w:p>
    <w:p w14:paraId="085CE85B">
      <w:pPr>
        <w:spacing w:line="420" w:lineRule="exact"/>
        <w:ind w:left="1" w:firstLine="477" w:firstLineChars="199"/>
        <w:rPr>
          <w:rFonts w:ascii="宋体" w:hAnsi="宋体"/>
          <w:sz w:val="24"/>
          <w:highlight w:val="none"/>
        </w:rPr>
      </w:pPr>
      <w:r>
        <w:rPr>
          <w:rFonts w:hint="eastAsia" w:ascii="宋体" w:hAnsi="宋体"/>
          <w:sz w:val="24"/>
          <w:highlight w:val="none"/>
        </w:rPr>
        <w:t>3）在双方商定的一定期限内对所供货物实施运行监督、维修，但前提条件是该服务并不能免除卖方在质量保证期应承担的义务。</w:t>
      </w:r>
    </w:p>
    <w:p w14:paraId="51A25344">
      <w:pPr>
        <w:spacing w:line="420" w:lineRule="exact"/>
        <w:ind w:firstLine="480" w:firstLineChars="200"/>
        <w:rPr>
          <w:rFonts w:ascii="宋体" w:hAnsi="宋体"/>
          <w:sz w:val="24"/>
          <w:highlight w:val="none"/>
        </w:rPr>
      </w:pPr>
      <w:r>
        <w:rPr>
          <w:rFonts w:hint="eastAsia" w:ascii="宋体" w:hAnsi="宋体"/>
          <w:sz w:val="24"/>
          <w:highlight w:val="none"/>
        </w:rPr>
        <w:t>4）在厂家或在项目现场就货物的安装、启动、运营、维护对买方人员进行培训。</w:t>
      </w:r>
    </w:p>
    <w:p w14:paraId="135FEDBD">
      <w:pPr>
        <w:spacing w:line="420" w:lineRule="exact"/>
        <w:ind w:firstLine="480" w:firstLineChars="200"/>
        <w:rPr>
          <w:rFonts w:ascii="宋体" w:hAnsi="宋体"/>
          <w:sz w:val="24"/>
          <w:highlight w:val="none"/>
        </w:rPr>
      </w:pPr>
      <w:r>
        <w:rPr>
          <w:rFonts w:hint="eastAsia" w:ascii="宋体" w:hAnsi="宋体"/>
          <w:sz w:val="24"/>
          <w:highlight w:val="none"/>
        </w:rPr>
        <w:t>8.3伴随服务的费用已含在合同价中，不单独进行支付。</w:t>
      </w:r>
    </w:p>
    <w:p w14:paraId="38EBFE38">
      <w:pPr>
        <w:spacing w:line="420" w:lineRule="exact"/>
        <w:rPr>
          <w:rFonts w:ascii="宋体" w:hAnsi="宋体"/>
          <w:b/>
          <w:sz w:val="24"/>
          <w:highlight w:val="none"/>
        </w:rPr>
      </w:pPr>
      <w:r>
        <w:rPr>
          <w:rFonts w:hint="eastAsia" w:ascii="宋体" w:hAnsi="宋体"/>
          <w:b/>
          <w:sz w:val="24"/>
          <w:highlight w:val="none"/>
        </w:rPr>
        <w:t>9.质量保证及索赔</w:t>
      </w:r>
    </w:p>
    <w:p w14:paraId="7BA19DEB">
      <w:pPr>
        <w:spacing w:line="420" w:lineRule="exact"/>
        <w:ind w:firstLine="480"/>
        <w:rPr>
          <w:rFonts w:ascii="宋体" w:hAnsi="宋体"/>
          <w:sz w:val="24"/>
          <w:highlight w:val="none"/>
        </w:rPr>
      </w:pPr>
      <w:r>
        <w:rPr>
          <w:rFonts w:hint="eastAsia" w:ascii="宋体" w:hAnsi="宋体"/>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6C4146A1">
      <w:pPr>
        <w:spacing w:line="420" w:lineRule="exact"/>
        <w:ind w:firstLine="480" w:firstLineChars="200"/>
        <w:rPr>
          <w:rFonts w:ascii="宋体" w:hAnsi="宋体"/>
          <w:sz w:val="24"/>
          <w:highlight w:val="none"/>
        </w:rPr>
      </w:pPr>
      <w:r>
        <w:rPr>
          <w:rFonts w:hint="eastAsia" w:ascii="宋体" w:hAnsi="宋体"/>
          <w:sz w:val="24"/>
          <w:highlight w:val="none"/>
        </w:rPr>
        <w:t>9.2在质量保证期内，如果货物的质量、规格、技术指标等与合同有任何一项不符，买方应尽快以书面形式向卖方提出索赔。同时应向政府采购管理部门报告。</w:t>
      </w:r>
    </w:p>
    <w:p w14:paraId="20E14ACA">
      <w:pPr>
        <w:spacing w:line="420" w:lineRule="exact"/>
        <w:ind w:firstLine="480" w:firstLineChars="200"/>
        <w:rPr>
          <w:rFonts w:ascii="宋体" w:hAnsi="宋体"/>
          <w:sz w:val="24"/>
          <w:highlight w:val="none"/>
        </w:rPr>
      </w:pPr>
      <w:r>
        <w:rPr>
          <w:rFonts w:hint="eastAsia" w:ascii="宋体" w:hAnsi="宋体"/>
          <w:sz w:val="24"/>
          <w:highlight w:val="none"/>
        </w:rPr>
        <w:t>9.3卖方在收到买方的通知后，应及时免费维修或更换有缺陷的货物或部件，并相应延长保修期限。具体响应时限见专用合同条款。</w:t>
      </w:r>
    </w:p>
    <w:p w14:paraId="4DB0875E">
      <w:pPr>
        <w:spacing w:line="420" w:lineRule="exact"/>
        <w:ind w:firstLine="480" w:firstLineChars="200"/>
        <w:rPr>
          <w:rFonts w:ascii="宋体" w:hAnsi="宋体"/>
          <w:sz w:val="24"/>
          <w:highlight w:val="none"/>
        </w:rPr>
      </w:pPr>
      <w:r>
        <w:rPr>
          <w:rFonts w:hint="eastAsia" w:ascii="宋体" w:hAnsi="宋体"/>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2F0AC092">
      <w:pPr>
        <w:spacing w:line="420" w:lineRule="exact"/>
        <w:rPr>
          <w:rFonts w:ascii="宋体" w:hAnsi="宋体"/>
          <w:b/>
          <w:sz w:val="24"/>
          <w:highlight w:val="none"/>
        </w:rPr>
      </w:pPr>
      <w:r>
        <w:rPr>
          <w:rFonts w:hint="eastAsia" w:ascii="宋体" w:hAnsi="宋体"/>
          <w:b/>
          <w:sz w:val="24"/>
          <w:highlight w:val="none"/>
        </w:rPr>
        <w:t>10.检验和验收</w:t>
      </w:r>
    </w:p>
    <w:p w14:paraId="12C907E0">
      <w:pPr>
        <w:spacing w:line="420" w:lineRule="exact"/>
        <w:ind w:firstLine="480" w:firstLineChars="200"/>
        <w:rPr>
          <w:rFonts w:ascii="宋体" w:hAnsi="宋体"/>
          <w:sz w:val="24"/>
          <w:highlight w:val="none"/>
        </w:rPr>
      </w:pPr>
      <w:r>
        <w:rPr>
          <w:rFonts w:hint="eastAsia" w:ascii="宋体" w:hAnsi="宋体"/>
          <w:sz w:val="24"/>
          <w:highlight w:val="none"/>
        </w:rPr>
        <w:t>10.1在交货前，制造商应对货物的质量、规格、数量等进行准确而全面的检验，并出具合格证。</w:t>
      </w:r>
    </w:p>
    <w:p w14:paraId="1466819B">
      <w:pPr>
        <w:spacing w:line="420" w:lineRule="exact"/>
        <w:ind w:firstLine="480" w:firstLineChars="200"/>
        <w:rPr>
          <w:rFonts w:ascii="宋体" w:hAnsi="宋体"/>
          <w:sz w:val="24"/>
          <w:highlight w:val="none"/>
        </w:rPr>
      </w:pPr>
      <w:r>
        <w:rPr>
          <w:rFonts w:hint="eastAsia" w:ascii="宋体" w:hAnsi="宋体"/>
          <w:sz w:val="24"/>
          <w:highlight w:val="none"/>
        </w:rPr>
        <w:t>10.2货物到货后，由采购单位根据合同规定的技术、服务、安全标准要求进行验收，并出具验收书。验收书应当包括每一项技术、服务、安全标准的履约情况。</w:t>
      </w:r>
    </w:p>
    <w:p w14:paraId="4F953B22">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10.3采购人有权检验和</w:t>
      </w:r>
      <w:r>
        <w:rPr>
          <w:rStyle w:val="37"/>
          <w:rFonts w:ascii="宋体" w:hAnsi="宋体"/>
          <w:sz w:val="24"/>
          <w:highlight w:val="none"/>
        </w:rPr>
        <w:t>/</w:t>
      </w:r>
      <w:r>
        <w:rPr>
          <w:rStyle w:val="37"/>
          <w:rFonts w:hint="eastAsia" w:ascii="宋体" w:hAnsi="宋体"/>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37"/>
          <w:rFonts w:ascii="宋体" w:hAnsi="宋体"/>
          <w:sz w:val="24"/>
          <w:highlight w:val="none"/>
        </w:rPr>
        <w:t>/</w:t>
      </w:r>
      <w:r>
        <w:rPr>
          <w:rStyle w:val="37"/>
          <w:rFonts w:hint="eastAsia" w:ascii="宋体" w:hAnsi="宋体"/>
          <w:sz w:val="24"/>
          <w:highlight w:val="none"/>
        </w:rPr>
        <w:t>或采购人测试代表的身份通知供应商。</w:t>
      </w:r>
    </w:p>
    <w:p w14:paraId="5248C548">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10.4检验和验收可以在供应商或货物制造厂的所在地、交货地点和</w:t>
      </w:r>
      <w:r>
        <w:rPr>
          <w:rStyle w:val="37"/>
          <w:rFonts w:ascii="宋体" w:hAnsi="宋体"/>
          <w:sz w:val="24"/>
          <w:highlight w:val="none"/>
        </w:rPr>
        <w:t>/</w:t>
      </w:r>
      <w:r>
        <w:rPr>
          <w:rStyle w:val="37"/>
          <w:rFonts w:hint="eastAsia" w:ascii="宋体" w:hAnsi="宋体"/>
          <w:sz w:val="24"/>
          <w:highlight w:val="none"/>
        </w:rPr>
        <w:t>或货物的最终目的地进行。如果在供应商或货物制造厂的所在地进行，供应商应免费为采购人的检验或验收人员提供工作条件，包括但不限于必要的技术资料、检测工具和仪器。</w:t>
      </w:r>
    </w:p>
    <w:p w14:paraId="19B62054">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10.4如果任何被检验或测试的货物不能满足合同及相关文件规格的要求，采购人可以拒绝接受该货物，供应商应更换被拒绝的货物，或者免费进行必要的修改以满足规格的要求。</w:t>
      </w:r>
    </w:p>
    <w:p w14:paraId="03CD03FC">
      <w:pPr>
        <w:tabs>
          <w:tab w:val="left" w:pos="720"/>
        </w:tabs>
        <w:spacing w:line="560" w:lineRule="exact"/>
        <w:ind w:firstLine="480" w:firstLineChars="200"/>
        <w:rPr>
          <w:rStyle w:val="37"/>
          <w:rFonts w:ascii="宋体" w:hAnsi="宋体"/>
          <w:sz w:val="24"/>
          <w:highlight w:val="none"/>
        </w:rPr>
      </w:pPr>
      <w:r>
        <w:rPr>
          <w:rStyle w:val="37"/>
          <w:rFonts w:hint="eastAsia" w:ascii="宋体" w:hAnsi="宋体"/>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767C75D7">
      <w:pPr>
        <w:tabs>
          <w:tab w:val="left" w:pos="720"/>
        </w:tabs>
        <w:spacing w:line="560" w:lineRule="exact"/>
        <w:rPr>
          <w:rFonts w:ascii="宋体" w:hAnsi="宋体"/>
          <w:b/>
          <w:sz w:val="24"/>
          <w:highlight w:val="none"/>
        </w:rPr>
      </w:pPr>
      <w:r>
        <w:rPr>
          <w:rFonts w:hint="eastAsia" w:ascii="宋体" w:hAnsi="宋体"/>
          <w:b/>
          <w:sz w:val="24"/>
          <w:highlight w:val="none"/>
        </w:rPr>
        <w:t xml:space="preserve">   </w:t>
      </w:r>
      <w:r>
        <w:rPr>
          <w:rFonts w:hint="eastAsia" w:ascii="宋体" w:hAnsi="宋体"/>
          <w:bCs/>
          <w:sz w:val="24"/>
          <w:highlight w:val="none"/>
        </w:rPr>
        <w:t>10.6履</w:t>
      </w:r>
      <w:r>
        <w:rPr>
          <w:rFonts w:hint="eastAsia" w:ascii="宋体" w:hAnsi="宋体"/>
          <w:sz w:val="24"/>
          <w:highlight w:val="none"/>
        </w:rPr>
        <w:t>约验收方案以合同约定为准。</w:t>
      </w:r>
    </w:p>
    <w:p w14:paraId="6EC9BD6A">
      <w:pPr>
        <w:tabs>
          <w:tab w:val="left" w:pos="720"/>
        </w:tabs>
        <w:spacing w:line="560" w:lineRule="exact"/>
        <w:rPr>
          <w:rFonts w:ascii="宋体" w:hAnsi="宋体"/>
          <w:b/>
          <w:sz w:val="24"/>
          <w:highlight w:val="none"/>
        </w:rPr>
      </w:pPr>
      <w:r>
        <w:rPr>
          <w:rFonts w:hint="eastAsia" w:ascii="宋体" w:hAnsi="宋体"/>
          <w:b/>
          <w:sz w:val="24"/>
          <w:highlight w:val="none"/>
        </w:rPr>
        <w:t>11. 甲方的权利和义务</w:t>
      </w:r>
    </w:p>
    <w:p w14:paraId="0685ECBA">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11.1 签署合同后，甲方应确定项目负责人（或项目联系人），负责与本合同有关的事务。甲方有权对乙方的履约行为进行检查，并及时确认乙方提交的事项。甲方应当配合乙方完成相关项目实施工作。</w:t>
      </w:r>
    </w:p>
    <w:p w14:paraId="4430518A">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11.2 甲方有权要求乙方按时提交各阶段有关安排计划，并有权定期核对乙方提供货物数量、规格、质量等内容。甲方有权督促乙方工作并要求乙方更换不符合要求的货物。</w:t>
      </w:r>
    </w:p>
    <w:p w14:paraId="6549176C">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11.3 甲方有权要求乙方对缺陷部分予以修复，并按合同约定享有货物保修及其他合同约定的权利。</w:t>
      </w:r>
    </w:p>
    <w:p w14:paraId="09B7CD1D">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11.4 甲方应当按照合同约定及时对交付的货物进行验收，未在约定的期限内对乙方履约提出任何异议或者向乙方作出任何说明的，视为验收通过。</w:t>
      </w:r>
    </w:p>
    <w:p w14:paraId="793F9402">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11.5 甲方应当根据合同约定及时向乙方支付合同价款，不得以内部人员变更、履行内部付款流程等为由，拒绝或迟延支付。</w:t>
      </w:r>
    </w:p>
    <w:p w14:paraId="0F703933">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11.6 国家法律法规规定应由甲方承担的其他义务和责任。</w:t>
      </w:r>
    </w:p>
    <w:p w14:paraId="35D9C702">
      <w:pPr>
        <w:tabs>
          <w:tab w:val="left" w:pos="720"/>
        </w:tabs>
        <w:spacing w:line="560" w:lineRule="exact"/>
        <w:rPr>
          <w:rFonts w:ascii="宋体" w:hAnsi="宋体"/>
          <w:bCs/>
          <w:sz w:val="24"/>
          <w:highlight w:val="none"/>
        </w:rPr>
      </w:pPr>
      <w:r>
        <w:rPr>
          <w:rFonts w:hint="eastAsia" w:ascii="宋体" w:hAnsi="宋体" w:cs="Calibri"/>
          <w:b/>
          <w:sz w:val="24"/>
          <w:highlight w:val="none"/>
        </w:rPr>
        <w:t>12. 乙方的权利和义务</w:t>
      </w:r>
    </w:p>
    <w:p w14:paraId="3CB0C42F">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12.1 签署合同后，乙方应确定项目负责人（或项目联系人），负责与本合同有关的事务。</w:t>
      </w:r>
    </w:p>
    <w:p w14:paraId="2E401F0C">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467840A8">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12.3乙方有权根据合同约定向甲方收取合同价款。</w:t>
      </w:r>
    </w:p>
    <w:p w14:paraId="62B9EA6C">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12.4国家法律法规规定约定应由乙方承担的其他义务和责任。</w:t>
      </w:r>
    </w:p>
    <w:p w14:paraId="2C59FF1D">
      <w:pPr>
        <w:pStyle w:val="8"/>
        <w:spacing w:line="400" w:lineRule="exact"/>
        <w:rPr>
          <w:rFonts w:ascii="宋体" w:hAnsi="宋体"/>
          <w:b/>
          <w:bCs/>
          <w:szCs w:val="24"/>
          <w:highlight w:val="none"/>
        </w:rPr>
      </w:pPr>
      <w:r>
        <w:rPr>
          <w:rFonts w:hint="eastAsia" w:ascii="宋体" w:hAnsi="宋体"/>
          <w:b/>
          <w:bCs/>
          <w:szCs w:val="24"/>
          <w:highlight w:val="none"/>
        </w:rPr>
        <w:t>13. 履约保证金</w:t>
      </w:r>
    </w:p>
    <w:p w14:paraId="102DD2D0">
      <w:pPr>
        <w:spacing w:line="420" w:lineRule="exact"/>
        <w:ind w:firstLine="480" w:firstLineChars="200"/>
        <w:rPr>
          <w:rFonts w:ascii="宋体" w:hAnsi="宋体"/>
          <w:sz w:val="24"/>
          <w:highlight w:val="none"/>
        </w:rPr>
      </w:pPr>
      <w:r>
        <w:rPr>
          <w:rFonts w:hint="eastAsia" w:ascii="宋体" w:hAnsi="宋体"/>
          <w:sz w:val="24"/>
          <w:highlight w:val="none"/>
        </w:rPr>
        <w:t>13.1 如有要求，乙方应当以支票、汇票、本票或者金融机构、担保机构出具的保函等非现金形式提交。</w:t>
      </w:r>
    </w:p>
    <w:p w14:paraId="373016E4">
      <w:pPr>
        <w:spacing w:line="420" w:lineRule="exact"/>
        <w:ind w:firstLine="480" w:firstLineChars="200"/>
        <w:rPr>
          <w:rFonts w:ascii="宋体" w:hAnsi="宋体"/>
          <w:sz w:val="24"/>
          <w:highlight w:val="none"/>
        </w:rPr>
      </w:pPr>
      <w:r>
        <w:rPr>
          <w:rFonts w:hint="eastAsia" w:ascii="宋体" w:hAnsi="宋体"/>
          <w:sz w:val="24"/>
          <w:highlight w:val="none"/>
        </w:rPr>
        <w:t>13.2 如果乙方出现采购文件或合同约定情形的，履约保证金不予退还；如果乙方未能按合同约定全面履行义务，甲方有权从履约保证金中取得补偿或赔偿，且不影响甲方要求乙方承担合同约定的超过履约保证金的违约责任的权利。</w:t>
      </w:r>
    </w:p>
    <w:p w14:paraId="1088F96A">
      <w:pPr>
        <w:spacing w:line="420" w:lineRule="exact"/>
        <w:ind w:firstLine="480" w:firstLineChars="200"/>
        <w:rPr>
          <w:rFonts w:ascii="宋体" w:hAnsi="宋体"/>
          <w:sz w:val="24"/>
          <w:highlight w:val="none"/>
        </w:rPr>
      </w:pPr>
      <w:r>
        <w:rPr>
          <w:rFonts w:hint="eastAsia" w:ascii="宋体" w:hAnsi="宋体"/>
          <w:sz w:val="24"/>
          <w:highlight w:val="none"/>
        </w:rPr>
        <w:t>13.3 甲方在项目通过验收后按照【合同专用条款】规定的时间内将履约保证金退还乙方；逾期退还的，乙方可要求甲方支付违约金，违约金按照银行同期利息或【合同专用条款】规定支付。</w:t>
      </w:r>
    </w:p>
    <w:p w14:paraId="51022D88">
      <w:pPr>
        <w:tabs>
          <w:tab w:val="left" w:pos="720"/>
        </w:tabs>
        <w:spacing w:line="560" w:lineRule="exact"/>
        <w:rPr>
          <w:rFonts w:ascii="宋体" w:hAnsi="宋体"/>
          <w:b/>
          <w:sz w:val="24"/>
          <w:highlight w:val="none"/>
        </w:rPr>
      </w:pPr>
      <w:r>
        <w:rPr>
          <w:rFonts w:hint="eastAsia" w:ascii="宋体" w:hAnsi="宋体"/>
          <w:b/>
          <w:sz w:val="24"/>
          <w:highlight w:val="none"/>
        </w:rPr>
        <w:t>14.违约责任</w:t>
      </w:r>
    </w:p>
    <w:p w14:paraId="4094AC17">
      <w:pPr>
        <w:spacing w:line="560" w:lineRule="exact"/>
        <w:ind w:firstLine="480" w:firstLineChars="200"/>
        <w:rPr>
          <w:sz w:val="24"/>
          <w:highlight w:val="none"/>
        </w:rPr>
      </w:pPr>
      <w:r>
        <w:rPr>
          <w:rFonts w:hint="eastAsia"/>
          <w:sz w:val="24"/>
          <w:highlight w:val="none"/>
        </w:rPr>
        <w:t>14.1</w:t>
      </w:r>
      <w:r>
        <w:rPr>
          <w:sz w:val="24"/>
          <w:highlight w:val="none"/>
        </w:rPr>
        <w:t>合同一方不履行合同义务、履行合同义务不符合约定或者违反合同项下所作保证的，应向对方承担继续履行、采取修理、更换、退货等补救措施或者赔偿损失等违约责任。</w:t>
      </w:r>
    </w:p>
    <w:p w14:paraId="14E93931">
      <w:pPr>
        <w:spacing w:line="560" w:lineRule="exact"/>
        <w:ind w:firstLine="480" w:firstLineChars="200"/>
        <w:rPr>
          <w:rFonts w:ascii="宋体" w:hAnsi="宋体"/>
          <w:sz w:val="24"/>
          <w:highlight w:val="none"/>
        </w:rPr>
      </w:pPr>
      <w:r>
        <w:rPr>
          <w:rFonts w:hint="eastAsia" w:ascii="宋体" w:hAnsi="宋体"/>
          <w:sz w:val="24"/>
          <w:highlight w:val="none"/>
        </w:rPr>
        <w:t>14.2如卖方事先未征得买方同意并得到买方的谅解而单方面延迟交货，将按违约终止合同。</w:t>
      </w:r>
    </w:p>
    <w:p w14:paraId="51FCC008">
      <w:pPr>
        <w:spacing w:line="560" w:lineRule="exact"/>
        <w:ind w:firstLine="480" w:firstLineChars="200"/>
        <w:rPr>
          <w:rFonts w:ascii="宋体" w:hAnsi="宋体"/>
          <w:sz w:val="24"/>
          <w:highlight w:val="none"/>
        </w:rPr>
      </w:pPr>
      <w:r>
        <w:rPr>
          <w:rFonts w:hint="eastAsia" w:ascii="宋体" w:hAnsi="宋体"/>
          <w:sz w:val="24"/>
          <w:highlight w:val="none"/>
        </w:rPr>
        <w:t>14.3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71D13B56">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32A9230A">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14.5受影响一方应在不可抗力事件发生后尽快用书面形式通知对方，并于不可抗力事件发生后十四（</w:t>
      </w:r>
      <w:r>
        <w:rPr>
          <w:rStyle w:val="37"/>
          <w:rFonts w:ascii="宋体" w:hAnsi="宋体"/>
          <w:sz w:val="24"/>
          <w:highlight w:val="none"/>
        </w:rPr>
        <w:t>14</w:t>
      </w:r>
      <w:r>
        <w:rPr>
          <w:rStyle w:val="37"/>
          <w:rFonts w:hint="eastAsia" w:ascii="宋体" w:hAnsi="宋体"/>
          <w:sz w:val="24"/>
          <w:highlight w:val="none"/>
        </w:rPr>
        <w:t>）天内将有关当局出具的证明文件用特快专递或挂号信寄给对方审阅确认。</w:t>
      </w:r>
    </w:p>
    <w:p w14:paraId="21EC7132">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w:t>
      </w:r>
      <w:r>
        <w:rPr>
          <w:rStyle w:val="37"/>
          <w:rFonts w:ascii="宋体" w:hAnsi="宋体"/>
          <w:sz w:val="24"/>
          <w:highlight w:val="none"/>
        </w:rPr>
        <w:t>.</w:t>
      </w:r>
      <w:r>
        <w:rPr>
          <w:rStyle w:val="37"/>
          <w:rFonts w:hint="eastAsia" w:ascii="宋体" w:hAnsi="宋体"/>
          <w:sz w:val="24"/>
          <w:highlight w:val="none"/>
        </w:rPr>
        <w:t>6因</w:t>
      </w:r>
      <w:r>
        <w:rPr>
          <w:rStyle w:val="37"/>
          <w:rFonts w:hint="eastAsia" w:ascii="宋体" w:hAnsi="宋体"/>
          <w:spacing w:val="-6"/>
          <w:sz w:val="24"/>
          <w:highlight w:val="none"/>
        </w:rPr>
        <w:t>合同一方迟延履行合同后发生不可抗力的，不能免除迟延履行方的相应责任</w:t>
      </w:r>
      <w:r>
        <w:rPr>
          <w:rStyle w:val="37"/>
          <w:rFonts w:hint="eastAsia" w:ascii="宋体" w:hAnsi="宋体"/>
          <w:sz w:val="24"/>
          <w:highlight w:val="none"/>
        </w:rPr>
        <w:t>。</w:t>
      </w:r>
    </w:p>
    <w:p w14:paraId="69B18734">
      <w:pPr>
        <w:spacing w:line="560" w:lineRule="exact"/>
        <w:rPr>
          <w:rFonts w:ascii="宋体" w:hAnsi="宋体"/>
          <w:b/>
          <w:sz w:val="24"/>
          <w:highlight w:val="none"/>
        </w:rPr>
      </w:pPr>
      <w:r>
        <w:rPr>
          <w:rFonts w:hint="eastAsia" w:ascii="宋体" w:hAnsi="宋体"/>
          <w:b/>
          <w:sz w:val="24"/>
          <w:highlight w:val="none"/>
        </w:rPr>
        <w:t>15.违约终止合同</w:t>
      </w:r>
    </w:p>
    <w:p w14:paraId="0C682B59">
      <w:pPr>
        <w:spacing w:line="560" w:lineRule="exact"/>
        <w:ind w:firstLine="480" w:firstLineChars="200"/>
        <w:rPr>
          <w:rFonts w:ascii="宋体" w:hAnsi="宋体"/>
          <w:sz w:val="24"/>
          <w:highlight w:val="none"/>
        </w:rPr>
      </w:pPr>
      <w:r>
        <w:rPr>
          <w:rFonts w:hint="eastAsia" w:ascii="宋体" w:hAnsi="宋体"/>
          <w:sz w:val="24"/>
          <w:highlight w:val="none"/>
        </w:rPr>
        <w:t>15.1在卖方违约的情况下，买方报告政府采购管理部门后，有权终止合同，并依法向卖方进行索赔。</w:t>
      </w:r>
    </w:p>
    <w:p w14:paraId="02ADC1A9">
      <w:pPr>
        <w:pStyle w:val="39"/>
        <w:tabs>
          <w:tab w:val="left" w:pos="720"/>
        </w:tabs>
        <w:spacing w:before="0" w:after="0" w:line="560" w:lineRule="exact"/>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 xml:space="preserve">. </w:t>
      </w:r>
      <w:r>
        <w:rPr>
          <w:rStyle w:val="37"/>
          <w:rFonts w:hint="eastAsia" w:ascii="宋体" w:hAnsi="宋体"/>
          <w:sz w:val="24"/>
          <w:highlight w:val="none"/>
        </w:rPr>
        <w:t>争议的解决</w:t>
      </w:r>
    </w:p>
    <w:p w14:paraId="06C3EB2C">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.1</w:t>
      </w:r>
      <w:r>
        <w:rPr>
          <w:rStyle w:val="37"/>
          <w:rFonts w:hint="eastAsia" w:ascii="宋体" w:hAnsi="宋体"/>
          <w:sz w:val="24"/>
          <w:highlight w:val="none"/>
        </w:rPr>
        <w:t>因执行本合同所发生的或与本合同有关的一切争议</w:t>
      </w:r>
      <w:r>
        <w:rPr>
          <w:rStyle w:val="37"/>
          <w:rFonts w:ascii="宋体"/>
          <w:sz w:val="24"/>
          <w:highlight w:val="none"/>
        </w:rPr>
        <w:t>,</w:t>
      </w:r>
      <w:r>
        <w:rPr>
          <w:rStyle w:val="37"/>
          <w:rFonts w:hint="eastAsia" w:ascii="宋体" w:hAnsi="宋体"/>
          <w:sz w:val="24"/>
          <w:highlight w:val="none"/>
        </w:rPr>
        <w:t>双方应通过友好协商解决。如果协商开始后六十（</w:t>
      </w:r>
      <w:r>
        <w:rPr>
          <w:rStyle w:val="37"/>
          <w:rFonts w:ascii="宋体" w:hAnsi="宋体"/>
          <w:sz w:val="24"/>
          <w:highlight w:val="none"/>
        </w:rPr>
        <w:t>60</w:t>
      </w:r>
      <w:r>
        <w:rPr>
          <w:rStyle w:val="37"/>
          <w:rFonts w:hint="eastAsia" w:ascii="宋体" w:hAnsi="宋体"/>
          <w:sz w:val="24"/>
          <w:highlight w:val="none"/>
        </w:rPr>
        <w:t>）天还不能解决，任何一方均可按中华人民共和国有关法律的规定提交仲裁。仲裁地点见</w:t>
      </w:r>
      <w:r>
        <w:rPr>
          <w:rStyle w:val="37"/>
          <w:rFonts w:hint="eastAsia" w:ascii="宋体"/>
          <w:sz w:val="24"/>
          <w:highlight w:val="none"/>
        </w:rPr>
        <w:t>“</w:t>
      </w:r>
      <w:r>
        <w:rPr>
          <w:rStyle w:val="37"/>
          <w:rFonts w:hint="eastAsia" w:ascii="宋体" w:hAnsi="宋体"/>
          <w:sz w:val="24"/>
          <w:highlight w:val="none"/>
        </w:rPr>
        <w:t>合同专用条款</w:t>
      </w:r>
      <w:r>
        <w:rPr>
          <w:rStyle w:val="37"/>
          <w:rFonts w:hint="eastAsia" w:ascii="宋体"/>
          <w:sz w:val="24"/>
          <w:highlight w:val="none"/>
        </w:rPr>
        <w:t>”</w:t>
      </w:r>
      <w:r>
        <w:rPr>
          <w:rStyle w:val="37"/>
          <w:rFonts w:hint="eastAsia" w:ascii="宋体" w:hAnsi="宋体"/>
          <w:sz w:val="24"/>
          <w:highlight w:val="none"/>
        </w:rPr>
        <w:t>。</w:t>
      </w:r>
    </w:p>
    <w:p w14:paraId="05B353BF">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.2</w:t>
      </w:r>
      <w:r>
        <w:rPr>
          <w:rStyle w:val="37"/>
          <w:rFonts w:hint="eastAsia" w:ascii="宋体" w:hAnsi="宋体"/>
          <w:sz w:val="24"/>
          <w:highlight w:val="none"/>
        </w:rPr>
        <w:t>仲裁裁决应为最终裁决，对双方均具有约束力。</w:t>
      </w:r>
    </w:p>
    <w:p w14:paraId="4DFD101D">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15</w:t>
      </w:r>
      <w:r>
        <w:rPr>
          <w:rStyle w:val="37"/>
          <w:rFonts w:ascii="宋体" w:hAnsi="宋体"/>
          <w:sz w:val="24"/>
          <w:highlight w:val="none"/>
        </w:rPr>
        <w:t>.3</w:t>
      </w:r>
      <w:r>
        <w:rPr>
          <w:rStyle w:val="37"/>
          <w:rFonts w:hint="eastAsia" w:ascii="宋体" w:hAnsi="宋体"/>
          <w:sz w:val="24"/>
          <w:highlight w:val="none"/>
        </w:rPr>
        <w:t>仲裁费除仲裁机关另有裁决外均应由败诉方负担。</w:t>
      </w:r>
    </w:p>
    <w:p w14:paraId="67929A08">
      <w:pPr>
        <w:tabs>
          <w:tab w:val="left" w:pos="720"/>
        </w:tabs>
        <w:spacing w:line="560" w:lineRule="exact"/>
        <w:ind w:firstLine="480" w:firstLineChars="200"/>
        <w:rPr>
          <w:rFonts w:ascii="宋体" w:hAnsi="宋体"/>
          <w:b/>
          <w:sz w:val="24"/>
          <w:highlight w:val="none"/>
        </w:rPr>
      </w:pPr>
      <w:r>
        <w:rPr>
          <w:rStyle w:val="37"/>
          <w:rFonts w:hint="eastAsia" w:ascii="宋体" w:hAnsi="宋体"/>
          <w:sz w:val="24"/>
          <w:highlight w:val="none"/>
        </w:rPr>
        <w:t>15</w:t>
      </w:r>
      <w:r>
        <w:rPr>
          <w:rStyle w:val="37"/>
          <w:rFonts w:ascii="宋体" w:hAnsi="宋体"/>
          <w:sz w:val="24"/>
          <w:highlight w:val="none"/>
        </w:rPr>
        <w:t>.4</w:t>
      </w:r>
      <w:r>
        <w:rPr>
          <w:rStyle w:val="37"/>
          <w:rFonts w:hint="eastAsia" w:ascii="宋体" w:hAnsi="宋体"/>
          <w:sz w:val="24"/>
          <w:highlight w:val="none"/>
        </w:rPr>
        <w:t>在仲裁期间，除正在进行仲裁的部分外，本合同其它部分应继续执行。</w:t>
      </w:r>
    </w:p>
    <w:p w14:paraId="742653B1">
      <w:pPr>
        <w:spacing w:line="560" w:lineRule="exact"/>
        <w:rPr>
          <w:rFonts w:ascii="宋体" w:hAnsi="宋体"/>
          <w:b/>
          <w:sz w:val="24"/>
          <w:highlight w:val="none"/>
        </w:rPr>
      </w:pPr>
      <w:r>
        <w:rPr>
          <w:rFonts w:hint="eastAsia" w:ascii="宋体" w:hAnsi="宋体"/>
          <w:b/>
          <w:sz w:val="24"/>
          <w:highlight w:val="none"/>
        </w:rPr>
        <w:t>17.适用法律</w:t>
      </w:r>
    </w:p>
    <w:p w14:paraId="622BF131">
      <w:pPr>
        <w:spacing w:line="560" w:lineRule="exact"/>
        <w:ind w:firstLine="480" w:firstLineChars="200"/>
        <w:rPr>
          <w:rFonts w:ascii="宋体" w:hAnsi="宋体"/>
          <w:sz w:val="24"/>
          <w:highlight w:val="none"/>
        </w:rPr>
      </w:pPr>
      <w:r>
        <w:rPr>
          <w:rFonts w:hint="eastAsia" w:ascii="宋体" w:hAnsi="宋体"/>
          <w:sz w:val="24"/>
          <w:highlight w:val="none"/>
        </w:rPr>
        <w:t>17.1本合同应按照中华人民共和国的现行法律进行解释。</w:t>
      </w:r>
    </w:p>
    <w:p w14:paraId="37A28EB9">
      <w:pPr>
        <w:spacing w:line="560" w:lineRule="exact"/>
        <w:rPr>
          <w:rFonts w:ascii="宋体" w:hAnsi="宋体"/>
          <w:b/>
          <w:sz w:val="24"/>
          <w:highlight w:val="none"/>
        </w:rPr>
      </w:pPr>
      <w:r>
        <w:rPr>
          <w:rFonts w:hint="eastAsia" w:ascii="宋体" w:hAnsi="宋体"/>
          <w:b/>
          <w:sz w:val="24"/>
          <w:highlight w:val="none"/>
        </w:rPr>
        <w:t>18.合同生效及其它</w:t>
      </w:r>
    </w:p>
    <w:p w14:paraId="4867E609">
      <w:pPr>
        <w:spacing w:line="560" w:lineRule="exact"/>
        <w:ind w:firstLine="480" w:firstLineChars="200"/>
        <w:rPr>
          <w:rFonts w:ascii="宋体" w:hAnsi="宋体"/>
          <w:sz w:val="24"/>
          <w:highlight w:val="none"/>
        </w:rPr>
      </w:pPr>
      <w:r>
        <w:rPr>
          <w:rFonts w:hint="eastAsia" w:ascii="宋体" w:hAnsi="宋体"/>
          <w:sz w:val="24"/>
          <w:highlight w:val="none"/>
        </w:rPr>
        <w:t>18.1本合同在买卖双方签字、盖章之后生效。</w:t>
      </w:r>
    </w:p>
    <w:p w14:paraId="4870AC8A">
      <w:pPr>
        <w:spacing w:line="560" w:lineRule="exact"/>
        <w:ind w:firstLine="480" w:firstLineChars="200"/>
        <w:rPr>
          <w:rFonts w:ascii="宋体" w:hAnsi="宋体"/>
          <w:sz w:val="24"/>
          <w:highlight w:val="none"/>
        </w:rPr>
      </w:pPr>
      <w:r>
        <w:rPr>
          <w:rFonts w:hint="eastAsia" w:ascii="宋体" w:hAnsi="宋体"/>
          <w:sz w:val="24"/>
          <w:highlight w:val="none"/>
        </w:rPr>
        <w:t>18.2本合同正本一式二份，副本一式四份，均以中文书写。买方执正本一份、副本二份；卖方执正本一份，副本一份；政府采购管理部门备案副本一份。</w:t>
      </w:r>
    </w:p>
    <w:p w14:paraId="3373AFBE">
      <w:pPr>
        <w:spacing w:line="560" w:lineRule="exact"/>
        <w:rPr>
          <w:rFonts w:ascii="宋体" w:hAnsi="宋体"/>
          <w:b/>
          <w:sz w:val="24"/>
          <w:highlight w:val="none"/>
        </w:rPr>
      </w:pPr>
      <w:r>
        <w:rPr>
          <w:rFonts w:hint="eastAsia" w:ascii="宋体" w:hAnsi="宋体"/>
          <w:b/>
          <w:sz w:val="24"/>
          <w:highlight w:val="none"/>
        </w:rPr>
        <w:t>19.合同修改</w:t>
      </w:r>
    </w:p>
    <w:p w14:paraId="370624D7">
      <w:pPr>
        <w:spacing w:line="560" w:lineRule="exact"/>
        <w:ind w:firstLine="480" w:firstLineChars="200"/>
        <w:rPr>
          <w:rFonts w:ascii="宋体" w:hAnsi="宋体"/>
          <w:sz w:val="24"/>
          <w:highlight w:val="none"/>
        </w:rPr>
      </w:pPr>
      <w:r>
        <w:rPr>
          <w:rFonts w:hint="eastAsia" w:ascii="宋体" w:hAnsi="宋体"/>
          <w:sz w:val="24"/>
          <w:highlight w:val="none"/>
        </w:rPr>
        <w:t>19.1本合同在执行过程中，如提出修改，须报政府采购管理部门同意后，由买、卖双方签署书面修改协议，并成为本合同不可分割的一部分。除此之外，本合同的条件不得有任何变化或修改。</w:t>
      </w:r>
    </w:p>
    <w:p w14:paraId="024B5488">
      <w:pPr>
        <w:spacing w:line="560" w:lineRule="exact"/>
        <w:rPr>
          <w:rFonts w:ascii="宋体" w:hAnsi="宋体"/>
          <w:b/>
          <w:sz w:val="24"/>
          <w:highlight w:val="none"/>
        </w:rPr>
      </w:pPr>
      <w:r>
        <w:rPr>
          <w:rFonts w:hint="eastAsia" w:ascii="宋体" w:hAnsi="宋体"/>
          <w:b/>
          <w:sz w:val="24"/>
          <w:highlight w:val="none"/>
        </w:rPr>
        <w:t>20.合同附件</w:t>
      </w:r>
    </w:p>
    <w:p w14:paraId="5AAED67F">
      <w:pPr>
        <w:spacing w:line="360" w:lineRule="auto"/>
        <w:ind w:firstLine="480"/>
        <w:rPr>
          <w:rFonts w:ascii="宋体" w:hAnsi="宋体" w:cs="宋体"/>
          <w:sz w:val="24"/>
          <w:szCs w:val="24"/>
          <w:highlight w:val="none"/>
        </w:rPr>
      </w:pPr>
      <w:r>
        <w:rPr>
          <w:rFonts w:hint="eastAsia" w:ascii="宋体" w:hAnsi="宋体"/>
          <w:sz w:val="24"/>
          <w:highlight w:val="none"/>
        </w:rPr>
        <w:t>20.1本合同所有附件是本合同不可分割的部分,与主合同具有同等法律效力。</w:t>
      </w:r>
    </w:p>
    <w:p w14:paraId="2047708A">
      <w:pPr>
        <w:spacing w:line="360" w:lineRule="auto"/>
        <w:ind w:firstLine="480"/>
        <w:rPr>
          <w:rFonts w:ascii="宋体" w:hAnsi="宋体" w:cs="宋体"/>
          <w:sz w:val="24"/>
          <w:szCs w:val="24"/>
          <w:highlight w:val="none"/>
        </w:rPr>
      </w:pPr>
    </w:p>
    <w:p w14:paraId="651A6B0E">
      <w:pPr>
        <w:spacing w:line="360" w:lineRule="auto"/>
        <w:ind w:firstLine="480"/>
        <w:rPr>
          <w:rFonts w:ascii="宋体" w:hAnsi="宋体" w:cs="宋体"/>
          <w:sz w:val="24"/>
          <w:szCs w:val="24"/>
          <w:highlight w:val="none"/>
        </w:rPr>
      </w:pPr>
    </w:p>
    <w:p w14:paraId="6704647B">
      <w:pPr>
        <w:spacing w:line="360" w:lineRule="auto"/>
        <w:ind w:firstLine="480"/>
        <w:rPr>
          <w:rFonts w:ascii="宋体" w:hAnsi="宋体" w:cs="宋体"/>
          <w:sz w:val="24"/>
          <w:szCs w:val="24"/>
          <w:highlight w:val="none"/>
        </w:rPr>
      </w:pPr>
    </w:p>
    <w:p w14:paraId="291AC532">
      <w:pPr>
        <w:spacing w:line="360" w:lineRule="auto"/>
        <w:ind w:firstLine="480"/>
        <w:rPr>
          <w:rFonts w:ascii="宋体" w:hAnsi="宋体" w:cs="宋体"/>
          <w:sz w:val="24"/>
          <w:szCs w:val="24"/>
          <w:highlight w:val="none"/>
        </w:rPr>
      </w:pPr>
    </w:p>
    <w:p w14:paraId="34BFA767">
      <w:pPr>
        <w:spacing w:line="360" w:lineRule="auto"/>
        <w:rPr>
          <w:rFonts w:ascii="宋体" w:hAnsi="宋体" w:cs="宋体"/>
          <w:sz w:val="24"/>
          <w:szCs w:val="24"/>
          <w:highlight w:val="none"/>
        </w:rPr>
      </w:pPr>
    </w:p>
    <w:p w14:paraId="1DB32454">
      <w:pPr>
        <w:rPr>
          <w:rFonts w:ascii="宋体" w:hAnsi="宋体" w:cs="宋体"/>
          <w:b/>
          <w:sz w:val="24"/>
          <w:szCs w:val="24"/>
          <w:highlight w:val="none"/>
        </w:rPr>
      </w:pPr>
      <w:r>
        <w:rPr>
          <w:rFonts w:hint="eastAsia" w:ascii="宋体" w:hAnsi="宋体" w:cs="宋体"/>
          <w:b/>
          <w:sz w:val="24"/>
          <w:szCs w:val="24"/>
          <w:highlight w:val="none"/>
        </w:rPr>
        <w:br w:type="page"/>
      </w:r>
    </w:p>
    <w:p w14:paraId="73E2D8A6">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第二部分  合同专用条款</w:t>
      </w:r>
    </w:p>
    <w:p w14:paraId="29E5A0E0">
      <w:pPr>
        <w:rPr>
          <w:highlight w:val="none"/>
        </w:rPr>
      </w:pPr>
      <w:r>
        <w:rPr>
          <w:rFonts w:hint="eastAsia" w:ascii="宋体" w:hAnsi="宋体" w:cs="宋体"/>
          <w:sz w:val="24"/>
          <w:szCs w:val="24"/>
          <w:highlight w:val="none"/>
        </w:rPr>
        <w:t>本表是对《合同通用条款》的具体补充和修改，如有矛盾，应以本表为准。</w:t>
      </w:r>
    </w:p>
    <w:tbl>
      <w:tblPr>
        <w:tblStyle w:val="22"/>
        <w:tblpPr w:leftFromText="180" w:rightFromText="180" w:vertAnchor="text" w:horzAnchor="page" w:tblpX="1790" w:tblpY="288"/>
        <w:tblOverlap w:val="never"/>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465A9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1ADE1758">
            <w:pPr>
              <w:jc w:val="center"/>
              <w:rPr>
                <w:rFonts w:ascii="宋体" w:hAnsi="宋体" w:cs="宋体"/>
                <w:sz w:val="24"/>
                <w:szCs w:val="24"/>
                <w:highlight w:val="none"/>
              </w:rPr>
            </w:pPr>
            <w:r>
              <w:rPr>
                <w:rFonts w:hint="eastAsia" w:ascii="宋体" w:hAnsi="宋体" w:cs="宋体"/>
                <w:sz w:val="24"/>
                <w:szCs w:val="24"/>
                <w:highlight w:val="none"/>
              </w:rPr>
              <w:t>条款号</w:t>
            </w:r>
          </w:p>
        </w:tc>
        <w:tc>
          <w:tcPr>
            <w:tcW w:w="7326" w:type="dxa"/>
            <w:vAlign w:val="center"/>
          </w:tcPr>
          <w:p w14:paraId="56C8D363">
            <w:pPr>
              <w:jc w:val="center"/>
              <w:rPr>
                <w:rFonts w:ascii="宋体" w:hAnsi="宋体" w:cs="宋体"/>
                <w:b/>
                <w:sz w:val="24"/>
                <w:szCs w:val="24"/>
                <w:highlight w:val="none"/>
              </w:rPr>
            </w:pPr>
            <w:r>
              <w:rPr>
                <w:rFonts w:hint="eastAsia" w:ascii="宋体" w:hAnsi="宋体" w:cs="宋体"/>
                <w:b/>
                <w:sz w:val="24"/>
                <w:szCs w:val="24"/>
                <w:highlight w:val="none"/>
              </w:rPr>
              <w:t>内      容</w:t>
            </w:r>
          </w:p>
        </w:tc>
      </w:tr>
      <w:tr w14:paraId="0BCC0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vAlign w:val="center"/>
          </w:tcPr>
          <w:p w14:paraId="0E20A772">
            <w:pPr>
              <w:spacing w:line="360" w:lineRule="auto"/>
              <w:jc w:val="center"/>
              <w:rPr>
                <w:rFonts w:ascii="宋体" w:hAnsi="宋体" w:cs="宋体"/>
                <w:sz w:val="24"/>
                <w:szCs w:val="24"/>
                <w:highlight w:val="none"/>
              </w:rPr>
            </w:pPr>
            <w:r>
              <w:rPr>
                <w:rFonts w:hint="eastAsia" w:ascii="宋体" w:hAnsi="宋体" w:cs="宋体"/>
                <w:sz w:val="24"/>
                <w:szCs w:val="24"/>
                <w:highlight w:val="none"/>
              </w:rPr>
              <w:t>1</w:t>
            </w:r>
          </w:p>
        </w:tc>
        <w:tc>
          <w:tcPr>
            <w:tcW w:w="7326" w:type="dxa"/>
            <w:vAlign w:val="center"/>
          </w:tcPr>
          <w:p w14:paraId="39784C5C">
            <w:pPr>
              <w:spacing w:line="360" w:lineRule="auto"/>
              <w:jc w:val="left"/>
              <w:rPr>
                <w:rFonts w:ascii="宋体" w:hAnsi="宋体" w:cs="宋体"/>
                <w:sz w:val="24"/>
                <w:szCs w:val="24"/>
                <w:highlight w:val="none"/>
              </w:rPr>
            </w:pPr>
            <w:r>
              <w:rPr>
                <w:rFonts w:hint="eastAsia" w:ascii="宋体" w:hAnsi="宋体" w:cs="宋体"/>
                <w:sz w:val="24"/>
                <w:szCs w:val="24"/>
                <w:highlight w:val="none"/>
              </w:rPr>
              <w:t>买方名称：</w:t>
            </w:r>
            <w:r>
              <w:rPr>
                <w:rFonts w:hint="eastAsia" w:ascii="宋体" w:hAnsi="宋体"/>
                <w:sz w:val="24"/>
                <w:szCs w:val="24"/>
                <w:highlight w:val="none"/>
              </w:rPr>
              <w:t>咸阳市中心血站</w:t>
            </w:r>
          </w:p>
          <w:p w14:paraId="3A997E48">
            <w:pPr>
              <w:spacing w:line="360" w:lineRule="auto"/>
              <w:rPr>
                <w:rFonts w:ascii="宋体" w:hAnsi="宋体"/>
                <w:sz w:val="24"/>
                <w:szCs w:val="24"/>
                <w:highlight w:val="none"/>
              </w:rPr>
            </w:pPr>
            <w:r>
              <w:rPr>
                <w:rFonts w:hint="eastAsia" w:ascii="宋体" w:hAnsi="宋体" w:cs="宋体"/>
                <w:sz w:val="24"/>
                <w:szCs w:val="24"/>
                <w:highlight w:val="none"/>
              </w:rPr>
              <w:t>地    址：</w:t>
            </w:r>
            <w:r>
              <w:rPr>
                <w:rFonts w:hint="eastAsia" w:ascii="宋体" w:hAnsi="宋体"/>
                <w:sz w:val="24"/>
                <w:szCs w:val="24"/>
                <w:highlight w:val="none"/>
              </w:rPr>
              <w:t>咸阳市世纪大道中段</w:t>
            </w:r>
          </w:p>
          <w:p w14:paraId="0C462D15">
            <w:pPr>
              <w:spacing w:line="360" w:lineRule="auto"/>
              <w:rPr>
                <w:rFonts w:ascii="宋体" w:hAnsi="宋体"/>
                <w:sz w:val="24"/>
                <w:szCs w:val="24"/>
                <w:highlight w:val="none"/>
              </w:rPr>
            </w:pPr>
            <w:r>
              <w:rPr>
                <w:rFonts w:hint="eastAsia" w:ascii="宋体" w:hAnsi="宋体"/>
                <w:sz w:val="24"/>
                <w:szCs w:val="24"/>
                <w:highlight w:val="none"/>
              </w:rPr>
              <w:t>卖方名称：</w:t>
            </w:r>
          </w:p>
          <w:p w14:paraId="1E50F916">
            <w:pPr>
              <w:spacing w:line="360" w:lineRule="auto"/>
              <w:rPr>
                <w:rFonts w:ascii="宋体" w:hAnsi="宋体"/>
                <w:sz w:val="24"/>
                <w:szCs w:val="24"/>
                <w:highlight w:val="none"/>
              </w:rPr>
            </w:pPr>
            <w:r>
              <w:rPr>
                <w:rFonts w:hint="eastAsia" w:ascii="宋体" w:hAnsi="宋体"/>
                <w:sz w:val="24"/>
                <w:szCs w:val="24"/>
                <w:highlight w:val="none"/>
              </w:rPr>
              <w:t>地    址：</w:t>
            </w:r>
          </w:p>
        </w:tc>
      </w:tr>
      <w:tr w14:paraId="18D536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vAlign w:val="center"/>
          </w:tcPr>
          <w:p w14:paraId="23BB555C">
            <w:pPr>
              <w:spacing w:line="360" w:lineRule="auto"/>
              <w:jc w:val="center"/>
              <w:rPr>
                <w:rFonts w:ascii="宋体" w:hAnsi="宋体" w:cs="宋体"/>
                <w:sz w:val="24"/>
                <w:szCs w:val="24"/>
                <w:highlight w:val="none"/>
              </w:rPr>
            </w:pPr>
            <w:r>
              <w:rPr>
                <w:rFonts w:hint="eastAsia" w:ascii="宋体" w:hAnsi="宋体" w:cs="宋体"/>
                <w:sz w:val="24"/>
                <w:szCs w:val="24"/>
                <w:highlight w:val="none"/>
              </w:rPr>
              <w:t>4</w:t>
            </w:r>
          </w:p>
        </w:tc>
        <w:tc>
          <w:tcPr>
            <w:tcW w:w="7326" w:type="dxa"/>
            <w:vAlign w:val="center"/>
          </w:tcPr>
          <w:p w14:paraId="4AE47725">
            <w:pPr>
              <w:spacing w:line="360" w:lineRule="auto"/>
              <w:jc w:val="left"/>
              <w:rPr>
                <w:rFonts w:ascii="宋体" w:hAnsi="宋体" w:cs="宋体"/>
                <w:sz w:val="24"/>
                <w:szCs w:val="24"/>
                <w:highlight w:val="none"/>
              </w:rPr>
            </w:pPr>
            <w:r>
              <w:rPr>
                <w:rFonts w:hint="eastAsia" w:ascii="宋体" w:hAnsi="宋体" w:cs="宋体"/>
                <w:sz w:val="24"/>
                <w:szCs w:val="24"/>
                <w:highlight w:val="none"/>
              </w:rPr>
              <w:t>交货期：</w:t>
            </w:r>
            <w:r>
              <w:rPr>
                <w:rFonts w:hint="eastAsia" w:ascii="宋体" w:hAnsi="宋体"/>
                <w:sz w:val="24"/>
                <w:szCs w:val="24"/>
                <w:highlight w:val="none"/>
              </w:rPr>
              <w:t>接到订单通知后10个工作日内</w:t>
            </w:r>
          </w:p>
          <w:p w14:paraId="44F8F0CB">
            <w:pPr>
              <w:spacing w:line="360" w:lineRule="auto"/>
              <w:jc w:val="left"/>
              <w:rPr>
                <w:rFonts w:ascii="宋体" w:hAnsi="宋体" w:cs="宋体"/>
                <w:sz w:val="24"/>
                <w:szCs w:val="24"/>
                <w:highlight w:val="none"/>
              </w:rPr>
            </w:pPr>
            <w:r>
              <w:rPr>
                <w:rFonts w:hint="eastAsia" w:ascii="宋体" w:hAnsi="宋体" w:cs="宋体"/>
                <w:sz w:val="24"/>
                <w:szCs w:val="24"/>
                <w:highlight w:val="none"/>
              </w:rPr>
              <w:t>交货地点：</w:t>
            </w:r>
            <w:r>
              <w:rPr>
                <w:rFonts w:hint="eastAsia" w:ascii="宋体" w:hAnsi="宋体"/>
                <w:sz w:val="24"/>
                <w:szCs w:val="24"/>
                <w:highlight w:val="none"/>
              </w:rPr>
              <w:t>采购人指定地点</w:t>
            </w:r>
          </w:p>
        </w:tc>
      </w:tr>
      <w:tr w14:paraId="2B514E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6DD2DA3D">
            <w:pPr>
              <w:spacing w:line="360" w:lineRule="auto"/>
              <w:jc w:val="center"/>
              <w:rPr>
                <w:rFonts w:ascii="宋体" w:hAnsi="宋体"/>
                <w:sz w:val="24"/>
                <w:szCs w:val="24"/>
                <w:highlight w:val="none"/>
              </w:rPr>
            </w:pPr>
            <w:r>
              <w:rPr>
                <w:rFonts w:hint="eastAsia" w:ascii="宋体" w:hAnsi="宋体"/>
                <w:sz w:val="24"/>
                <w:szCs w:val="24"/>
                <w:highlight w:val="none"/>
              </w:rPr>
              <w:t>5</w:t>
            </w:r>
          </w:p>
        </w:tc>
        <w:tc>
          <w:tcPr>
            <w:tcW w:w="7326" w:type="dxa"/>
            <w:vAlign w:val="center"/>
          </w:tcPr>
          <w:p w14:paraId="5AD67D7D">
            <w:pPr>
              <w:spacing w:line="360" w:lineRule="auto"/>
              <w:ind w:left="360" w:hanging="360" w:hangingChars="150"/>
              <w:rPr>
                <w:rFonts w:ascii="宋体" w:hAnsi="宋体" w:cs="宋体"/>
                <w:sz w:val="24"/>
                <w:szCs w:val="24"/>
                <w:highlight w:val="none"/>
              </w:rPr>
            </w:pPr>
            <w:r>
              <w:rPr>
                <w:rFonts w:hint="eastAsia" w:ascii="宋体" w:hAnsi="宋体" w:cs="宋体"/>
                <w:sz w:val="24"/>
                <w:szCs w:val="24"/>
                <w:highlight w:val="none"/>
              </w:rPr>
              <w:t>运</w:t>
            </w:r>
            <w:r>
              <w:rPr>
                <w:rFonts w:hint="eastAsia" w:ascii="宋体" w:hAnsi="宋体"/>
                <w:sz w:val="24"/>
                <w:szCs w:val="24"/>
                <w:highlight w:val="none"/>
              </w:rPr>
              <w:t>输要求</w:t>
            </w:r>
            <w:r>
              <w:rPr>
                <w:rFonts w:ascii="宋体" w:hAnsi="宋体"/>
                <w:sz w:val="24"/>
                <w:szCs w:val="24"/>
                <w:highlight w:val="none"/>
              </w:rPr>
              <w:t>：</w:t>
            </w:r>
            <w:r>
              <w:rPr>
                <w:rFonts w:ascii="宋体" w:hAnsi="宋体"/>
                <w:sz w:val="24"/>
                <w:szCs w:val="24"/>
                <w:highlight w:val="none"/>
              </w:rPr>
              <w:br w:type="textWrapping"/>
            </w:r>
            <w:r>
              <w:rPr>
                <w:rFonts w:hint="eastAsia" w:ascii="宋体" w:hAnsi="宋体"/>
                <w:sz w:val="24"/>
                <w:szCs w:val="24"/>
                <w:highlight w:val="none"/>
              </w:rPr>
              <w:t>（一）</w:t>
            </w:r>
            <w:r>
              <w:rPr>
                <w:rFonts w:ascii="宋体" w:hAnsi="宋体"/>
                <w:sz w:val="24"/>
                <w:szCs w:val="24"/>
                <w:highlight w:val="none"/>
              </w:rPr>
              <w:t>卖方须选择具备运输资质的物流公司，运输过程需符合试剂</w:t>
            </w:r>
            <w:r>
              <w:rPr>
                <w:rFonts w:hint="eastAsia" w:ascii="宋体" w:hAnsi="宋体"/>
                <w:sz w:val="24"/>
                <w:szCs w:val="24"/>
                <w:highlight w:val="none"/>
              </w:rPr>
              <w:t>、耗材</w:t>
            </w:r>
            <w:r>
              <w:rPr>
                <w:rFonts w:ascii="宋体" w:hAnsi="宋体"/>
                <w:sz w:val="24"/>
                <w:szCs w:val="24"/>
                <w:highlight w:val="none"/>
              </w:rPr>
              <w:t>储存条件（温度、湿度</w:t>
            </w:r>
            <w:r>
              <w:rPr>
                <w:rFonts w:hint="eastAsia" w:ascii="宋体" w:hAnsi="宋体"/>
                <w:sz w:val="24"/>
                <w:szCs w:val="24"/>
                <w:highlight w:val="none"/>
              </w:rPr>
              <w:t>等</w:t>
            </w:r>
            <w:r>
              <w:rPr>
                <w:rFonts w:ascii="宋体" w:hAnsi="宋体"/>
                <w:sz w:val="24"/>
                <w:szCs w:val="24"/>
                <w:highlight w:val="none"/>
              </w:rPr>
              <w:t>控制要求）</w:t>
            </w:r>
            <w:r>
              <w:rPr>
                <w:rFonts w:hint="eastAsia" w:ascii="宋体" w:hAnsi="宋体"/>
                <w:sz w:val="24"/>
                <w:szCs w:val="24"/>
                <w:highlight w:val="none"/>
              </w:rPr>
              <w:t>。</w:t>
            </w:r>
            <w:r>
              <w:rPr>
                <w:rFonts w:ascii="宋体" w:hAnsi="宋体"/>
                <w:sz w:val="24"/>
                <w:szCs w:val="24"/>
                <w:highlight w:val="none"/>
              </w:rPr>
              <w:br w:type="textWrapping"/>
            </w:r>
            <w:r>
              <w:rPr>
                <w:rFonts w:hint="eastAsia" w:ascii="宋体" w:hAnsi="宋体"/>
                <w:sz w:val="24"/>
                <w:szCs w:val="24"/>
                <w:highlight w:val="none"/>
              </w:rPr>
              <w:t>（二）</w:t>
            </w:r>
            <w:r>
              <w:rPr>
                <w:rFonts w:ascii="宋体" w:hAnsi="宋体"/>
                <w:sz w:val="24"/>
                <w:szCs w:val="24"/>
                <w:highlight w:val="none"/>
              </w:rPr>
              <w:t>卖方应在货物起运后 24 小时内，以书面形式（邮件 / 传真）向买方提供运输单号、预计到达时间、货物清单及储存条件说明。</w:t>
            </w:r>
          </w:p>
        </w:tc>
      </w:tr>
      <w:tr w14:paraId="140506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6DAD840E">
            <w:pPr>
              <w:spacing w:line="360" w:lineRule="auto"/>
              <w:jc w:val="center"/>
              <w:rPr>
                <w:rFonts w:ascii="宋体" w:hAnsi="宋体" w:cs="宋体"/>
                <w:sz w:val="24"/>
                <w:szCs w:val="24"/>
                <w:highlight w:val="none"/>
              </w:rPr>
            </w:pPr>
            <w:r>
              <w:rPr>
                <w:rFonts w:hint="eastAsia" w:ascii="宋体" w:hAnsi="宋体"/>
                <w:sz w:val="24"/>
                <w:szCs w:val="24"/>
                <w:highlight w:val="none"/>
              </w:rPr>
              <w:t>7.4</w:t>
            </w:r>
          </w:p>
        </w:tc>
        <w:tc>
          <w:tcPr>
            <w:tcW w:w="7326" w:type="dxa"/>
            <w:vAlign w:val="center"/>
          </w:tcPr>
          <w:p w14:paraId="47D3BFD9">
            <w:pPr>
              <w:spacing w:line="440" w:lineRule="exact"/>
              <w:rPr>
                <w:rFonts w:ascii="宋体" w:hAnsi="宋体"/>
                <w:sz w:val="24"/>
                <w:szCs w:val="24"/>
                <w:highlight w:val="none"/>
              </w:rPr>
            </w:pPr>
            <w:r>
              <w:rPr>
                <w:rFonts w:hint="eastAsia" w:ascii="宋体" w:hAnsi="宋体"/>
                <w:sz w:val="24"/>
                <w:szCs w:val="24"/>
                <w:highlight w:val="none"/>
              </w:rPr>
              <w:t>价款支付：</w:t>
            </w:r>
          </w:p>
          <w:p w14:paraId="6BF929C5">
            <w:pPr>
              <w:spacing w:line="440" w:lineRule="exact"/>
              <w:rPr>
                <w:rFonts w:ascii="宋体" w:hAnsi="宋体" w:cs="宋体"/>
                <w:sz w:val="24"/>
                <w:szCs w:val="24"/>
                <w:highlight w:val="none"/>
              </w:rPr>
            </w:pPr>
            <w:r>
              <w:rPr>
                <w:rFonts w:hint="eastAsia" w:ascii="宋体" w:hAnsi="宋体" w:cs="宋体"/>
                <w:sz w:val="24"/>
                <w:szCs w:val="24"/>
                <w:highlight w:val="none"/>
              </w:rPr>
              <w:t>（一）</w:t>
            </w:r>
            <w:r>
              <w:rPr>
                <w:rFonts w:hint="eastAsia" w:ascii="宋体" w:hAnsi="宋体"/>
                <w:sz w:val="24"/>
                <w:szCs w:val="24"/>
                <w:highlight w:val="none"/>
              </w:rPr>
              <w:t>买方将采购名称、数量通知卖方，卖方接通知后及时按双方合同约定的送货时间（电话通知后10个工作日内）将货物送至买方指定地点，买方收到货物验收合格后，收到卖方开具的发票后10个工作日内付清该批货物全款</w:t>
            </w:r>
            <w:r>
              <w:rPr>
                <w:rFonts w:hint="eastAsia" w:ascii="宋体" w:hAnsi="宋体" w:cs="宋体"/>
                <w:sz w:val="24"/>
                <w:szCs w:val="24"/>
                <w:highlight w:val="none"/>
              </w:rPr>
              <w:t>。</w:t>
            </w:r>
          </w:p>
          <w:p w14:paraId="4BCBB727">
            <w:pPr>
              <w:spacing w:line="360" w:lineRule="auto"/>
              <w:rPr>
                <w:rFonts w:ascii="宋体" w:hAnsi="宋体" w:cs="宋体"/>
                <w:sz w:val="24"/>
                <w:szCs w:val="24"/>
                <w:highlight w:val="none"/>
              </w:rPr>
            </w:pPr>
            <w:r>
              <w:rPr>
                <w:rFonts w:hint="eastAsia" w:ascii="宋体" w:hAnsi="宋体" w:cs="宋体"/>
                <w:sz w:val="24"/>
                <w:szCs w:val="24"/>
                <w:highlight w:val="none"/>
              </w:rPr>
              <w:t>（二）支付方式：银行转账</w:t>
            </w:r>
            <w:r>
              <w:rPr>
                <w:rFonts w:ascii="Segoe UI" w:hAnsi="Segoe UI" w:eastAsia="Segoe UI" w:cs="Segoe UI"/>
                <w:sz w:val="24"/>
                <w:szCs w:val="24"/>
                <w:highlight w:val="none"/>
              </w:rPr>
              <w:t>（卖方需提前提供开户银行、账号等信息）</w:t>
            </w:r>
            <w:r>
              <w:rPr>
                <w:rFonts w:hint="eastAsia" w:ascii="宋体" w:hAnsi="宋体" w:cs="宋体"/>
                <w:sz w:val="24"/>
                <w:szCs w:val="24"/>
                <w:highlight w:val="none"/>
              </w:rPr>
              <w:t>。</w:t>
            </w:r>
          </w:p>
          <w:p w14:paraId="5283271D">
            <w:pPr>
              <w:spacing w:line="360" w:lineRule="auto"/>
              <w:ind w:left="360" w:hanging="360" w:hangingChars="150"/>
              <w:rPr>
                <w:rFonts w:eastAsia="华文楷体"/>
                <w:highlight w:val="none"/>
              </w:rPr>
            </w:pPr>
            <w:r>
              <w:rPr>
                <w:rFonts w:hint="eastAsia" w:ascii="宋体" w:hAnsi="宋体" w:cs="宋体"/>
                <w:sz w:val="24"/>
                <w:szCs w:val="24"/>
                <w:highlight w:val="none"/>
              </w:rPr>
              <w:t>（三）结算方式：卖方持入库单，发票，中标通知书、供货合同，与买方结算。</w:t>
            </w:r>
          </w:p>
        </w:tc>
      </w:tr>
      <w:tr w14:paraId="183523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43526628">
            <w:pPr>
              <w:spacing w:line="360" w:lineRule="auto"/>
              <w:jc w:val="center"/>
              <w:rPr>
                <w:rFonts w:ascii="宋体" w:hAnsi="宋体"/>
                <w:b/>
                <w:bCs/>
                <w:sz w:val="24"/>
                <w:szCs w:val="24"/>
                <w:highlight w:val="none"/>
              </w:rPr>
            </w:pPr>
            <w:r>
              <w:rPr>
                <w:rFonts w:hint="eastAsia" w:ascii="宋体" w:hAnsi="宋体"/>
                <w:sz w:val="24"/>
                <w:szCs w:val="24"/>
                <w:highlight w:val="none"/>
              </w:rPr>
              <w:t>9.1</w:t>
            </w:r>
          </w:p>
        </w:tc>
        <w:tc>
          <w:tcPr>
            <w:tcW w:w="7326" w:type="dxa"/>
            <w:tcBorders>
              <w:top w:val="single" w:color="auto" w:sz="4" w:space="0"/>
              <w:bottom w:val="single" w:color="auto" w:sz="4" w:space="0"/>
            </w:tcBorders>
            <w:vAlign w:val="center"/>
          </w:tcPr>
          <w:p w14:paraId="29016F58">
            <w:pPr>
              <w:spacing w:line="360" w:lineRule="auto"/>
              <w:rPr>
                <w:rFonts w:ascii="宋体" w:hAnsi="宋体" w:cs="宋体"/>
                <w:highlight w:val="none"/>
                <w:shd w:val="clear" w:color="auto" w:fill="FFFFFF"/>
              </w:rPr>
            </w:pPr>
            <w:r>
              <w:rPr>
                <w:rFonts w:hint="eastAsia" w:ascii="宋体" w:hAnsi="宋体"/>
                <w:sz w:val="24"/>
                <w:szCs w:val="24"/>
                <w:highlight w:val="none"/>
              </w:rPr>
              <w:t>合同包7(去白血袋四联装（取样装置）)</w:t>
            </w:r>
          </w:p>
          <w:p w14:paraId="1C75697F">
            <w:pPr>
              <w:spacing w:line="360" w:lineRule="auto"/>
              <w:rPr>
                <w:rFonts w:ascii="宋体" w:hAnsi="宋体" w:cs="宋体"/>
                <w:b/>
                <w:bCs/>
                <w:kern w:val="0"/>
                <w:sz w:val="24"/>
                <w:szCs w:val="24"/>
                <w:highlight w:val="none"/>
              </w:rPr>
            </w:pPr>
            <w:r>
              <w:rPr>
                <w:rFonts w:hint="eastAsia" w:ascii="宋体" w:hAnsi="宋体"/>
                <w:color w:val="000000"/>
                <w:sz w:val="24"/>
                <w:szCs w:val="24"/>
                <w:highlight w:val="none"/>
              </w:rPr>
              <w:t>质量保证期：</w:t>
            </w:r>
            <w:r>
              <w:rPr>
                <w:rFonts w:hint="eastAsia" w:ascii="宋体" w:hAnsi="宋体"/>
                <w:sz w:val="24"/>
                <w:szCs w:val="24"/>
                <w:highlight w:val="none"/>
              </w:rPr>
              <w:t>耗材类到货后有效期不低于18个月。</w:t>
            </w:r>
          </w:p>
        </w:tc>
      </w:tr>
      <w:tr w14:paraId="5D869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77610EFD">
            <w:pPr>
              <w:spacing w:line="360" w:lineRule="auto"/>
              <w:jc w:val="center"/>
              <w:rPr>
                <w:rFonts w:ascii="宋体" w:hAnsi="宋体" w:cs="宋体"/>
                <w:sz w:val="24"/>
                <w:szCs w:val="24"/>
                <w:highlight w:val="none"/>
              </w:rPr>
            </w:pPr>
            <w:r>
              <w:rPr>
                <w:rFonts w:hint="eastAsia" w:ascii="宋体" w:hAnsi="宋体" w:cs="宋体"/>
                <w:sz w:val="24"/>
                <w:szCs w:val="24"/>
                <w:highlight w:val="none"/>
              </w:rPr>
              <w:t>10.6</w:t>
            </w:r>
          </w:p>
        </w:tc>
        <w:tc>
          <w:tcPr>
            <w:tcW w:w="7326" w:type="dxa"/>
            <w:tcBorders>
              <w:top w:val="single" w:color="auto" w:sz="4" w:space="0"/>
              <w:bottom w:val="single" w:color="auto" w:sz="4" w:space="0"/>
            </w:tcBorders>
            <w:vAlign w:val="center"/>
          </w:tcPr>
          <w:p w14:paraId="28110C31">
            <w:pPr>
              <w:spacing w:line="360" w:lineRule="auto"/>
              <w:rPr>
                <w:rFonts w:ascii="宋体" w:hAnsi="宋体" w:cs="宋体"/>
                <w:sz w:val="24"/>
                <w:szCs w:val="24"/>
                <w:highlight w:val="none"/>
              </w:rPr>
            </w:pPr>
            <w:r>
              <w:rPr>
                <w:rFonts w:hint="eastAsia" w:ascii="宋体" w:hAnsi="宋体" w:cs="宋体"/>
                <w:sz w:val="24"/>
                <w:szCs w:val="24"/>
                <w:highlight w:val="none"/>
              </w:rPr>
              <w:t>（一）</w:t>
            </w:r>
            <w:r>
              <w:rPr>
                <w:rFonts w:ascii="宋体" w:hAnsi="宋体" w:cs="宋体"/>
                <w:sz w:val="24"/>
                <w:szCs w:val="24"/>
                <w:highlight w:val="none"/>
              </w:rPr>
              <w:t>验收流程：</w:t>
            </w:r>
            <w:r>
              <w:rPr>
                <w:rFonts w:ascii="宋体" w:hAnsi="宋体"/>
                <w:sz w:val="24"/>
                <w:szCs w:val="24"/>
                <w:highlight w:val="none"/>
              </w:rPr>
              <w:br w:type="textWrapping"/>
            </w:r>
            <w:r>
              <w:rPr>
                <w:rFonts w:hint="eastAsia" w:ascii="宋体" w:hAnsi="宋体" w:cs="宋体"/>
                <w:sz w:val="24"/>
                <w:szCs w:val="24"/>
                <w:highlight w:val="none"/>
              </w:rPr>
              <w:t>1、</w:t>
            </w:r>
            <w:r>
              <w:rPr>
                <w:rFonts w:ascii="宋体" w:hAnsi="宋体" w:cs="宋体"/>
                <w:sz w:val="24"/>
                <w:szCs w:val="24"/>
                <w:highlight w:val="none"/>
              </w:rPr>
              <w:t>到货后 2 个工作日内，买方组织技术人员、质量管理人员进行开箱检验，核对货物数量、规格、型号、包装及随附文件（装箱单、质量合格证、技术文件等）</w:t>
            </w:r>
            <w:r>
              <w:rPr>
                <w:rFonts w:hint="eastAsia" w:ascii="宋体" w:hAnsi="宋体" w:cs="宋体"/>
                <w:sz w:val="24"/>
                <w:szCs w:val="24"/>
                <w:highlight w:val="none"/>
              </w:rPr>
              <w:t>。</w:t>
            </w:r>
          </w:p>
          <w:p w14:paraId="3B57556F">
            <w:pPr>
              <w:spacing w:line="360" w:lineRule="auto"/>
              <w:rPr>
                <w:rFonts w:ascii="宋体" w:hAnsi="宋体" w:cs="宋体"/>
                <w:sz w:val="24"/>
                <w:szCs w:val="24"/>
                <w:highlight w:val="none"/>
              </w:rPr>
            </w:pPr>
            <w:r>
              <w:rPr>
                <w:rFonts w:hint="eastAsia" w:ascii="宋体" w:hAnsi="宋体" w:cs="宋体"/>
                <w:sz w:val="24"/>
                <w:szCs w:val="24"/>
                <w:highlight w:val="none"/>
              </w:rPr>
              <w:t>2、</w:t>
            </w:r>
            <w:r>
              <w:rPr>
                <w:rFonts w:ascii="宋体" w:hAnsi="宋体" w:cs="宋体"/>
                <w:sz w:val="24"/>
                <w:szCs w:val="24"/>
                <w:highlight w:val="none"/>
              </w:rPr>
              <w:t>对需要性能测试的试剂 / 耗材，买方在 10 个工作日内完成抽样检测，检测标准以招标文件技术规格及国家行业标准为准</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（二）</w:t>
            </w:r>
            <w:r>
              <w:rPr>
                <w:rFonts w:ascii="宋体" w:hAnsi="宋体" w:cs="宋体"/>
                <w:sz w:val="24"/>
                <w:szCs w:val="24"/>
                <w:highlight w:val="none"/>
              </w:rPr>
              <w:t>验收不合格处理：</w:t>
            </w:r>
            <w:r>
              <w:rPr>
                <w:rFonts w:ascii="宋体" w:hAnsi="宋体" w:cs="宋体"/>
                <w:sz w:val="24"/>
                <w:szCs w:val="24"/>
                <w:highlight w:val="none"/>
              </w:rPr>
              <w:br w:type="textWrapping"/>
            </w:r>
            <w:r>
              <w:rPr>
                <w:rFonts w:hint="eastAsia" w:ascii="宋体" w:hAnsi="宋体" w:cs="宋体"/>
                <w:sz w:val="24"/>
                <w:szCs w:val="24"/>
                <w:highlight w:val="none"/>
              </w:rPr>
              <w:t>1、</w:t>
            </w:r>
            <w:r>
              <w:rPr>
                <w:rFonts w:ascii="宋体" w:hAnsi="宋体" w:cs="宋体"/>
                <w:sz w:val="24"/>
                <w:szCs w:val="24"/>
                <w:highlight w:val="none"/>
              </w:rPr>
              <w:t>数量短缺或规格不符：卖方需在 3 个工作日内补足或更换，交货期不顺延</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2、</w:t>
            </w:r>
            <w:r>
              <w:rPr>
                <w:rFonts w:ascii="宋体" w:hAnsi="宋体" w:cs="宋体"/>
                <w:sz w:val="24"/>
                <w:szCs w:val="24"/>
                <w:highlight w:val="none"/>
              </w:rPr>
              <w:t>质量不达标或有效期不足：买方有权拒收，卖方需在5个工作日内更换合格货物，由此产生的运输、仓储等费用由卖方承担</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（三）</w:t>
            </w:r>
            <w:r>
              <w:rPr>
                <w:rFonts w:ascii="宋体" w:hAnsi="宋体" w:cs="宋体"/>
                <w:sz w:val="24"/>
                <w:szCs w:val="24"/>
                <w:highlight w:val="none"/>
              </w:rPr>
              <w:t>验收书签署：验收合格后，买方出具书面验收书，作为结算依据。</w:t>
            </w:r>
          </w:p>
        </w:tc>
      </w:tr>
      <w:tr w14:paraId="48F64A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shd w:val="clear" w:color="auto" w:fill="auto"/>
            <w:vAlign w:val="center"/>
          </w:tcPr>
          <w:p w14:paraId="4F189172">
            <w:pPr>
              <w:spacing w:line="360" w:lineRule="auto"/>
              <w:jc w:val="center"/>
              <w:rPr>
                <w:rFonts w:ascii="宋体" w:hAnsi="宋体"/>
                <w:sz w:val="24"/>
                <w:szCs w:val="24"/>
                <w:highlight w:val="none"/>
              </w:rPr>
            </w:pPr>
            <w:r>
              <w:rPr>
                <w:rFonts w:hint="eastAsia" w:ascii="宋体" w:hAnsi="宋体"/>
                <w:sz w:val="24"/>
                <w:szCs w:val="24"/>
                <w:highlight w:val="none"/>
              </w:rPr>
              <w:t>13.3</w:t>
            </w:r>
          </w:p>
        </w:tc>
        <w:tc>
          <w:tcPr>
            <w:tcW w:w="7326" w:type="dxa"/>
            <w:tcBorders>
              <w:top w:val="single" w:color="auto" w:sz="4" w:space="0"/>
              <w:bottom w:val="single" w:color="auto" w:sz="12" w:space="0"/>
            </w:tcBorders>
            <w:shd w:val="clear" w:color="auto" w:fill="auto"/>
            <w:vAlign w:val="center"/>
          </w:tcPr>
          <w:p w14:paraId="0C6D01D2">
            <w:pPr>
              <w:spacing w:line="360" w:lineRule="auto"/>
              <w:rPr>
                <w:rFonts w:ascii="宋体" w:hAnsi="宋体" w:cs="宋体"/>
                <w:sz w:val="24"/>
                <w:szCs w:val="24"/>
                <w:highlight w:val="none"/>
              </w:rPr>
            </w:pPr>
            <w:r>
              <w:rPr>
                <w:rFonts w:hint="eastAsia" w:ascii="宋体" w:hAnsi="宋体" w:cs="宋体"/>
                <w:sz w:val="24"/>
                <w:szCs w:val="24"/>
                <w:highlight w:val="none"/>
              </w:rPr>
              <w:t>履约保证金</w:t>
            </w:r>
            <w:r>
              <w:rPr>
                <w:rFonts w:ascii="宋体" w:hAnsi="宋体" w:cs="宋体"/>
                <w:sz w:val="24"/>
                <w:szCs w:val="24"/>
                <w:highlight w:val="none"/>
              </w:rPr>
              <w:t>：</w:t>
            </w:r>
          </w:p>
          <w:p w14:paraId="005176D4">
            <w:pPr>
              <w:spacing w:line="360" w:lineRule="auto"/>
              <w:rPr>
                <w:rFonts w:ascii="宋体" w:hAnsi="宋体" w:cs="宋体"/>
                <w:sz w:val="24"/>
                <w:szCs w:val="24"/>
                <w:highlight w:val="none"/>
              </w:rPr>
            </w:pPr>
            <w:r>
              <w:rPr>
                <w:rFonts w:hint="eastAsia" w:ascii="宋体" w:hAnsi="宋体" w:cs="宋体"/>
                <w:sz w:val="24"/>
                <w:szCs w:val="24"/>
                <w:highlight w:val="none"/>
              </w:rPr>
              <w:t>（一）</w:t>
            </w:r>
            <w:r>
              <w:rPr>
                <w:rFonts w:ascii="宋体" w:hAnsi="宋体" w:cs="宋体"/>
                <w:sz w:val="24"/>
                <w:szCs w:val="24"/>
                <w:highlight w:val="none"/>
              </w:rPr>
              <w:t>卖方须在合同签订后 5 个工作日内，缴纳合同总金额5%的履约保证金</w:t>
            </w:r>
            <w:r>
              <w:rPr>
                <w:rFonts w:hint="eastAsia" w:ascii="宋体" w:hAnsi="宋体" w:cs="宋体"/>
                <w:sz w:val="24"/>
                <w:szCs w:val="24"/>
                <w:highlight w:val="none"/>
              </w:rPr>
              <w:t>。</w:t>
            </w:r>
          </w:p>
          <w:p w14:paraId="7F086A6D">
            <w:pPr>
              <w:spacing w:line="360" w:lineRule="auto"/>
              <w:rPr>
                <w:rFonts w:ascii="宋体" w:hAnsi="宋体" w:cs="宋体"/>
                <w:sz w:val="24"/>
                <w:szCs w:val="24"/>
                <w:highlight w:val="none"/>
              </w:rPr>
            </w:pPr>
            <w:r>
              <w:rPr>
                <w:rFonts w:hint="eastAsia" w:ascii="宋体" w:hAnsi="宋体" w:cs="宋体"/>
                <w:sz w:val="24"/>
                <w:szCs w:val="24"/>
                <w:highlight w:val="none"/>
              </w:rPr>
              <w:t>（二）</w:t>
            </w:r>
            <w:r>
              <w:rPr>
                <w:rFonts w:ascii="宋体" w:hAnsi="宋体" w:cs="宋体"/>
                <w:sz w:val="24"/>
                <w:szCs w:val="24"/>
                <w:highlight w:val="none"/>
              </w:rPr>
              <w:t>保证金退还：</w:t>
            </w:r>
            <w:r>
              <w:rPr>
                <w:rFonts w:hint="eastAsia" w:ascii="宋体" w:hAnsi="宋体" w:cs="宋体"/>
                <w:sz w:val="24"/>
                <w:szCs w:val="24"/>
                <w:highlight w:val="none"/>
                <w:lang w:val="en-US" w:eastAsia="zh-CN"/>
              </w:rPr>
              <w:t>最后一批次货物</w:t>
            </w:r>
            <w:r>
              <w:rPr>
                <w:rFonts w:ascii="宋体" w:hAnsi="宋体" w:cs="宋体"/>
                <w:sz w:val="24"/>
                <w:szCs w:val="24"/>
                <w:highlight w:val="none"/>
              </w:rPr>
              <w:t>验收合格且无质量问题后30 日内，买方无息退还</w:t>
            </w:r>
            <w:r>
              <w:rPr>
                <w:rFonts w:hint="eastAsia" w:ascii="宋体" w:hAnsi="宋体" w:cs="宋体"/>
                <w:sz w:val="24"/>
                <w:szCs w:val="24"/>
                <w:highlight w:val="none"/>
              </w:rPr>
              <w:t>。</w:t>
            </w:r>
          </w:p>
          <w:p w14:paraId="2E74AD53">
            <w:pPr>
              <w:spacing w:line="360" w:lineRule="auto"/>
              <w:rPr>
                <w:rFonts w:ascii="宋体" w:hAnsi="宋体"/>
                <w:sz w:val="24"/>
                <w:szCs w:val="24"/>
                <w:highlight w:val="none"/>
              </w:rPr>
            </w:pPr>
            <w:r>
              <w:rPr>
                <w:rFonts w:hint="eastAsia" w:ascii="宋体" w:hAnsi="宋体" w:cs="宋体"/>
                <w:sz w:val="24"/>
                <w:szCs w:val="24"/>
                <w:highlight w:val="none"/>
              </w:rPr>
              <w:t>（三）</w:t>
            </w:r>
            <w:r>
              <w:rPr>
                <w:rFonts w:ascii="宋体" w:hAnsi="宋体" w:cs="宋体"/>
                <w:sz w:val="24"/>
                <w:szCs w:val="24"/>
                <w:highlight w:val="none"/>
              </w:rPr>
              <w:t>若货物存在质量问题（包括但不限于性能不达标、</w:t>
            </w:r>
            <w:r>
              <w:rPr>
                <w:rFonts w:hint="eastAsia" w:ascii="宋体" w:hAnsi="宋体" w:cs="宋体"/>
                <w:sz w:val="24"/>
                <w:szCs w:val="24"/>
                <w:highlight w:val="none"/>
              </w:rPr>
              <w:t>与样品不符、</w:t>
            </w:r>
            <w:r>
              <w:rPr>
                <w:rFonts w:ascii="宋体" w:hAnsi="宋体" w:cs="宋体"/>
                <w:sz w:val="24"/>
                <w:szCs w:val="24"/>
                <w:highlight w:val="none"/>
              </w:rPr>
              <w:t>有效期不足、伪造检验报告等），买方有权按以下标准扣除</w:t>
            </w:r>
            <w:r>
              <w:rPr>
                <w:rFonts w:hint="eastAsia" w:ascii="宋体" w:hAnsi="宋体" w:cs="宋体"/>
                <w:sz w:val="24"/>
                <w:szCs w:val="24"/>
                <w:highlight w:val="none"/>
              </w:rPr>
              <w:t>履约</w:t>
            </w:r>
            <w:r>
              <w:rPr>
                <w:rFonts w:ascii="宋体" w:hAnsi="宋体" w:cs="宋体"/>
                <w:sz w:val="24"/>
                <w:szCs w:val="24"/>
                <w:highlight w:val="none"/>
              </w:rPr>
              <w:t>保证金：</w:t>
            </w:r>
            <w:r>
              <w:rPr>
                <w:rFonts w:ascii="宋体" w:hAnsi="宋体" w:cs="宋体"/>
                <w:sz w:val="24"/>
                <w:szCs w:val="24"/>
                <w:highlight w:val="none"/>
              </w:rPr>
              <w:br w:type="textWrapping"/>
            </w:r>
            <w:r>
              <w:rPr>
                <w:rFonts w:ascii="宋体" w:hAnsi="宋体" w:cs="宋体"/>
                <w:sz w:val="24"/>
                <w:szCs w:val="24"/>
                <w:highlight w:val="none"/>
              </w:rPr>
              <w:t>首次不合格：扣除该批次货物金额的20%</w:t>
            </w:r>
            <w:r>
              <w:rPr>
                <w:rFonts w:hint="eastAsia" w:ascii="宋体" w:hAnsi="宋体" w:cs="宋体"/>
                <w:sz w:val="24"/>
                <w:szCs w:val="24"/>
                <w:highlight w:val="none"/>
              </w:rPr>
              <w:t>。</w:t>
            </w:r>
            <w:r>
              <w:rPr>
                <w:rFonts w:ascii="宋体" w:hAnsi="宋体" w:cs="宋体"/>
                <w:sz w:val="24"/>
                <w:szCs w:val="24"/>
                <w:highlight w:val="none"/>
              </w:rPr>
              <w:br w:type="textWrapping"/>
            </w:r>
            <w:r>
              <w:rPr>
                <w:rFonts w:ascii="宋体" w:hAnsi="宋体" w:cs="宋体"/>
                <w:sz w:val="24"/>
                <w:szCs w:val="24"/>
                <w:highlight w:val="none"/>
              </w:rPr>
              <w:t>累计两次不合格：扣除全部</w:t>
            </w:r>
            <w:r>
              <w:rPr>
                <w:rFonts w:hint="eastAsia" w:ascii="宋体" w:hAnsi="宋体" w:cs="宋体"/>
                <w:sz w:val="24"/>
                <w:szCs w:val="24"/>
                <w:highlight w:val="none"/>
              </w:rPr>
              <w:t>履约</w:t>
            </w:r>
            <w:r>
              <w:rPr>
                <w:rFonts w:ascii="宋体" w:hAnsi="宋体" w:cs="宋体"/>
                <w:sz w:val="24"/>
                <w:szCs w:val="24"/>
                <w:highlight w:val="none"/>
              </w:rPr>
              <w:t>保证金，并终止合同</w:t>
            </w:r>
            <w:r>
              <w:rPr>
                <w:rFonts w:hint="eastAsia" w:ascii="宋体" w:hAnsi="宋体" w:cs="宋体"/>
                <w:sz w:val="24"/>
                <w:szCs w:val="24"/>
                <w:highlight w:val="none"/>
              </w:rPr>
              <w:t>执行</w:t>
            </w:r>
            <w:r>
              <w:rPr>
                <w:rFonts w:ascii="宋体" w:hAnsi="宋体" w:cs="宋体"/>
                <w:sz w:val="24"/>
                <w:szCs w:val="24"/>
                <w:highlight w:val="none"/>
              </w:rPr>
              <w:t>。</w:t>
            </w:r>
          </w:p>
        </w:tc>
      </w:tr>
      <w:tr w14:paraId="4BAFD3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4A67BCD1">
            <w:pPr>
              <w:spacing w:line="360" w:lineRule="auto"/>
              <w:jc w:val="center"/>
              <w:rPr>
                <w:rFonts w:ascii="宋体" w:hAnsi="宋体" w:cs="宋体"/>
                <w:sz w:val="24"/>
                <w:szCs w:val="24"/>
                <w:highlight w:val="none"/>
              </w:rPr>
            </w:pPr>
            <w:r>
              <w:rPr>
                <w:rFonts w:hint="eastAsia" w:ascii="宋体" w:hAnsi="宋体" w:cs="宋体"/>
                <w:sz w:val="24"/>
                <w:szCs w:val="24"/>
                <w:highlight w:val="none"/>
              </w:rPr>
              <w:t>14</w:t>
            </w:r>
          </w:p>
        </w:tc>
        <w:tc>
          <w:tcPr>
            <w:tcW w:w="7326" w:type="dxa"/>
            <w:tcBorders>
              <w:top w:val="single" w:color="auto" w:sz="4" w:space="0"/>
              <w:bottom w:val="single" w:color="auto" w:sz="12" w:space="0"/>
            </w:tcBorders>
            <w:vAlign w:val="center"/>
          </w:tcPr>
          <w:p w14:paraId="5978AA38">
            <w:pPr>
              <w:spacing w:line="360" w:lineRule="auto"/>
              <w:rPr>
                <w:rFonts w:ascii="宋体" w:hAnsi="宋体" w:cs="宋体"/>
                <w:sz w:val="24"/>
                <w:szCs w:val="24"/>
                <w:highlight w:val="none"/>
              </w:rPr>
            </w:pPr>
            <w:r>
              <w:rPr>
                <w:rFonts w:ascii="宋体" w:hAnsi="宋体" w:cs="宋体"/>
                <w:sz w:val="24"/>
                <w:szCs w:val="24"/>
                <w:highlight w:val="none"/>
              </w:rPr>
              <w:t>违约责任：</w:t>
            </w:r>
            <w:r>
              <w:rPr>
                <w:rFonts w:ascii="宋体" w:hAnsi="宋体" w:cs="宋体"/>
                <w:sz w:val="24"/>
                <w:szCs w:val="24"/>
                <w:highlight w:val="none"/>
              </w:rPr>
              <w:br w:type="textWrapping"/>
            </w:r>
            <w:r>
              <w:rPr>
                <w:rFonts w:hint="eastAsia" w:ascii="宋体" w:hAnsi="宋体" w:cs="宋体"/>
                <w:sz w:val="24"/>
                <w:szCs w:val="24"/>
                <w:highlight w:val="none"/>
              </w:rPr>
              <w:t>（一）</w:t>
            </w:r>
            <w:r>
              <w:rPr>
                <w:rFonts w:ascii="宋体" w:hAnsi="宋体" w:cs="宋体"/>
                <w:sz w:val="24"/>
                <w:szCs w:val="24"/>
                <w:highlight w:val="none"/>
              </w:rPr>
              <w:t>卖方延迟交货：</w:t>
            </w:r>
            <w:r>
              <w:rPr>
                <w:rFonts w:hint="eastAsia" w:ascii="宋体" w:hAnsi="宋体" w:cs="宋体"/>
                <w:sz w:val="24"/>
                <w:szCs w:val="24"/>
                <w:highlight w:val="none"/>
              </w:rPr>
              <w:t>卖方迟延交货10</w:t>
            </w:r>
            <w:r>
              <w:rPr>
                <w:rFonts w:ascii="宋体" w:hAnsi="宋体" w:cs="宋体"/>
                <w:sz w:val="24"/>
                <w:szCs w:val="24"/>
                <w:highlight w:val="none"/>
              </w:rPr>
              <w:t>个工作日</w:t>
            </w:r>
            <w:r>
              <w:rPr>
                <w:rFonts w:hint="eastAsia" w:ascii="宋体" w:hAnsi="宋体" w:cs="宋体"/>
                <w:sz w:val="24"/>
                <w:szCs w:val="24"/>
                <w:highlight w:val="none"/>
              </w:rPr>
              <w:t>内的，</w:t>
            </w:r>
            <w:r>
              <w:rPr>
                <w:rFonts w:ascii="宋体" w:hAnsi="宋体" w:cs="宋体"/>
                <w:sz w:val="24"/>
                <w:szCs w:val="24"/>
                <w:highlight w:val="none"/>
              </w:rPr>
              <w:t>按该批次金额 0.5%/ 周支付违约金（不足 1 周按 1 周计）</w:t>
            </w:r>
            <w:r>
              <w:rPr>
                <w:rFonts w:hint="eastAsia" w:ascii="宋体" w:hAnsi="宋体" w:cs="宋体"/>
                <w:sz w:val="24"/>
                <w:szCs w:val="24"/>
                <w:highlight w:val="none"/>
              </w:rPr>
              <w:t>。卖方迟延交货</w:t>
            </w:r>
            <w:r>
              <w:rPr>
                <w:rFonts w:ascii="宋体" w:hAnsi="宋体" w:cs="宋体"/>
                <w:sz w:val="24"/>
                <w:szCs w:val="24"/>
                <w:highlight w:val="none"/>
              </w:rPr>
              <w:t>1</w:t>
            </w:r>
            <w:r>
              <w:rPr>
                <w:rFonts w:hint="eastAsia" w:ascii="宋体" w:hAnsi="宋体" w:cs="宋体"/>
                <w:sz w:val="24"/>
                <w:szCs w:val="24"/>
                <w:highlight w:val="none"/>
              </w:rPr>
              <w:t>0</w:t>
            </w:r>
            <w:r>
              <w:rPr>
                <w:rFonts w:ascii="宋体" w:hAnsi="宋体" w:cs="宋体"/>
                <w:sz w:val="24"/>
                <w:szCs w:val="24"/>
                <w:highlight w:val="none"/>
              </w:rPr>
              <w:t xml:space="preserve"> 个工作日</w:t>
            </w:r>
            <w:r>
              <w:rPr>
                <w:rFonts w:hint="eastAsia" w:ascii="宋体" w:hAnsi="宋体" w:cs="宋体"/>
                <w:sz w:val="24"/>
                <w:szCs w:val="24"/>
                <w:highlight w:val="none"/>
              </w:rPr>
              <w:t>以上，</w:t>
            </w:r>
            <w:r>
              <w:rPr>
                <w:rFonts w:ascii="宋体" w:hAnsi="宋体" w:cs="宋体"/>
                <w:sz w:val="24"/>
                <w:szCs w:val="24"/>
                <w:highlight w:val="none"/>
              </w:rPr>
              <w:t>买方有权解除合同，卖方支付合同总价 10% 违约金</w:t>
            </w:r>
            <w:r>
              <w:rPr>
                <w:rFonts w:hint="eastAsia" w:ascii="宋体" w:hAnsi="宋体" w:cs="宋体"/>
                <w:sz w:val="24"/>
                <w:szCs w:val="24"/>
                <w:highlight w:val="none"/>
              </w:rPr>
              <w:t>。</w:t>
            </w:r>
            <w:r>
              <w:rPr>
                <w:rFonts w:ascii="宋体" w:hAnsi="宋体" w:cs="宋体"/>
                <w:sz w:val="24"/>
                <w:szCs w:val="24"/>
                <w:highlight w:val="none"/>
              </w:rPr>
              <w:br w:type="textWrapping"/>
            </w:r>
            <w:r>
              <w:rPr>
                <w:rFonts w:hint="eastAsia" w:ascii="宋体" w:hAnsi="宋体" w:cs="宋体"/>
                <w:sz w:val="24"/>
                <w:szCs w:val="24"/>
                <w:highlight w:val="none"/>
              </w:rPr>
              <w:t>（二）</w:t>
            </w:r>
            <w:r>
              <w:rPr>
                <w:rFonts w:ascii="宋体" w:hAnsi="宋体" w:cs="宋体"/>
                <w:sz w:val="24"/>
                <w:szCs w:val="24"/>
                <w:highlight w:val="none"/>
              </w:rPr>
              <w:t>累计两次质量不合格</w:t>
            </w:r>
            <w:r>
              <w:rPr>
                <w:rFonts w:hint="eastAsia" w:ascii="宋体" w:hAnsi="宋体" w:cs="宋体"/>
                <w:sz w:val="24"/>
                <w:szCs w:val="24"/>
                <w:highlight w:val="none"/>
              </w:rPr>
              <w:t>，</w:t>
            </w:r>
            <w:r>
              <w:rPr>
                <w:rFonts w:ascii="宋体" w:hAnsi="宋体" w:cs="宋体"/>
                <w:sz w:val="24"/>
                <w:szCs w:val="24"/>
                <w:highlight w:val="none"/>
              </w:rPr>
              <w:t>买方</w:t>
            </w:r>
            <w:r>
              <w:rPr>
                <w:rFonts w:hint="eastAsia" w:ascii="宋体" w:hAnsi="宋体" w:cs="宋体"/>
                <w:sz w:val="24"/>
                <w:szCs w:val="24"/>
                <w:highlight w:val="none"/>
              </w:rPr>
              <w:t>有权</w:t>
            </w:r>
            <w:r>
              <w:rPr>
                <w:rFonts w:ascii="宋体" w:hAnsi="宋体" w:cs="宋体"/>
                <w:sz w:val="24"/>
                <w:szCs w:val="24"/>
                <w:highlight w:val="none"/>
              </w:rPr>
              <w:t>终止合同，卖方赔偿</w:t>
            </w:r>
            <w:r>
              <w:rPr>
                <w:rFonts w:hint="eastAsia" w:ascii="宋体" w:hAnsi="宋体" w:cs="宋体"/>
                <w:sz w:val="24"/>
                <w:szCs w:val="24"/>
                <w:highlight w:val="none"/>
              </w:rPr>
              <w:t>买方</w:t>
            </w:r>
            <w:r>
              <w:rPr>
                <w:rFonts w:ascii="宋体" w:hAnsi="宋体" w:cs="宋体"/>
                <w:sz w:val="24"/>
                <w:szCs w:val="24"/>
                <w:highlight w:val="none"/>
              </w:rPr>
              <w:t>全部损失（包括但不限于不合格货物价值、检测费用、替代采购差价、医疗纠纷赔偿</w:t>
            </w:r>
            <w:r>
              <w:rPr>
                <w:rFonts w:hint="eastAsia" w:ascii="宋体" w:hAnsi="宋体" w:cs="宋体"/>
                <w:sz w:val="24"/>
                <w:szCs w:val="24"/>
                <w:highlight w:val="none"/>
              </w:rPr>
              <w:t>、</w:t>
            </w:r>
            <w:r>
              <w:rPr>
                <w:rFonts w:ascii="宋体" w:hAnsi="宋体" w:cs="宋体"/>
                <w:sz w:val="24"/>
                <w:szCs w:val="24"/>
                <w:highlight w:val="none"/>
              </w:rPr>
              <w:t>商誉损失）。</w:t>
            </w:r>
          </w:p>
        </w:tc>
      </w:tr>
      <w:tr w14:paraId="7C3B4F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0C4D548A">
            <w:pPr>
              <w:spacing w:line="360" w:lineRule="auto"/>
              <w:jc w:val="center"/>
              <w:rPr>
                <w:rFonts w:ascii="宋体" w:hAnsi="宋体" w:cs="宋体"/>
                <w:sz w:val="24"/>
                <w:szCs w:val="24"/>
                <w:highlight w:val="none"/>
              </w:rPr>
            </w:pPr>
            <w:r>
              <w:rPr>
                <w:rFonts w:hint="eastAsia" w:ascii="宋体" w:hAnsi="宋体" w:cs="宋体"/>
                <w:sz w:val="24"/>
                <w:szCs w:val="24"/>
                <w:highlight w:val="none"/>
              </w:rPr>
              <w:t>16.1</w:t>
            </w:r>
          </w:p>
        </w:tc>
        <w:tc>
          <w:tcPr>
            <w:tcW w:w="7326" w:type="dxa"/>
            <w:tcBorders>
              <w:top w:val="single" w:color="auto" w:sz="4" w:space="0"/>
              <w:bottom w:val="single" w:color="auto" w:sz="12" w:space="0"/>
            </w:tcBorders>
            <w:vAlign w:val="center"/>
          </w:tcPr>
          <w:p w14:paraId="123C6F93">
            <w:pPr>
              <w:spacing w:line="360" w:lineRule="auto"/>
              <w:rPr>
                <w:rFonts w:ascii="宋体" w:hAnsi="宋体" w:cs="宋体"/>
                <w:sz w:val="24"/>
                <w:szCs w:val="24"/>
                <w:highlight w:val="none"/>
              </w:rPr>
            </w:pPr>
            <w:r>
              <w:rPr>
                <w:rFonts w:hint="eastAsia" w:ascii="宋体" w:hAnsi="宋体" w:cs="宋体"/>
                <w:sz w:val="24"/>
                <w:szCs w:val="24"/>
                <w:highlight w:val="none"/>
              </w:rPr>
              <w:t>争议的解决：提交咸阳仲裁委员会裁决。</w:t>
            </w:r>
          </w:p>
        </w:tc>
      </w:tr>
    </w:tbl>
    <w:p w14:paraId="73F26B46">
      <w:pPr>
        <w:ind w:firstLine="480" w:firstLineChars="200"/>
        <w:rPr>
          <w:rFonts w:ascii="宋体" w:hAnsi="宋体" w:cs="宋体"/>
          <w:sz w:val="24"/>
          <w:szCs w:val="24"/>
          <w:highlight w:val="none"/>
        </w:rPr>
      </w:pPr>
    </w:p>
    <w:p w14:paraId="37490389">
      <w:pPr>
        <w:spacing w:line="360" w:lineRule="auto"/>
        <w:jc w:val="center"/>
        <w:rPr>
          <w:rFonts w:ascii="宋体" w:hAnsi="宋体" w:cs="宋体"/>
          <w:b/>
          <w:sz w:val="24"/>
          <w:szCs w:val="24"/>
          <w:highlight w:val="none"/>
        </w:rPr>
      </w:pPr>
      <w:r>
        <w:rPr>
          <w:rFonts w:hint="eastAsia" w:ascii="宋体" w:hAnsi="宋体" w:cs="宋体"/>
          <w:b/>
          <w:sz w:val="24"/>
          <w:szCs w:val="24"/>
          <w:highlight w:val="none"/>
        </w:rPr>
        <w:br w:type="page"/>
      </w:r>
    </w:p>
    <w:p w14:paraId="2889DABA">
      <w:pPr>
        <w:spacing w:line="360" w:lineRule="auto"/>
        <w:jc w:val="center"/>
        <w:rPr>
          <w:rFonts w:ascii="宋体" w:hAnsi="宋体" w:cs="宋体"/>
          <w:b/>
          <w:sz w:val="24"/>
          <w:szCs w:val="24"/>
          <w:highlight w:val="none"/>
        </w:rPr>
      </w:pPr>
      <w:r>
        <w:rPr>
          <w:rFonts w:hint="eastAsia" w:ascii="宋体" w:hAnsi="宋体" w:cs="宋体"/>
          <w:b/>
          <w:sz w:val="24"/>
          <w:szCs w:val="24"/>
          <w:highlight w:val="none"/>
        </w:rPr>
        <w:t>第三部分  合同格式</w:t>
      </w:r>
    </w:p>
    <w:p w14:paraId="396DB0F3">
      <w:pPr>
        <w:rPr>
          <w:rFonts w:ascii="宋体" w:hAnsi="宋体" w:cs="宋体"/>
          <w:sz w:val="24"/>
          <w:szCs w:val="24"/>
          <w:highlight w:val="none"/>
        </w:rPr>
      </w:pPr>
      <w:r>
        <w:rPr>
          <w:rFonts w:hint="eastAsia" w:ascii="宋体" w:hAnsi="宋体" w:cs="宋体"/>
          <w:sz w:val="24"/>
          <w:szCs w:val="24"/>
          <w:highlight w:val="none"/>
        </w:rPr>
        <w:t>1、合同封面格式</w:t>
      </w:r>
    </w:p>
    <w:tbl>
      <w:tblPr>
        <w:tblStyle w:val="22"/>
        <w:tblW w:w="8295" w:type="dxa"/>
        <w:tblInd w:w="0" w:type="dxa"/>
        <w:tblLayout w:type="fixed"/>
        <w:tblCellMar>
          <w:top w:w="0" w:type="dxa"/>
          <w:left w:w="0" w:type="dxa"/>
          <w:bottom w:w="0" w:type="dxa"/>
          <w:right w:w="0" w:type="dxa"/>
        </w:tblCellMar>
      </w:tblPr>
      <w:tblGrid>
        <w:gridCol w:w="2548"/>
        <w:gridCol w:w="5747"/>
      </w:tblGrid>
      <w:tr w14:paraId="5A07E004">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59BE99CA">
            <w:pPr>
              <w:ind w:firstLine="4460" w:firstLineChars="1851"/>
              <w:rPr>
                <w:rFonts w:ascii="宋体" w:hAnsi="宋体" w:cs="宋体"/>
                <w:b/>
                <w:bCs/>
                <w:sz w:val="24"/>
                <w:szCs w:val="24"/>
                <w:highlight w:val="none"/>
              </w:rPr>
            </w:pPr>
            <w:r>
              <w:rPr>
                <w:rFonts w:hint="eastAsia" w:ascii="宋体" w:hAnsi="宋体" w:cs="宋体"/>
                <w:b/>
                <w:bCs/>
                <w:sz w:val="24"/>
                <w:szCs w:val="24"/>
                <w:highlight w:val="none"/>
              </w:rPr>
              <w:t>项目</w:t>
            </w:r>
          </w:p>
        </w:tc>
      </w:tr>
      <w:tr w14:paraId="6C30DDC4">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0865CAFE">
            <w:pPr>
              <w:jc w:val="center"/>
              <w:rPr>
                <w:rFonts w:ascii="宋体" w:hAnsi="宋体" w:cs="宋体"/>
                <w:b/>
                <w:bCs/>
                <w:sz w:val="24"/>
                <w:szCs w:val="24"/>
                <w:highlight w:val="none"/>
              </w:rPr>
            </w:pPr>
            <w:r>
              <w:rPr>
                <w:rFonts w:hint="eastAsia" w:ascii="宋体" w:hAnsi="宋体" w:cs="宋体"/>
                <w:b/>
                <w:bCs/>
                <w:sz w:val="24"/>
                <w:szCs w:val="24"/>
                <w:highlight w:val="none"/>
              </w:rPr>
              <w:t>供货合同</w:t>
            </w:r>
          </w:p>
        </w:tc>
      </w:tr>
      <w:tr w14:paraId="5191353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FCDA912">
            <w:pPr>
              <w:rPr>
                <w:rFonts w:ascii="宋体" w:hAnsi="宋体" w:cs="宋体"/>
                <w:sz w:val="24"/>
                <w:szCs w:val="24"/>
                <w:highlight w:val="none"/>
              </w:rPr>
            </w:pPr>
            <w:r>
              <w:rPr>
                <w:rFonts w:hint="eastAsia" w:ascii="宋体" w:hAnsi="宋体" w:cs="宋体"/>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127E9B97">
            <w:pPr>
              <w:rPr>
                <w:rFonts w:ascii="宋体" w:hAnsi="宋体" w:cs="宋体"/>
                <w:sz w:val="24"/>
                <w:szCs w:val="24"/>
                <w:highlight w:val="none"/>
              </w:rPr>
            </w:pPr>
          </w:p>
        </w:tc>
      </w:tr>
      <w:tr w14:paraId="04F004C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EB4BC25">
            <w:pPr>
              <w:rPr>
                <w:rFonts w:ascii="宋体" w:hAnsi="宋体" w:cs="宋体"/>
                <w:sz w:val="24"/>
                <w:szCs w:val="24"/>
                <w:highlight w:val="none"/>
              </w:rPr>
            </w:pPr>
            <w:r>
              <w:rPr>
                <w:rFonts w:hint="eastAsia" w:ascii="宋体" w:hAnsi="宋体" w:cs="宋体"/>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085BF6C9">
            <w:pPr>
              <w:rPr>
                <w:rFonts w:ascii="宋体" w:hAnsi="宋体" w:cs="宋体"/>
                <w:sz w:val="24"/>
                <w:szCs w:val="24"/>
                <w:highlight w:val="none"/>
              </w:rPr>
            </w:pPr>
            <w:r>
              <w:rPr>
                <w:rFonts w:hint="eastAsia" w:ascii="宋体" w:hAnsi="宋体" w:cs="宋体"/>
                <w:sz w:val="24"/>
                <w:szCs w:val="24"/>
                <w:highlight w:val="none"/>
              </w:rPr>
              <w:t xml:space="preserve">    年   月   日</w:t>
            </w:r>
          </w:p>
        </w:tc>
      </w:tr>
      <w:tr w14:paraId="1A4DBF1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25FCAF1">
            <w:pPr>
              <w:rPr>
                <w:rFonts w:ascii="宋体" w:hAnsi="宋体" w:cs="宋体"/>
                <w:sz w:val="24"/>
                <w:szCs w:val="24"/>
                <w:highlight w:val="none"/>
              </w:rPr>
            </w:pPr>
            <w:r>
              <w:rPr>
                <w:rFonts w:hint="eastAsia" w:ascii="宋体" w:hAnsi="宋体" w:cs="宋体"/>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1F6BB2DC">
            <w:pPr>
              <w:rPr>
                <w:rFonts w:ascii="宋体" w:hAnsi="宋体" w:cs="宋体"/>
                <w:sz w:val="24"/>
                <w:szCs w:val="24"/>
                <w:highlight w:val="none"/>
              </w:rPr>
            </w:pPr>
          </w:p>
        </w:tc>
      </w:tr>
      <w:tr w14:paraId="476860B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6EB1121">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2ACB93FC">
            <w:pPr>
              <w:rPr>
                <w:rFonts w:ascii="宋体" w:hAnsi="宋体" w:cs="宋体"/>
                <w:sz w:val="24"/>
                <w:szCs w:val="24"/>
                <w:highlight w:val="none"/>
              </w:rPr>
            </w:pPr>
          </w:p>
        </w:tc>
      </w:tr>
      <w:tr w14:paraId="6716CD9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6F1238A">
            <w:pPr>
              <w:rPr>
                <w:rFonts w:ascii="宋体" w:hAnsi="宋体" w:cs="宋体"/>
                <w:sz w:val="24"/>
                <w:szCs w:val="24"/>
                <w:highlight w:val="none"/>
              </w:rPr>
            </w:pPr>
            <w:r>
              <w:rPr>
                <w:rFonts w:hint="eastAsia" w:ascii="宋体" w:hAnsi="宋体" w:cs="宋体"/>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2474E930">
            <w:pPr>
              <w:rPr>
                <w:rFonts w:ascii="宋体" w:hAnsi="宋体" w:cs="宋体"/>
                <w:sz w:val="24"/>
                <w:szCs w:val="24"/>
                <w:highlight w:val="none"/>
              </w:rPr>
            </w:pPr>
          </w:p>
        </w:tc>
      </w:tr>
      <w:tr w14:paraId="76E4530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8A8C016">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67F5C051">
            <w:pPr>
              <w:rPr>
                <w:rFonts w:ascii="宋体" w:hAnsi="宋体" w:cs="宋体"/>
                <w:sz w:val="24"/>
                <w:szCs w:val="24"/>
                <w:highlight w:val="none"/>
              </w:rPr>
            </w:pPr>
          </w:p>
        </w:tc>
      </w:tr>
      <w:tr w14:paraId="63C424D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C9AB3B9">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5B6699FE">
            <w:pPr>
              <w:rPr>
                <w:rFonts w:ascii="宋体" w:hAnsi="宋体" w:cs="宋体"/>
                <w:sz w:val="24"/>
                <w:szCs w:val="24"/>
                <w:highlight w:val="none"/>
              </w:rPr>
            </w:pPr>
          </w:p>
        </w:tc>
      </w:tr>
      <w:tr w14:paraId="3FD83DE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16FF8A5">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4A0A5024">
            <w:pPr>
              <w:rPr>
                <w:rFonts w:ascii="宋体" w:hAnsi="宋体" w:cs="宋体"/>
                <w:sz w:val="24"/>
                <w:szCs w:val="24"/>
                <w:highlight w:val="none"/>
              </w:rPr>
            </w:pPr>
          </w:p>
        </w:tc>
      </w:tr>
      <w:tr w14:paraId="07FCC54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9CFB929">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54D70D6F">
            <w:pPr>
              <w:rPr>
                <w:rFonts w:ascii="宋体" w:hAnsi="宋体" w:cs="宋体"/>
                <w:sz w:val="24"/>
                <w:szCs w:val="24"/>
                <w:highlight w:val="none"/>
              </w:rPr>
            </w:pPr>
          </w:p>
        </w:tc>
      </w:tr>
      <w:tr w14:paraId="26B0F47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537E320">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59DB786">
            <w:pPr>
              <w:rPr>
                <w:rFonts w:ascii="宋体" w:hAnsi="宋体" w:cs="宋体"/>
                <w:sz w:val="24"/>
                <w:szCs w:val="24"/>
                <w:highlight w:val="none"/>
              </w:rPr>
            </w:pPr>
          </w:p>
        </w:tc>
      </w:tr>
      <w:tr w14:paraId="673680F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ED701A5">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08B72EC7">
            <w:pPr>
              <w:rPr>
                <w:rFonts w:ascii="宋体" w:hAnsi="宋体" w:cs="宋体"/>
                <w:sz w:val="24"/>
                <w:szCs w:val="24"/>
                <w:highlight w:val="none"/>
              </w:rPr>
            </w:pPr>
          </w:p>
        </w:tc>
      </w:tr>
      <w:tr w14:paraId="19F799A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EE9DA5C">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6A549542">
            <w:pPr>
              <w:rPr>
                <w:rFonts w:ascii="宋体" w:hAnsi="宋体" w:cs="宋体"/>
                <w:sz w:val="24"/>
                <w:szCs w:val="24"/>
                <w:highlight w:val="none"/>
              </w:rPr>
            </w:pPr>
          </w:p>
        </w:tc>
      </w:tr>
      <w:tr w14:paraId="744820F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7D5C2F3">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252672D3">
            <w:pPr>
              <w:rPr>
                <w:rFonts w:ascii="宋体" w:hAnsi="宋体" w:cs="宋体"/>
                <w:sz w:val="24"/>
                <w:szCs w:val="24"/>
                <w:highlight w:val="none"/>
              </w:rPr>
            </w:pPr>
          </w:p>
        </w:tc>
      </w:tr>
      <w:tr w14:paraId="569286D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E419265">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19F02203">
            <w:pPr>
              <w:rPr>
                <w:rFonts w:ascii="宋体" w:hAnsi="宋体" w:cs="宋体"/>
                <w:sz w:val="24"/>
                <w:szCs w:val="24"/>
                <w:highlight w:val="none"/>
              </w:rPr>
            </w:pPr>
          </w:p>
        </w:tc>
      </w:tr>
      <w:tr w14:paraId="41A8368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AF17D82">
            <w:pPr>
              <w:rPr>
                <w:rFonts w:ascii="宋体" w:hAnsi="宋体" w:cs="宋体"/>
                <w:sz w:val="24"/>
                <w:szCs w:val="24"/>
                <w:highlight w:val="none"/>
              </w:rPr>
            </w:pPr>
            <w:r>
              <w:rPr>
                <w:rFonts w:hint="eastAsia" w:ascii="宋体" w:hAnsi="宋体" w:cs="宋体"/>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6A85CBC7">
            <w:pPr>
              <w:rPr>
                <w:rFonts w:ascii="宋体" w:hAnsi="宋体" w:cs="宋体"/>
                <w:sz w:val="24"/>
                <w:szCs w:val="24"/>
                <w:highlight w:val="none"/>
              </w:rPr>
            </w:pPr>
          </w:p>
        </w:tc>
      </w:tr>
      <w:tr w14:paraId="7F130B1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C04FE28">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2239CDDA">
            <w:pPr>
              <w:rPr>
                <w:rFonts w:ascii="宋体" w:hAnsi="宋体" w:cs="宋体"/>
                <w:sz w:val="24"/>
                <w:szCs w:val="24"/>
                <w:highlight w:val="none"/>
              </w:rPr>
            </w:pPr>
          </w:p>
        </w:tc>
      </w:tr>
      <w:tr w14:paraId="38F0D49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C00EAF2">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472D6D28">
            <w:pPr>
              <w:rPr>
                <w:rFonts w:ascii="宋体" w:hAnsi="宋体" w:cs="宋体"/>
                <w:sz w:val="24"/>
                <w:szCs w:val="24"/>
                <w:highlight w:val="none"/>
              </w:rPr>
            </w:pPr>
          </w:p>
        </w:tc>
      </w:tr>
      <w:tr w14:paraId="37AC4AA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E1F7E0E">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162EE6D5">
            <w:pPr>
              <w:rPr>
                <w:rFonts w:ascii="宋体" w:hAnsi="宋体" w:cs="宋体"/>
                <w:sz w:val="24"/>
                <w:szCs w:val="24"/>
                <w:highlight w:val="none"/>
              </w:rPr>
            </w:pPr>
          </w:p>
        </w:tc>
      </w:tr>
      <w:tr w14:paraId="4808366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3FEB395">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7A3077B4">
            <w:pPr>
              <w:rPr>
                <w:rFonts w:ascii="宋体" w:hAnsi="宋体" w:cs="宋体"/>
                <w:sz w:val="24"/>
                <w:szCs w:val="24"/>
                <w:highlight w:val="none"/>
              </w:rPr>
            </w:pPr>
          </w:p>
        </w:tc>
      </w:tr>
      <w:tr w14:paraId="5C1652B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1CC9F00">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70DC051D">
            <w:pPr>
              <w:rPr>
                <w:rFonts w:ascii="宋体" w:hAnsi="宋体" w:cs="宋体"/>
                <w:sz w:val="24"/>
                <w:szCs w:val="24"/>
                <w:highlight w:val="none"/>
              </w:rPr>
            </w:pPr>
          </w:p>
        </w:tc>
      </w:tr>
      <w:tr w14:paraId="022E378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A9D38D8">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4EE33DD0">
            <w:pPr>
              <w:rPr>
                <w:rFonts w:ascii="宋体" w:hAnsi="宋体" w:cs="宋体"/>
                <w:sz w:val="24"/>
                <w:szCs w:val="24"/>
                <w:highlight w:val="none"/>
              </w:rPr>
            </w:pPr>
          </w:p>
        </w:tc>
      </w:tr>
      <w:tr w14:paraId="63302AC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557ECA">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48251BDD">
            <w:pPr>
              <w:rPr>
                <w:rFonts w:ascii="宋体" w:hAnsi="宋体" w:cs="宋体"/>
                <w:sz w:val="24"/>
                <w:szCs w:val="24"/>
                <w:highlight w:val="none"/>
              </w:rPr>
            </w:pPr>
          </w:p>
        </w:tc>
      </w:tr>
      <w:tr w14:paraId="398563C5">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tcMar>
              <w:top w:w="15" w:type="dxa"/>
              <w:left w:w="15" w:type="dxa"/>
              <w:bottom w:w="0" w:type="dxa"/>
              <w:right w:w="15" w:type="dxa"/>
            </w:tcMar>
            <w:vAlign w:val="bottom"/>
          </w:tcPr>
          <w:p w14:paraId="6F4DE1F5">
            <w:pPr>
              <w:ind w:firstLine="480" w:firstLineChars="200"/>
              <w:jc w:val="left"/>
              <w:rPr>
                <w:rFonts w:ascii="宋体" w:hAnsi="宋体" w:cs="宋体"/>
                <w:sz w:val="24"/>
                <w:szCs w:val="24"/>
                <w:highlight w:val="none"/>
              </w:rPr>
            </w:pPr>
            <w:r>
              <w:rPr>
                <w:rFonts w:hint="eastAsia" w:ascii="宋体" w:hAnsi="宋体" w:cs="宋体"/>
                <w:sz w:val="24"/>
                <w:szCs w:val="24"/>
                <w:highlight w:val="none"/>
              </w:rPr>
              <w:t>本合同依据西北（陕西）国际招标有限公司代理的政府采购项目（项目名称）国内公开招标（项目编号            ）的结果而签订。</w:t>
            </w:r>
          </w:p>
        </w:tc>
      </w:tr>
    </w:tbl>
    <w:p w14:paraId="413A51E6">
      <w:pPr>
        <w:spacing w:line="360" w:lineRule="auto"/>
        <w:jc w:val="center"/>
        <w:rPr>
          <w:rFonts w:ascii="宋体" w:hAnsi="宋体" w:cs="宋体"/>
          <w:b/>
          <w:sz w:val="24"/>
          <w:szCs w:val="24"/>
          <w:highlight w:val="none"/>
        </w:rPr>
      </w:pPr>
      <w:r>
        <w:rPr>
          <w:rFonts w:hint="eastAsia" w:ascii="宋体" w:hAnsi="宋体" w:cs="宋体"/>
          <w:b/>
          <w:sz w:val="24"/>
          <w:szCs w:val="24"/>
          <w:highlight w:val="none"/>
        </w:rPr>
        <w:t xml:space="preserve"> </w:t>
      </w:r>
    </w:p>
    <w:p w14:paraId="05D2E3C5">
      <w:pPr>
        <w:spacing w:line="360" w:lineRule="auto"/>
        <w:rPr>
          <w:rFonts w:ascii="宋体" w:hAnsi="宋体" w:cs="宋体"/>
          <w:sz w:val="24"/>
          <w:szCs w:val="24"/>
          <w:highlight w:val="none"/>
        </w:rPr>
      </w:pPr>
    </w:p>
    <w:p w14:paraId="095E3EB0">
      <w:pPr>
        <w:spacing w:line="360" w:lineRule="auto"/>
        <w:rPr>
          <w:rFonts w:ascii="宋体" w:hAnsi="宋体" w:cs="宋体"/>
          <w:sz w:val="24"/>
          <w:szCs w:val="24"/>
          <w:highlight w:val="none"/>
        </w:rPr>
      </w:pPr>
    </w:p>
    <w:p w14:paraId="39BC2E3B">
      <w:pPr>
        <w:spacing w:line="360" w:lineRule="auto"/>
        <w:rPr>
          <w:rFonts w:ascii="宋体" w:hAnsi="宋体" w:cs="宋体"/>
          <w:sz w:val="24"/>
          <w:szCs w:val="24"/>
          <w:highlight w:val="none"/>
        </w:rPr>
      </w:pPr>
      <w:r>
        <w:rPr>
          <w:rFonts w:hint="eastAsia" w:ascii="宋体" w:hAnsi="宋体" w:cs="宋体"/>
          <w:sz w:val="24"/>
          <w:szCs w:val="24"/>
          <w:highlight w:val="none"/>
        </w:rPr>
        <w:t>2、合同协议书格式</w:t>
      </w:r>
    </w:p>
    <w:p w14:paraId="509DB218">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w:t>
      </w:r>
    </w:p>
    <w:p w14:paraId="7FC95681">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本合同于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日由</w:t>
      </w:r>
      <w:r>
        <w:rPr>
          <w:rFonts w:hint="eastAsia" w:ascii="宋体" w:hAnsi="宋体" w:cs="宋体"/>
          <w:sz w:val="24"/>
          <w:szCs w:val="24"/>
          <w:highlight w:val="none"/>
          <w:u w:val="single"/>
        </w:rPr>
        <w:t>（买方名称）</w:t>
      </w:r>
      <w:r>
        <w:rPr>
          <w:rFonts w:hint="eastAsia" w:ascii="宋体" w:hAnsi="宋体" w:cs="宋体"/>
          <w:sz w:val="24"/>
          <w:szCs w:val="24"/>
          <w:highlight w:val="none"/>
        </w:rPr>
        <w:t>（以下简称“买方”）和</w:t>
      </w:r>
      <w:r>
        <w:rPr>
          <w:rFonts w:hint="eastAsia" w:ascii="宋体" w:hAnsi="宋体" w:cs="宋体"/>
          <w:sz w:val="24"/>
          <w:szCs w:val="24"/>
          <w:highlight w:val="none"/>
          <w:u w:val="single"/>
        </w:rPr>
        <w:t>（卖方名称）</w:t>
      </w:r>
      <w:r>
        <w:rPr>
          <w:rFonts w:hint="eastAsia" w:ascii="宋体" w:hAnsi="宋体" w:cs="宋体"/>
          <w:sz w:val="24"/>
          <w:szCs w:val="24"/>
          <w:highlight w:val="none"/>
        </w:rPr>
        <w:t>（以下简称“卖方”）按下述条款和条件签署。</w:t>
      </w:r>
    </w:p>
    <w:p w14:paraId="68EC397F">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本合同中的词语和术语的含义与合同条款中定义的相同。</w:t>
      </w:r>
    </w:p>
    <w:p w14:paraId="74C2BD7A">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下列文件是本合同的组成部分，并与本合同一起阅读和解释：</w:t>
      </w:r>
    </w:p>
    <w:p w14:paraId="0E50F8D6">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合同附件，如：</w:t>
      </w:r>
    </w:p>
    <w:p w14:paraId="6D6596F0">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供货内容及价格</w:t>
      </w:r>
    </w:p>
    <w:p w14:paraId="30DB11F6">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技术规格</w:t>
      </w:r>
    </w:p>
    <w:p w14:paraId="21F60CFD">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交货清单</w:t>
      </w:r>
    </w:p>
    <w:p w14:paraId="4604EB91">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交货批次及时间的详细说明</w:t>
      </w:r>
    </w:p>
    <w:p w14:paraId="5DE6CE3B">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合同专用条款</w:t>
      </w:r>
    </w:p>
    <w:p w14:paraId="743228DD">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合同通用条款</w:t>
      </w:r>
    </w:p>
    <w:p w14:paraId="6FA0B4E6">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中标通知书</w:t>
      </w:r>
    </w:p>
    <w:p w14:paraId="6C80FD7A">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投标文件</w:t>
      </w:r>
    </w:p>
    <w:p w14:paraId="361D7CE7">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招标文件</w:t>
      </w:r>
    </w:p>
    <w:p w14:paraId="1FCC2011">
      <w:pPr>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上述文件如有冲突，以排列序号小的优先。</w:t>
      </w:r>
    </w:p>
    <w:p w14:paraId="18470301">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卖方在此保证全部按照合同的规定向买方提供货物和服务，并修补缺陷，买方将按照本合同价款向卖方进行支付。</w:t>
      </w:r>
    </w:p>
    <w:p w14:paraId="74935595">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本合同正本一式二份，副本一式四份，均以中文书写，在双方代表签字盖章后生效。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241BC250">
        <w:tblPrEx>
          <w:tblCellMar>
            <w:top w:w="0" w:type="dxa"/>
            <w:left w:w="108" w:type="dxa"/>
            <w:bottom w:w="0" w:type="dxa"/>
            <w:right w:w="108" w:type="dxa"/>
          </w:tblCellMar>
        </w:tblPrEx>
        <w:trPr>
          <w:trHeight w:val="3727" w:hRule="atLeast"/>
        </w:trPr>
        <w:tc>
          <w:tcPr>
            <w:tcW w:w="4261" w:type="dxa"/>
          </w:tcPr>
          <w:p w14:paraId="41F62179">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买方名称</w:t>
            </w:r>
            <w:r>
              <w:rPr>
                <w:rFonts w:hint="eastAsia" w:ascii="宋体" w:hAnsi="宋体" w:cs="宋体"/>
                <w:sz w:val="24"/>
                <w:szCs w:val="24"/>
                <w:highlight w:val="none"/>
                <w:u w:val="single"/>
              </w:rPr>
              <w:t xml:space="preserve">                         </w:t>
            </w:r>
          </w:p>
          <w:p w14:paraId="041B52D3">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买方代表姓名</w:t>
            </w:r>
            <w:r>
              <w:rPr>
                <w:rFonts w:hint="eastAsia" w:ascii="宋体" w:hAnsi="宋体" w:cs="宋体"/>
                <w:sz w:val="24"/>
                <w:szCs w:val="24"/>
                <w:highlight w:val="none"/>
                <w:u w:val="single"/>
              </w:rPr>
              <w:t xml:space="preserve">                     </w:t>
            </w:r>
          </w:p>
          <w:p w14:paraId="48791A84">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买方代表签字</w:t>
            </w:r>
            <w:r>
              <w:rPr>
                <w:rFonts w:hint="eastAsia" w:ascii="宋体" w:hAnsi="宋体" w:cs="宋体"/>
                <w:sz w:val="24"/>
                <w:szCs w:val="24"/>
                <w:highlight w:val="none"/>
                <w:u w:val="single"/>
              </w:rPr>
              <w:t xml:space="preserve">                     </w:t>
            </w:r>
          </w:p>
          <w:p w14:paraId="31C398FA">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23D16808">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买方公章（或合同章） </w:t>
            </w:r>
            <w:r>
              <w:rPr>
                <w:rFonts w:hint="eastAsia" w:ascii="宋体" w:hAnsi="宋体" w:cs="宋体"/>
                <w:sz w:val="24"/>
                <w:szCs w:val="24"/>
                <w:highlight w:val="none"/>
                <w:u w:val="single"/>
              </w:rPr>
              <w:t xml:space="preserve">            </w:t>
            </w:r>
          </w:p>
        </w:tc>
        <w:tc>
          <w:tcPr>
            <w:tcW w:w="4261" w:type="dxa"/>
          </w:tcPr>
          <w:p w14:paraId="655A6D88">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卖方名称</w:t>
            </w:r>
            <w:r>
              <w:rPr>
                <w:rFonts w:hint="eastAsia" w:ascii="宋体" w:hAnsi="宋体" w:cs="宋体"/>
                <w:sz w:val="24"/>
                <w:szCs w:val="24"/>
                <w:highlight w:val="none"/>
                <w:u w:val="single"/>
              </w:rPr>
              <w:t xml:space="preserve">                         </w:t>
            </w:r>
          </w:p>
          <w:p w14:paraId="5AE0DFBF">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卖方代表姓名</w:t>
            </w:r>
            <w:r>
              <w:rPr>
                <w:rFonts w:hint="eastAsia" w:ascii="宋体" w:hAnsi="宋体" w:cs="宋体"/>
                <w:sz w:val="24"/>
                <w:szCs w:val="24"/>
                <w:highlight w:val="none"/>
                <w:u w:val="single"/>
              </w:rPr>
              <w:t xml:space="preserve">                     </w:t>
            </w:r>
          </w:p>
          <w:p w14:paraId="2F6D1375">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卖方代表签字</w:t>
            </w:r>
            <w:r>
              <w:rPr>
                <w:rFonts w:hint="eastAsia" w:ascii="宋体" w:hAnsi="宋体" w:cs="宋体"/>
                <w:sz w:val="24"/>
                <w:szCs w:val="24"/>
                <w:highlight w:val="none"/>
                <w:u w:val="single"/>
              </w:rPr>
              <w:t xml:space="preserve">                     </w:t>
            </w:r>
          </w:p>
          <w:p w14:paraId="1E06E7B5">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7D81762B">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卖方公章（或合同章） </w:t>
            </w:r>
            <w:r>
              <w:rPr>
                <w:rFonts w:hint="eastAsia" w:ascii="宋体" w:hAnsi="宋体" w:cs="宋体"/>
                <w:sz w:val="24"/>
                <w:szCs w:val="24"/>
                <w:highlight w:val="none"/>
                <w:u w:val="single"/>
              </w:rPr>
              <w:t xml:space="preserve">            </w:t>
            </w:r>
          </w:p>
        </w:tc>
      </w:tr>
    </w:tbl>
    <w:p w14:paraId="11E4F146">
      <w:pPr>
        <w:spacing w:line="360" w:lineRule="auto"/>
        <w:rPr>
          <w:rFonts w:ascii="宋体" w:hAnsi="宋体" w:cs="宋体"/>
          <w:sz w:val="24"/>
          <w:szCs w:val="24"/>
          <w:highlight w:val="none"/>
        </w:rPr>
      </w:pPr>
    </w:p>
    <w:p w14:paraId="29331924">
      <w:pPr>
        <w:rPr>
          <w:rFonts w:ascii="宋体" w:hAnsi="宋体" w:cs="宋体"/>
          <w:sz w:val="24"/>
          <w:szCs w:val="24"/>
          <w:highlight w:val="none"/>
        </w:rPr>
      </w:pPr>
    </w:p>
    <w:p w14:paraId="3A8AAA98">
      <w:pPr>
        <w:spacing w:line="360" w:lineRule="auto"/>
        <w:ind w:firstLine="482" w:firstLineChars="200"/>
        <w:jc w:val="left"/>
        <w:rPr>
          <w:rFonts w:ascii="宋体" w:hAnsi="宋体"/>
          <w:b/>
          <w:i/>
          <w:iCs/>
          <w:color w:val="F129F3"/>
          <w:sz w:val="24"/>
          <w:szCs w:val="24"/>
          <w:highlight w:val="none"/>
        </w:rPr>
      </w:pPr>
      <w:r>
        <w:rPr>
          <w:rFonts w:ascii="宋体" w:hAnsi="宋体"/>
          <w:b/>
          <w:i/>
          <w:iCs/>
          <w:color w:val="F129F3"/>
          <w:sz w:val="24"/>
          <w:szCs w:val="24"/>
          <w:highlight w:val="none"/>
        </w:rPr>
        <w:br w:type="page"/>
      </w:r>
    </w:p>
    <w:p w14:paraId="7A88A07E">
      <w:pPr>
        <w:spacing w:line="360" w:lineRule="auto"/>
        <w:jc w:val="center"/>
        <w:outlineLvl w:val="0"/>
        <w:rPr>
          <w:b/>
          <w:sz w:val="44"/>
          <w:szCs w:val="44"/>
          <w:highlight w:val="none"/>
        </w:rPr>
      </w:pPr>
      <w:bookmarkStart w:id="7" w:name="_Toc15272"/>
      <w:r>
        <w:rPr>
          <w:rFonts w:hint="eastAsia"/>
          <w:b/>
          <w:sz w:val="44"/>
          <w:szCs w:val="44"/>
          <w:highlight w:val="none"/>
        </w:rPr>
        <w:t>第四章  招标内容及采购需求</w:t>
      </w:r>
      <w:bookmarkEnd w:id="7"/>
    </w:p>
    <w:p w14:paraId="46EDFD4E">
      <w:pPr>
        <w:spacing w:line="440" w:lineRule="exact"/>
        <w:rPr>
          <w:b/>
          <w:sz w:val="24"/>
          <w:szCs w:val="24"/>
          <w:highlight w:val="none"/>
        </w:rPr>
      </w:pPr>
    </w:p>
    <w:p w14:paraId="6F043226">
      <w:pPr>
        <w:snapToGrid w:val="0"/>
        <w:jc w:val="left"/>
        <w:rPr>
          <w:sz w:val="24"/>
          <w:szCs w:val="24"/>
          <w:highlight w:val="none"/>
        </w:rPr>
      </w:pPr>
      <w:r>
        <w:rPr>
          <w:rFonts w:hint="eastAsia"/>
          <w:b/>
          <w:sz w:val="24"/>
          <w:szCs w:val="24"/>
          <w:highlight w:val="none"/>
        </w:rPr>
        <w:t>一、招标内容一览表：</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2126"/>
        <w:gridCol w:w="1051"/>
        <w:gridCol w:w="1035"/>
        <w:gridCol w:w="804"/>
        <w:gridCol w:w="995"/>
        <w:gridCol w:w="887"/>
        <w:gridCol w:w="914"/>
        <w:gridCol w:w="859"/>
      </w:tblGrid>
      <w:tr w14:paraId="561B8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7" w:type="pct"/>
            <w:noWrap/>
            <w:vAlign w:val="center"/>
          </w:tcPr>
          <w:p w14:paraId="1F0886EA">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7包</w:t>
            </w:r>
          </w:p>
        </w:tc>
        <w:tc>
          <w:tcPr>
            <w:tcW w:w="1161" w:type="pct"/>
            <w:noWrap/>
            <w:vAlign w:val="center"/>
          </w:tcPr>
          <w:p w14:paraId="792FAC9A">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名称</w:t>
            </w:r>
          </w:p>
        </w:tc>
        <w:tc>
          <w:tcPr>
            <w:tcW w:w="574" w:type="pct"/>
            <w:noWrap/>
            <w:vAlign w:val="center"/>
          </w:tcPr>
          <w:p w14:paraId="082E27C2">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规格</w:t>
            </w:r>
          </w:p>
        </w:tc>
        <w:tc>
          <w:tcPr>
            <w:tcW w:w="566" w:type="pct"/>
            <w:noWrap/>
            <w:vAlign w:val="center"/>
          </w:tcPr>
          <w:p w14:paraId="4A5C2DCA">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数量</w:t>
            </w:r>
          </w:p>
        </w:tc>
        <w:tc>
          <w:tcPr>
            <w:tcW w:w="440" w:type="pct"/>
            <w:noWrap/>
          </w:tcPr>
          <w:p w14:paraId="687E5572">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所属行业</w:t>
            </w:r>
          </w:p>
        </w:tc>
        <w:tc>
          <w:tcPr>
            <w:tcW w:w="544" w:type="pct"/>
            <w:noWrap/>
          </w:tcPr>
          <w:p w14:paraId="1584878F">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是否核心产品</w:t>
            </w:r>
          </w:p>
        </w:tc>
        <w:tc>
          <w:tcPr>
            <w:tcW w:w="485" w:type="pct"/>
            <w:noWrap/>
          </w:tcPr>
          <w:p w14:paraId="76D4DFCC">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是否允许进口产品</w:t>
            </w:r>
          </w:p>
        </w:tc>
        <w:tc>
          <w:tcPr>
            <w:tcW w:w="500" w:type="pct"/>
            <w:noWrap/>
          </w:tcPr>
          <w:p w14:paraId="7EAFD91A">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是否属于节能产品</w:t>
            </w:r>
          </w:p>
        </w:tc>
        <w:tc>
          <w:tcPr>
            <w:tcW w:w="470" w:type="pct"/>
            <w:noWrap/>
          </w:tcPr>
          <w:p w14:paraId="751B3E43">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是否属于环境标志产品</w:t>
            </w:r>
          </w:p>
        </w:tc>
      </w:tr>
      <w:tr w14:paraId="5B7F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54D92E10">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1</w:t>
            </w:r>
          </w:p>
        </w:tc>
        <w:tc>
          <w:tcPr>
            <w:tcW w:w="2124" w:type="dxa"/>
            <w:vAlign w:val="center"/>
          </w:tcPr>
          <w:p w14:paraId="198BB7D5">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400ml四联带取样器+留样针去白血袋</w:t>
            </w:r>
          </w:p>
        </w:tc>
        <w:tc>
          <w:tcPr>
            <w:tcW w:w="1050" w:type="dxa"/>
            <w:vAlign w:val="center"/>
          </w:tcPr>
          <w:p w14:paraId="519A75E5">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400ml</w:t>
            </w:r>
          </w:p>
        </w:tc>
        <w:tc>
          <w:tcPr>
            <w:tcW w:w="1035" w:type="dxa"/>
            <w:vAlign w:val="center"/>
          </w:tcPr>
          <w:p w14:paraId="423F3D4F">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1000套</w:t>
            </w:r>
          </w:p>
        </w:tc>
        <w:tc>
          <w:tcPr>
            <w:tcW w:w="440" w:type="pct"/>
            <w:vAlign w:val="center"/>
          </w:tcPr>
          <w:p w14:paraId="430780E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4C87684F">
            <w:pPr>
              <w:widowControl/>
              <w:jc w:val="center"/>
              <w:textAlignment w:val="top"/>
              <w:rPr>
                <w:rFonts w:ascii="宋体" w:hAnsi="宋体" w:cs="宋体"/>
                <w:kern w:val="0"/>
                <w:szCs w:val="21"/>
                <w:highlight w:val="none"/>
                <w:lang w:bidi="ar"/>
              </w:rPr>
            </w:pPr>
            <w:r>
              <w:rPr>
                <w:rFonts w:hint="eastAsia" w:ascii="宋体" w:hAnsi="宋体" w:cs="宋体"/>
                <w:b/>
                <w:bCs/>
                <w:kern w:val="0"/>
                <w:szCs w:val="21"/>
                <w:highlight w:val="none"/>
                <w:lang w:bidi="ar"/>
              </w:rPr>
              <w:t>是</w:t>
            </w:r>
          </w:p>
        </w:tc>
        <w:tc>
          <w:tcPr>
            <w:tcW w:w="485" w:type="pct"/>
            <w:vAlign w:val="center"/>
          </w:tcPr>
          <w:p w14:paraId="27F3348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139854E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3D9E4E9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10A49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58FC8BA3">
            <w:pPr>
              <w:jc w:val="center"/>
              <w:rPr>
                <w:rFonts w:ascii="宋体" w:hAnsi="宋体" w:cs="宋体"/>
                <w:szCs w:val="21"/>
                <w:highlight w:val="none"/>
              </w:rPr>
            </w:pPr>
            <w:r>
              <w:rPr>
                <w:rFonts w:hint="eastAsia" w:ascii="宋体" w:hAnsi="宋体" w:cs="宋体"/>
                <w:szCs w:val="21"/>
                <w:highlight w:val="none"/>
              </w:rPr>
              <w:t>2</w:t>
            </w:r>
          </w:p>
        </w:tc>
        <w:tc>
          <w:tcPr>
            <w:tcW w:w="2124" w:type="dxa"/>
            <w:vAlign w:val="center"/>
          </w:tcPr>
          <w:p w14:paraId="18638BF3">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300ml四联带取样器+留样针去白血袋</w:t>
            </w:r>
          </w:p>
        </w:tc>
        <w:tc>
          <w:tcPr>
            <w:tcW w:w="1050" w:type="dxa"/>
            <w:vAlign w:val="center"/>
          </w:tcPr>
          <w:p w14:paraId="331CC8A8">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300ml</w:t>
            </w:r>
          </w:p>
        </w:tc>
        <w:tc>
          <w:tcPr>
            <w:tcW w:w="1035" w:type="dxa"/>
            <w:vAlign w:val="center"/>
          </w:tcPr>
          <w:p w14:paraId="4838628C">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3500套</w:t>
            </w:r>
          </w:p>
        </w:tc>
        <w:tc>
          <w:tcPr>
            <w:tcW w:w="440" w:type="pct"/>
            <w:vAlign w:val="center"/>
          </w:tcPr>
          <w:p w14:paraId="261D226A">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2CBD97C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79DAB85F">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27D1C19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5BEDB70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55009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3C62D3EF">
            <w:pPr>
              <w:jc w:val="center"/>
              <w:rPr>
                <w:rFonts w:ascii="宋体" w:hAnsi="宋体" w:cs="宋体"/>
                <w:szCs w:val="21"/>
                <w:highlight w:val="none"/>
              </w:rPr>
            </w:pPr>
            <w:r>
              <w:rPr>
                <w:rFonts w:hint="eastAsia" w:ascii="宋体" w:hAnsi="宋体" w:cs="宋体"/>
                <w:szCs w:val="21"/>
                <w:highlight w:val="none"/>
              </w:rPr>
              <w:t>3</w:t>
            </w:r>
          </w:p>
        </w:tc>
        <w:tc>
          <w:tcPr>
            <w:tcW w:w="2124" w:type="dxa"/>
            <w:vAlign w:val="center"/>
          </w:tcPr>
          <w:p w14:paraId="398B56E7">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200ml四联带取样器+留样针去白血袋</w:t>
            </w:r>
          </w:p>
        </w:tc>
        <w:tc>
          <w:tcPr>
            <w:tcW w:w="1050" w:type="dxa"/>
            <w:vAlign w:val="center"/>
          </w:tcPr>
          <w:p w14:paraId="66029DB6">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200ml</w:t>
            </w:r>
          </w:p>
        </w:tc>
        <w:tc>
          <w:tcPr>
            <w:tcW w:w="1035" w:type="dxa"/>
            <w:vAlign w:val="center"/>
          </w:tcPr>
          <w:p w14:paraId="16ED4ECE">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3500套</w:t>
            </w:r>
          </w:p>
        </w:tc>
        <w:tc>
          <w:tcPr>
            <w:tcW w:w="440" w:type="pct"/>
            <w:vAlign w:val="center"/>
          </w:tcPr>
          <w:p w14:paraId="7A566D2A">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0555914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7B10FAE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233C2986">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601392E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368AD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5C51A0F2">
            <w:pPr>
              <w:jc w:val="center"/>
              <w:rPr>
                <w:rFonts w:ascii="宋体" w:hAnsi="宋体" w:cs="宋体"/>
                <w:szCs w:val="21"/>
                <w:highlight w:val="none"/>
              </w:rPr>
            </w:pPr>
            <w:r>
              <w:rPr>
                <w:rFonts w:hint="eastAsia" w:ascii="宋体" w:hAnsi="宋体" w:cs="宋体"/>
                <w:szCs w:val="21"/>
                <w:highlight w:val="none"/>
              </w:rPr>
              <w:t>4</w:t>
            </w:r>
          </w:p>
        </w:tc>
        <w:tc>
          <w:tcPr>
            <w:tcW w:w="2124" w:type="dxa"/>
            <w:vAlign w:val="center"/>
          </w:tcPr>
          <w:p w14:paraId="725B3DDF">
            <w:pPr>
              <w:widowControl/>
              <w:jc w:val="left"/>
              <w:textAlignment w:val="center"/>
              <w:rPr>
                <w:rFonts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400ml六连袋取样器+留样针去白血袋</w:t>
            </w:r>
          </w:p>
        </w:tc>
        <w:tc>
          <w:tcPr>
            <w:tcW w:w="1050" w:type="dxa"/>
            <w:vAlign w:val="center"/>
          </w:tcPr>
          <w:p w14:paraId="6E3D298B">
            <w:pPr>
              <w:widowControl/>
              <w:jc w:val="center"/>
              <w:textAlignment w:val="center"/>
              <w:rPr>
                <w:rFonts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400ml</w:t>
            </w:r>
          </w:p>
        </w:tc>
        <w:tc>
          <w:tcPr>
            <w:tcW w:w="1035" w:type="dxa"/>
            <w:vAlign w:val="center"/>
          </w:tcPr>
          <w:p w14:paraId="0500DC7D">
            <w:pPr>
              <w:widowControl/>
              <w:jc w:val="center"/>
              <w:textAlignment w:val="center"/>
              <w:rPr>
                <w:rFonts w:ascii="宋体" w:hAnsi="宋体" w:cs="宋体"/>
                <w:color w:val="000000"/>
                <w:kern w:val="0"/>
                <w:sz w:val="24"/>
                <w:szCs w:val="24"/>
                <w:highlight w:val="none"/>
                <w:lang w:bidi="ar"/>
              </w:rPr>
            </w:pPr>
            <w:r>
              <w:rPr>
                <w:rFonts w:hint="eastAsia" w:ascii="宋体" w:hAnsi="宋体" w:cs="宋体"/>
                <w:color w:val="000000"/>
                <w:kern w:val="0"/>
                <w:sz w:val="24"/>
                <w:szCs w:val="24"/>
                <w:highlight w:val="none"/>
                <w:lang w:bidi="ar"/>
              </w:rPr>
              <w:t>3000套</w:t>
            </w:r>
          </w:p>
        </w:tc>
        <w:tc>
          <w:tcPr>
            <w:tcW w:w="440" w:type="pct"/>
            <w:vAlign w:val="center"/>
          </w:tcPr>
          <w:p w14:paraId="09ACA29A">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5E428AB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070F643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500" w:type="pct"/>
            <w:vAlign w:val="center"/>
          </w:tcPr>
          <w:p w14:paraId="60F1344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70" w:type="pct"/>
            <w:vAlign w:val="center"/>
          </w:tcPr>
          <w:p w14:paraId="41F115F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bl>
    <w:p w14:paraId="055AD763">
      <w:pPr>
        <w:pStyle w:val="29"/>
        <w:ind w:firstLine="480"/>
        <w:rPr>
          <w:sz w:val="24"/>
          <w:szCs w:val="24"/>
          <w:highlight w:val="none"/>
        </w:rPr>
      </w:pPr>
    </w:p>
    <w:p w14:paraId="387C0791">
      <w:pPr>
        <w:pStyle w:val="29"/>
        <w:ind w:firstLine="480"/>
        <w:rPr>
          <w:sz w:val="24"/>
          <w:szCs w:val="24"/>
          <w:highlight w:val="none"/>
        </w:rPr>
      </w:pPr>
    </w:p>
    <w:p w14:paraId="5373955E">
      <w:pPr>
        <w:pStyle w:val="29"/>
        <w:ind w:firstLine="480"/>
        <w:rPr>
          <w:sz w:val="24"/>
          <w:szCs w:val="24"/>
          <w:highlight w:val="none"/>
        </w:rPr>
      </w:pPr>
    </w:p>
    <w:p w14:paraId="2686B8B3">
      <w:pPr>
        <w:rPr>
          <w:b/>
          <w:sz w:val="24"/>
          <w:szCs w:val="24"/>
          <w:highlight w:val="none"/>
        </w:rPr>
      </w:pPr>
      <w:r>
        <w:rPr>
          <w:rFonts w:hint="eastAsia"/>
          <w:b/>
          <w:sz w:val="24"/>
          <w:szCs w:val="24"/>
          <w:highlight w:val="none"/>
        </w:rPr>
        <w:br w:type="page"/>
      </w:r>
    </w:p>
    <w:p w14:paraId="55DA62B2">
      <w:pPr>
        <w:spacing w:line="440" w:lineRule="exact"/>
        <w:rPr>
          <w:b/>
          <w:sz w:val="24"/>
          <w:szCs w:val="24"/>
          <w:highlight w:val="none"/>
        </w:rPr>
      </w:pPr>
      <w:r>
        <w:rPr>
          <w:rFonts w:hint="eastAsia"/>
          <w:b/>
          <w:sz w:val="24"/>
          <w:szCs w:val="24"/>
          <w:highlight w:val="none"/>
        </w:rPr>
        <w:t>二、技术要求：</w:t>
      </w:r>
    </w:p>
    <w:tbl>
      <w:tblPr>
        <w:tblStyle w:val="2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444"/>
        <w:gridCol w:w="900"/>
        <w:gridCol w:w="5271"/>
        <w:gridCol w:w="868"/>
      </w:tblGrid>
      <w:tr w14:paraId="63F63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74C6E2F3">
            <w:pPr>
              <w:jc w:val="center"/>
              <w:rPr>
                <w:rFonts w:cs="宋体" w:asciiTheme="minorEastAsia" w:hAnsiTheme="minorEastAsia" w:eastAsiaTheme="minorEastAsia"/>
                <w:bCs/>
                <w:szCs w:val="21"/>
                <w:highlight w:val="none"/>
              </w:rPr>
            </w:pPr>
            <w:r>
              <w:rPr>
                <w:rFonts w:cs="宋体" w:asciiTheme="minorEastAsia" w:hAnsiTheme="minorEastAsia" w:eastAsiaTheme="minorEastAsia"/>
                <w:b/>
                <w:szCs w:val="21"/>
                <w:highlight w:val="none"/>
              </w:rPr>
              <w:t>7</w:t>
            </w:r>
            <w:r>
              <w:rPr>
                <w:rFonts w:hint="eastAsia" w:cs="宋体" w:asciiTheme="minorEastAsia" w:hAnsiTheme="minorEastAsia" w:eastAsiaTheme="minorEastAsia"/>
                <w:b/>
                <w:szCs w:val="21"/>
                <w:highlight w:val="none"/>
              </w:rPr>
              <w:t>包</w:t>
            </w:r>
          </w:p>
        </w:tc>
        <w:tc>
          <w:tcPr>
            <w:tcW w:w="790" w:type="pct"/>
            <w:vAlign w:val="center"/>
          </w:tcPr>
          <w:p w14:paraId="1B2FFCE1">
            <w:pPr>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物料名称</w:t>
            </w:r>
          </w:p>
        </w:tc>
        <w:tc>
          <w:tcPr>
            <w:tcW w:w="492" w:type="pct"/>
            <w:tcMar>
              <w:top w:w="15" w:type="dxa"/>
              <w:left w:w="15" w:type="dxa"/>
              <w:bottom w:w="0" w:type="dxa"/>
              <w:right w:w="15" w:type="dxa"/>
            </w:tcMar>
            <w:vAlign w:val="center"/>
          </w:tcPr>
          <w:p w14:paraId="08D96F2B">
            <w:pPr>
              <w:jc w:val="center"/>
              <w:rPr>
                <w:rFonts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规 格</w:t>
            </w:r>
          </w:p>
        </w:tc>
        <w:tc>
          <w:tcPr>
            <w:tcW w:w="2883" w:type="pct"/>
            <w:vAlign w:val="center"/>
          </w:tcPr>
          <w:p w14:paraId="319BC600">
            <w:pPr>
              <w:spacing w:line="400" w:lineRule="exact"/>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参 数</w:t>
            </w:r>
          </w:p>
        </w:tc>
        <w:tc>
          <w:tcPr>
            <w:tcW w:w="475" w:type="pct"/>
            <w:vAlign w:val="center"/>
          </w:tcPr>
          <w:p w14:paraId="33C6FF37">
            <w:pPr>
              <w:widowControl/>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数量</w:t>
            </w:r>
          </w:p>
        </w:tc>
      </w:tr>
      <w:tr w14:paraId="1CBA1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5C415CE8">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p>
        </w:tc>
        <w:tc>
          <w:tcPr>
            <w:tcW w:w="790" w:type="pct"/>
            <w:vAlign w:val="center"/>
          </w:tcPr>
          <w:p w14:paraId="2DAEB408">
            <w:pPr>
              <w:rPr>
                <w:szCs w:val="21"/>
                <w:highlight w:val="none"/>
              </w:rPr>
            </w:pPr>
          </w:p>
          <w:p w14:paraId="1A71A414">
            <w:pPr>
              <w:rPr>
                <w:szCs w:val="21"/>
                <w:highlight w:val="none"/>
              </w:rPr>
            </w:pPr>
          </w:p>
          <w:p w14:paraId="784208B8">
            <w:pPr>
              <w:rPr>
                <w:rFonts w:ascii="宋体" w:hAnsi="宋体" w:cs="宋体"/>
                <w:szCs w:val="21"/>
                <w:highlight w:val="none"/>
              </w:rPr>
            </w:pPr>
            <w:r>
              <w:rPr>
                <w:rFonts w:hint="eastAsia"/>
                <w:szCs w:val="21"/>
                <w:highlight w:val="none"/>
              </w:rPr>
              <w:t>四联带取样器+留样针去白血袋</w:t>
            </w:r>
          </w:p>
        </w:tc>
        <w:tc>
          <w:tcPr>
            <w:tcW w:w="492" w:type="pct"/>
            <w:tcMar>
              <w:top w:w="15" w:type="dxa"/>
              <w:left w:w="15" w:type="dxa"/>
              <w:bottom w:w="0" w:type="dxa"/>
              <w:right w:w="15" w:type="dxa"/>
            </w:tcMar>
            <w:vAlign w:val="center"/>
          </w:tcPr>
          <w:p w14:paraId="2F029CF5">
            <w:pPr>
              <w:rPr>
                <w:rFonts w:ascii="宋体" w:hAnsi="宋体" w:cs="宋体"/>
                <w:szCs w:val="21"/>
                <w:highlight w:val="none"/>
              </w:rPr>
            </w:pPr>
            <w:r>
              <w:rPr>
                <w:rFonts w:hint="eastAsia"/>
                <w:szCs w:val="21"/>
                <w:highlight w:val="none"/>
              </w:rPr>
              <w:t>400ml</w:t>
            </w:r>
          </w:p>
        </w:tc>
        <w:tc>
          <w:tcPr>
            <w:tcW w:w="2883" w:type="pct"/>
            <w:vAlign w:val="center"/>
          </w:tcPr>
          <w:p w14:paraId="2A7A5B00">
            <w:pPr>
              <w:jc w:val="left"/>
              <w:rPr>
                <w:rFonts w:ascii="宋体" w:hAnsi="宋体"/>
                <w:szCs w:val="21"/>
                <w:highlight w:val="none"/>
              </w:rPr>
            </w:pPr>
            <w:r>
              <w:rPr>
                <w:rFonts w:hint="eastAsia" w:ascii="宋体" w:hAnsi="宋体"/>
                <w:szCs w:val="21"/>
                <w:highlight w:val="none"/>
              </w:rPr>
              <w:t>1.组 成：采血袋、转移袋、保存液袋、贮血袋、采血针及输血插口、阻塞装置，滤器等,有200ml,300ml, 400ml规格。</w:t>
            </w:r>
          </w:p>
          <w:p w14:paraId="5AB4D2B9">
            <w:pPr>
              <w:jc w:val="left"/>
              <w:rPr>
                <w:rFonts w:ascii="宋体" w:hAnsi="宋体"/>
                <w:szCs w:val="21"/>
                <w:highlight w:val="none"/>
              </w:rPr>
            </w:pPr>
            <w:r>
              <w:rPr>
                <w:rFonts w:hint="eastAsia" w:ascii="宋体" w:hAnsi="宋体"/>
                <w:szCs w:val="21"/>
                <w:highlight w:val="none"/>
              </w:rPr>
              <w:t>2.功能性组件</w:t>
            </w:r>
          </w:p>
          <w:p w14:paraId="3AAF9C51">
            <w:pPr>
              <w:jc w:val="left"/>
              <w:rPr>
                <w:rFonts w:ascii="宋体" w:hAnsi="宋体"/>
                <w:szCs w:val="21"/>
                <w:highlight w:val="none"/>
              </w:rPr>
            </w:pPr>
            <w:r>
              <w:rPr>
                <w:rFonts w:hint="eastAsia" w:ascii="宋体" w:hAnsi="宋体"/>
                <w:szCs w:val="21"/>
                <w:highlight w:val="none"/>
              </w:rPr>
              <w:t>配置安全采样装置：采样装置带一容量35mL的留样袋，可通过采样针与各类型真空采血管相连，实现安全采样目的，避免血液污染。</w:t>
            </w:r>
          </w:p>
          <w:p w14:paraId="5687DB8C">
            <w:pPr>
              <w:jc w:val="left"/>
              <w:rPr>
                <w:rFonts w:ascii="宋体" w:hAnsi="宋体"/>
                <w:szCs w:val="21"/>
                <w:highlight w:val="none"/>
              </w:rPr>
            </w:pPr>
            <w:r>
              <w:rPr>
                <w:rFonts w:hint="eastAsia" w:ascii="宋体" w:hAnsi="宋体"/>
                <w:szCs w:val="21"/>
                <w:highlight w:val="none"/>
              </w:rPr>
              <w:t>3.材  料：医用PVC，袋体尺寸适合离心杯使用，适合血液分离机分离成份，袋体平整，无划伤，袋体之间不粘连。</w:t>
            </w:r>
          </w:p>
          <w:p w14:paraId="5EB252B2">
            <w:pPr>
              <w:jc w:val="left"/>
              <w:rPr>
                <w:rFonts w:ascii="宋体" w:hAnsi="宋体"/>
                <w:szCs w:val="21"/>
                <w:highlight w:val="none"/>
              </w:rPr>
            </w:pPr>
            <w:r>
              <w:rPr>
                <w:rFonts w:hint="eastAsia" w:ascii="宋体" w:hAnsi="宋体"/>
                <w:szCs w:val="21"/>
                <w:highlight w:val="none"/>
              </w:rPr>
              <w:t>导管规格：规格3.1×4.6采血管长度≥950mm，导管上打码清晰，同一套血袋采血管和转移管上号码相同，号码组间距不超过10cm，近端号码距袋体不超过4cm。导管透明，无明显杂质、气泡、裂纹、扁瘪和扭结或其他缺陷。</w:t>
            </w:r>
          </w:p>
          <w:p w14:paraId="6CBAF333">
            <w:pPr>
              <w:jc w:val="left"/>
              <w:rPr>
                <w:rFonts w:ascii="宋体" w:hAnsi="宋体"/>
                <w:szCs w:val="21"/>
                <w:highlight w:val="none"/>
              </w:rPr>
            </w:pPr>
            <w:r>
              <w:rPr>
                <w:rFonts w:hint="eastAsia" w:ascii="宋体" w:hAnsi="宋体"/>
                <w:szCs w:val="21"/>
                <w:highlight w:val="none"/>
              </w:rPr>
              <w:t>4药品灌装</w:t>
            </w:r>
          </w:p>
          <w:p w14:paraId="58DCFF5D">
            <w:pPr>
              <w:jc w:val="left"/>
              <w:rPr>
                <w:rFonts w:ascii="宋体" w:hAnsi="宋体"/>
                <w:szCs w:val="21"/>
                <w:highlight w:val="none"/>
              </w:rPr>
            </w:pPr>
            <w:r>
              <w:rPr>
                <w:rFonts w:hint="eastAsia" w:ascii="宋体" w:hAnsi="宋体"/>
                <w:szCs w:val="21"/>
                <w:highlight w:val="none"/>
              </w:rPr>
              <w:t>1）. 主袋含血液保存液Ⅲ(CPDA-1)，400ml装量为56ml。</w:t>
            </w:r>
          </w:p>
          <w:p w14:paraId="34B087AC">
            <w:pPr>
              <w:jc w:val="left"/>
              <w:rPr>
                <w:rFonts w:ascii="宋体" w:hAnsi="宋体"/>
                <w:szCs w:val="21"/>
                <w:highlight w:val="none"/>
              </w:rPr>
            </w:pPr>
            <w:r>
              <w:rPr>
                <w:rFonts w:hint="eastAsia" w:ascii="宋体" w:hAnsi="宋体"/>
                <w:szCs w:val="21"/>
                <w:highlight w:val="none"/>
              </w:rPr>
              <w:t>2）. 附带含红细胞添加液MAP，400ml装量为100ml。</w:t>
            </w:r>
          </w:p>
          <w:p w14:paraId="78C829BC">
            <w:pPr>
              <w:jc w:val="left"/>
              <w:rPr>
                <w:rFonts w:ascii="宋体" w:hAnsi="宋体"/>
                <w:szCs w:val="21"/>
                <w:highlight w:val="none"/>
              </w:rPr>
            </w:pPr>
            <w:r>
              <w:rPr>
                <w:rFonts w:hint="eastAsia" w:ascii="宋体" w:hAnsi="宋体"/>
                <w:szCs w:val="21"/>
                <w:highlight w:val="none"/>
              </w:rPr>
              <w:t>3）. 液体无杂质、无霉变粒、无毒变、无浑浊、无渗漏等现象。</w:t>
            </w:r>
          </w:p>
          <w:p w14:paraId="62D2D7EF">
            <w:pPr>
              <w:jc w:val="left"/>
              <w:rPr>
                <w:rFonts w:ascii="宋体" w:hAnsi="宋体"/>
                <w:szCs w:val="21"/>
                <w:highlight w:val="none"/>
              </w:rPr>
            </w:pPr>
            <w:r>
              <w:rPr>
                <w:rFonts w:hint="eastAsia" w:ascii="宋体" w:hAnsi="宋体"/>
                <w:szCs w:val="21"/>
                <w:highlight w:val="none"/>
              </w:rPr>
              <w:t>4）. 血液保存液、红细胞添加液的量及PH值等参数符合国家规定标准。</w:t>
            </w:r>
          </w:p>
          <w:p w14:paraId="240B61A2">
            <w:pPr>
              <w:jc w:val="left"/>
              <w:rPr>
                <w:rFonts w:ascii="宋体" w:hAnsi="宋体"/>
                <w:szCs w:val="21"/>
                <w:highlight w:val="none"/>
              </w:rPr>
            </w:pPr>
            <w:r>
              <w:rPr>
                <w:rFonts w:hint="eastAsia" w:ascii="宋体" w:hAnsi="宋体"/>
                <w:szCs w:val="21"/>
                <w:highlight w:val="none"/>
              </w:rPr>
              <w:t xml:space="preserve">5.血液保存期：红细胞悬液保存≥35天。 </w:t>
            </w:r>
          </w:p>
          <w:p w14:paraId="77152FA5">
            <w:pPr>
              <w:jc w:val="left"/>
              <w:rPr>
                <w:rFonts w:ascii="宋体" w:hAnsi="宋体"/>
                <w:szCs w:val="21"/>
                <w:highlight w:val="none"/>
              </w:rPr>
            </w:pPr>
            <w:r>
              <w:rPr>
                <w:rFonts w:hint="eastAsia" w:ascii="宋体" w:hAnsi="宋体"/>
                <w:szCs w:val="21"/>
                <w:highlight w:val="none"/>
              </w:rPr>
              <w:t>6.产品有效期：≥24个月</w:t>
            </w:r>
          </w:p>
          <w:p w14:paraId="7F2333D8">
            <w:pPr>
              <w:jc w:val="left"/>
              <w:rPr>
                <w:rFonts w:ascii="宋体" w:hAnsi="宋体"/>
                <w:szCs w:val="21"/>
                <w:highlight w:val="none"/>
              </w:rPr>
            </w:pPr>
            <w:r>
              <w:rPr>
                <w:rFonts w:hint="eastAsia" w:ascii="宋体" w:hAnsi="宋体"/>
                <w:szCs w:val="21"/>
                <w:highlight w:val="none"/>
              </w:rPr>
              <w:t>7.阻塞装置：折断式阻塞件，易折不阻塞血液出管口，</w:t>
            </w:r>
          </w:p>
          <w:p w14:paraId="4575A55D">
            <w:pPr>
              <w:jc w:val="left"/>
              <w:rPr>
                <w:rFonts w:ascii="宋体" w:hAnsi="宋体"/>
                <w:szCs w:val="21"/>
                <w:highlight w:val="none"/>
              </w:rPr>
            </w:pPr>
            <w:r>
              <w:rPr>
                <w:rFonts w:hint="eastAsia" w:ascii="宋体" w:hAnsi="宋体"/>
                <w:szCs w:val="21"/>
                <w:highlight w:val="none"/>
              </w:rPr>
              <w:t>输血插口：旋断式输血插口，操作简单、安全；有密闭的保护套，插口内有隔膜、密封，能与符合GB8369/ISO1135-4的输血器配套。</w:t>
            </w:r>
          </w:p>
          <w:p w14:paraId="09A6F3B0">
            <w:pPr>
              <w:jc w:val="left"/>
              <w:rPr>
                <w:rFonts w:ascii="宋体" w:hAnsi="宋体"/>
                <w:szCs w:val="21"/>
                <w:highlight w:val="none"/>
              </w:rPr>
            </w:pPr>
            <w:r>
              <w:rPr>
                <w:rFonts w:hint="eastAsia" w:ascii="宋体" w:hAnsi="宋体"/>
                <w:szCs w:val="21"/>
                <w:highlight w:val="none"/>
              </w:rPr>
              <w:t>8.采 血 针：采用16Ｇ采血针，针头锋利，管壁光滑，斜面角度适中，进针阻力小，并有无菌保护套，能阻止液体外泄漏，易于去除，一旦打开后不能复原。针头与袋体连接牢固，能承受沿管轴方向施加20N的拉力15s不松动。</w:t>
            </w:r>
          </w:p>
          <w:p w14:paraId="7C05D732">
            <w:pPr>
              <w:jc w:val="left"/>
              <w:rPr>
                <w:rFonts w:ascii="宋体" w:hAnsi="宋体"/>
                <w:szCs w:val="21"/>
                <w:highlight w:val="none"/>
              </w:rPr>
            </w:pPr>
            <w:r>
              <w:rPr>
                <w:rFonts w:hint="eastAsia" w:ascii="宋体" w:hAnsi="宋体"/>
                <w:szCs w:val="21"/>
                <w:highlight w:val="none"/>
              </w:rPr>
              <w:t>9.标签：标签防水标签，杜绝霉茵滋生、低温脱落、离心破裂等,不同规格标签有明显的采血量标识。</w:t>
            </w:r>
          </w:p>
          <w:p w14:paraId="72DBBCED">
            <w:pPr>
              <w:jc w:val="left"/>
              <w:rPr>
                <w:rFonts w:ascii="宋体" w:hAnsi="宋体"/>
                <w:szCs w:val="21"/>
                <w:highlight w:val="none"/>
              </w:rPr>
            </w:pPr>
            <w:r>
              <w:rPr>
                <w:rFonts w:hint="eastAsia" w:ascii="宋体" w:hAnsi="宋体"/>
                <w:szCs w:val="21"/>
                <w:highlight w:val="none"/>
              </w:rPr>
              <w:t>10.编码：血样标识码采用激光打码，避免了化学油墨打码带给产品潜在的风险。</w:t>
            </w:r>
          </w:p>
          <w:p w14:paraId="75EBE512">
            <w:pPr>
              <w:jc w:val="left"/>
              <w:rPr>
                <w:rFonts w:ascii="宋体" w:hAnsi="宋体"/>
                <w:szCs w:val="21"/>
                <w:highlight w:val="none"/>
              </w:rPr>
            </w:pPr>
            <w:r>
              <w:rPr>
                <w:rFonts w:hint="eastAsia" w:ascii="宋体" w:hAnsi="宋体"/>
                <w:szCs w:val="21"/>
                <w:highlight w:val="none"/>
              </w:rPr>
              <w:t>11.包装：三层包装，小包装为透明蒸煮袋包装，中包装为PE包装，外包装为I类瓦楞纸箱。</w:t>
            </w:r>
          </w:p>
          <w:p w14:paraId="68D089F9">
            <w:pPr>
              <w:jc w:val="left"/>
              <w:rPr>
                <w:rFonts w:ascii="宋体" w:hAnsi="宋体"/>
                <w:szCs w:val="21"/>
                <w:highlight w:val="none"/>
              </w:rPr>
            </w:pPr>
            <w:r>
              <w:rPr>
                <w:rFonts w:hint="eastAsia" w:ascii="宋体" w:hAnsi="宋体"/>
                <w:szCs w:val="21"/>
                <w:highlight w:val="none"/>
              </w:rPr>
              <w:t>破损率：因血袋本身质量问题所致的血袋破损率＜千分之一</w:t>
            </w:r>
          </w:p>
          <w:p w14:paraId="148F1264">
            <w:pPr>
              <w:jc w:val="left"/>
              <w:rPr>
                <w:rFonts w:ascii="宋体" w:hAnsi="宋体"/>
                <w:szCs w:val="21"/>
                <w:highlight w:val="none"/>
              </w:rPr>
            </w:pPr>
            <w:r>
              <w:rPr>
                <w:rFonts w:hint="eastAsia" w:ascii="宋体" w:hAnsi="宋体"/>
                <w:szCs w:val="21"/>
                <w:highlight w:val="none"/>
              </w:rPr>
              <w:t>剩余白细胞数≤5.0×106/400ml</w:t>
            </w:r>
          </w:p>
          <w:p w14:paraId="47DB9BC4">
            <w:pPr>
              <w:jc w:val="left"/>
              <w:rPr>
                <w:rFonts w:ascii="宋体" w:hAnsi="宋体"/>
                <w:szCs w:val="21"/>
                <w:highlight w:val="none"/>
              </w:rPr>
            </w:pPr>
            <w:r>
              <w:rPr>
                <w:rFonts w:hint="eastAsia" w:ascii="宋体" w:hAnsi="宋体"/>
                <w:szCs w:val="21"/>
                <w:highlight w:val="none"/>
              </w:rPr>
              <w:t>游离血红蛋白变化率不大于5%或小于300mg/L</w:t>
            </w:r>
          </w:p>
          <w:p w14:paraId="67E553D8">
            <w:pPr>
              <w:jc w:val="left"/>
              <w:rPr>
                <w:rFonts w:ascii="宋体" w:hAnsi="宋体"/>
                <w:szCs w:val="21"/>
                <w:highlight w:val="none"/>
              </w:rPr>
            </w:pPr>
            <w:r>
              <w:rPr>
                <w:rFonts w:hint="eastAsia" w:ascii="宋体" w:hAnsi="宋体"/>
                <w:szCs w:val="21"/>
                <w:highlight w:val="none"/>
              </w:rPr>
              <w:t>红细胞回收率≥85%</w:t>
            </w:r>
          </w:p>
        </w:tc>
        <w:tc>
          <w:tcPr>
            <w:tcW w:w="475" w:type="pct"/>
            <w:vAlign w:val="center"/>
          </w:tcPr>
          <w:p w14:paraId="0B8DA38A">
            <w:pPr>
              <w:rPr>
                <w:rFonts w:ascii="宋体" w:hAnsi="宋体" w:cs="宋体"/>
                <w:szCs w:val="21"/>
                <w:highlight w:val="none"/>
              </w:rPr>
            </w:pPr>
            <w:r>
              <w:rPr>
                <w:szCs w:val="21"/>
                <w:highlight w:val="none"/>
              </w:rPr>
              <w:t>1</w:t>
            </w:r>
            <w:r>
              <w:rPr>
                <w:rFonts w:hint="eastAsia"/>
                <w:szCs w:val="21"/>
                <w:highlight w:val="none"/>
              </w:rPr>
              <w:t>000套</w:t>
            </w:r>
          </w:p>
        </w:tc>
      </w:tr>
      <w:tr w14:paraId="28E40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4E57439F">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w:t>
            </w:r>
          </w:p>
        </w:tc>
        <w:tc>
          <w:tcPr>
            <w:tcW w:w="790" w:type="pct"/>
            <w:vAlign w:val="center"/>
          </w:tcPr>
          <w:p w14:paraId="7BF8E409">
            <w:pPr>
              <w:rPr>
                <w:szCs w:val="21"/>
                <w:highlight w:val="none"/>
              </w:rPr>
            </w:pPr>
          </w:p>
          <w:p w14:paraId="323150B8">
            <w:pPr>
              <w:rPr>
                <w:szCs w:val="21"/>
                <w:highlight w:val="none"/>
              </w:rPr>
            </w:pPr>
          </w:p>
          <w:p w14:paraId="09396632">
            <w:pPr>
              <w:rPr>
                <w:rFonts w:ascii="宋体" w:hAnsi="宋体" w:cs="宋体"/>
                <w:szCs w:val="21"/>
                <w:highlight w:val="none"/>
              </w:rPr>
            </w:pPr>
            <w:r>
              <w:rPr>
                <w:rFonts w:hint="eastAsia"/>
                <w:szCs w:val="21"/>
                <w:highlight w:val="none"/>
              </w:rPr>
              <w:t>四联带取样器+留样针去白血袋</w:t>
            </w:r>
          </w:p>
        </w:tc>
        <w:tc>
          <w:tcPr>
            <w:tcW w:w="492" w:type="pct"/>
            <w:tcMar>
              <w:top w:w="15" w:type="dxa"/>
              <w:left w:w="15" w:type="dxa"/>
              <w:bottom w:w="0" w:type="dxa"/>
              <w:right w:w="15" w:type="dxa"/>
            </w:tcMar>
            <w:vAlign w:val="center"/>
          </w:tcPr>
          <w:p w14:paraId="3FDDBA13">
            <w:pPr>
              <w:rPr>
                <w:rFonts w:ascii="宋体" w:hAnsi="宋体" w:cs="宋体"/>
                <w:szCs w:val="21"/>
                <w:highlight w:val="none"/>
              </w:rPr>
            </w:pPr>
            <w:r>
              <w:rPr>
                <w:rFonts w:hint="eastAsia"/>
                <w:szCs w:val="21"/>
                <w:highlight w:val="none"/>
              </w:rPr>
              <w:t>300ml</w:t>
            </w:r>
          </w:p>
        </w:tc>
        <w:tc>
          <w:tcPr>
            <w:tcW w:w="2883" w:type="pct"/>
            <w:vAlign w:val="center"/>
          </w:tcPr>
          <w:p w14:paraId="4DD5D4AF">
            <w:pPr>
              <w:jc w:val="left"/>
              <w:rPr>
                <w:rFonts w:ascii="宋体" w:hAnsi="宋体"/>
                <w:szCs w:val="21"/>
                <w:highlight w:val="none"/>
              </w:rPr>
            </w:pPr>
            <w:r>
              <w:rPr>
                <w:rFonts w:hint="eastAsia" w:ascii="宋体" w:hAnsi="宋体"/>
                <w:szCs w:val="21"/>
                <w:highlight w:val="none"/>
              </w:rPr>
              <w:t>1.组 成：采血袋、转移袋、保存液袋、贮血袋、采血针及输血插口、阻塞装置，滤器等，有200ml,300ml, 400ml规格。</w:t>
            </w:r>
          </w:p>
          <w:p w14:paraId="5B45666C">
            <w:pPr>
              <w:jc w:val="left"/>
              <w:rPr>
                <w:rFonts w:ascii="宋体" w:hAnsi="宋体"/>
                <w:szCs w:val="21"/>
                <w:highlight w:val="none"/>
              </w:rPr>
            </w:pPr>
            <w:r>
              <w:rPr>
                <w:rFonts w:hint="eastAsia" w:ascii="宋体" w:hAnsi="宋体"/>
                <w:szCs w:val="21"/>
                <w:highlight w:val="none"/>
              </w:rPr>
              <w:t>功能性组件</w:t>
            </w:r>
          </w:p>
          <w:p w14:paraId="19D4B99E">
            <w:pPr>
              <w:jc w:val="left"/>
              <w:rPr>
                <w:rFonts w:ascii="宋体" w:hAnsi="宋体"/>
                <w:szCs w:val="21"/>
                <w:highlight w:val="none"/>
              </w:rPr>
            </w:pPr>
            <w:r>
              <w:rPr>
                <w:rFonts w:hint="eastAsia" w:ascii="宋体" w:hAnsi="宋体"/>
                <w:szCs w:val="21"/>
                <w:highlight w:val="none"/>
              </w:rPr>
              <w:t>2.配置安全采样装置：采样装置带一容量35mL的留样袋，可通过采样针与各类型真空采血管相连，实现安全采样目的，避免血液污染。</w:t>
            </w:r>
          </w:p>
          <w:p w14:paraId="6041499A">
            <w:pPr>
              <w:jc w:val="left"/>
              <w:rPr>
                <w:rFonts w:ascii="宋体" w:hAnsi="宋体"/>
                <w:szCs w:val="21"/>
                <w:highlight w:val="none"/>
              </w:rPr>
            </w:pPr>
            <w:r>
              <w:rPr>
                <w:rFonts w:hint="eastAsia" w:ascii="宋体" w:hAnsi="宋体"/>
                <w:szCs w:val="21"/>
                <w:highlight w:val="none"/>
              </w:rPr>
              <w:t>3.材料：医用PVC，袋体尺寸适合离心杯使用，适合血液分离机分离成份，袋体平整，无划伤，袋体之间不粘连。</w:t>
            </w:r>
          </w:p>
          <w:p w14:paraId="771E9BD7">
            <w:pPr>
              <w:jc w:val="left"/>
              <w:rPr>
                <w:rFonts w:ascii="宋体" w:hAnsi="宋体"/>
                <w:szCs w:val="21"/>
                <w:highlight w:val="none"/>
              </w:rPr>
            </w:pPr>
            <w:r>
              <w:rPr>
                <w:rFonts w:hint="eastAsia" w:ascii="宋体" w:hAnsi="宋体"/>
                <w:szCs w:val="21"/>
                <w:highlight w:val="none"/>
              </w:rPr>
              <w:t>导管规格：规格3.1×4.6采血管长度≥950mm，导管上打码清晰，同一套血袋采血管和转移管上号码相同，号码组间距不超过10cm，近端号码距袋体不超过4cm。导管透明，无明显杂质、气泡、裂纹、扁瘪和扭结或其他缺陷。</w:t>
            </w:r>
          </w:p>
          <w:p w14:paraId="2514E1C1">
            <w:pPr>
              <w:jc w:val="left"/>
              <w:rPr>
                <w:rFonts w:ascii="宋体" w:hAnsi="宋体"/>
                <w:szCs w:val="21"/>
                <w:highlight w:val="none"/>
              </w:rPr>
            </w:pPr>
            <w:r>
              <w:rPr>
                <w:rFonts w:hint="eastAsia" w:ascii="宋体" w:hAnsi="宋体"/>
                <w:szCs w:val="21"/>
                <w:highlight w:val="none"/>
              </w:rPr>
              <w:t>4.药品灌装</w:t>
            </w:r>
          </w:p>
          <w:p w14:paraId="1439888B">
            <w:pPr>
              <w:jc w:val="left"/>
              <w:rPr>
                <w:rFonts w:ascii="宋体" w:hAnsi="宋体"/>
                <w:szCs w:val="21"/>
                <w:highlight w:val="none"/>
              </w:rPr>
            </w:pPr>
            <w:r>
              <w:rPr>
                <w:rFonts w:hint="eastAsia" w:ascii="宋体" w:hAnsi="宋体"/>
                <w:szCs w:val="21"/>
                <w:highlight w:val="none"/>
              </w:rPr>
              <w:t>1）. 主袋含血液保存液Ⅲ(CPDA-1)，300ml装量为42ml。</w:t>
            </w:r>
          </w:p>
          <w:p w14:paraId="4F4B6FF4">
            <w:pPr>
              <w:jc w:val="left"/>
              <w:rPr>
                <w:rFonts w:ascii="宋体" w:hAnsi="宋体"/>
                <w:szCs w:val="21"/>
                <w:highlight w:val="none"/>
              </w:rPr>
            </w:pPr>
            <w:r>
              <w:rPr>
                <w:rFonts w:hint="eastAsia" w:ascii="宋体" w:hAnsi="宋体"/>
                <w:szCs w:val="21"/>
                <w:highlight w:val="none"/>
              </w:rPr>
              <w:t>2）. 附带含红细胞添加液MAP，300ml装量为75ml。</w:t>
            </w:r>
          </w:p>
          <w:p w14:paraId="5CF90C50">
            <w:pPr>
              <w:jc w:val="left"/>
              <w:rPr>
                <w:rFonts w:ascii="宋体" w:hAnsi="宋体"/>
                <w:szCs w:val="21"/>
                <w:highlight w:val="none"/>
              </w:rPr>
            </w:pPr>
            <w:r>
              <w:rPr>
                <w:rFonts w:hint="eastAsia" w:ascii="宋体" w:hAnsi="宋体"/>
                <w:szCs w:val="21"/>
                <w:highlight w:val="none"/>
              </w:rPr>
              <w:t>3）. 液体无杂质、无霉变粒、无毒变、无浑浊、无渗漏等现象。</w:t>
            </w:r>
          </w:p>
          <w:p w14:paraId="59FD770F">
            <w:pPr>
              <w:jc w:val="left"/>
              <w:rPr>
                <w:rFonts w:ascii="宋体" w:hAnsi="宋体"/>
                <w:szCs w:val="21"/>
                <w:highlight w:val="none"/>
              </w:rPr>
            </w:pPr>
            <w:r>
              <w:rPr>
                <w:rFonts w:hint="eastAsia" w:ascii="宋体" w:hAnsi="宋体"/>
                <w:szCs w:val="21"/>
                <w:highlight w:val="none"/>
              </w:rPr>
              <w:t>4）. 血液保存液、红细胞添加液的量及PH值等参数符合国家规定标准。</w:t>
            </w:r>
          </w:p>
          <w:p w14:paraId="4341A668">
            <w:pPr>
              <w:jc w:val="left"/>
              <w:rPr>
                <w:rFonts w:ascii="宋体" w:hAnsi="宋体"/>
                <w:szCs w:val="21"/>
                <w:highlight w:val="none"/>
              </w:rPr>
            </w:pPr>
            <w:r>
              <w:rPr>
                <w:rFonts w:hint="eastAsia" w:ascii="宋体" w:hAnsi="宋体"/>
                <w:szCs w:val="21"/>
                <w:highlight w:val="none"/>
              </w:rPr>
              <w:t xml:space="preserve">5.血液保存期：红细胞悬液保存≥35天。 </w:t>
            </w:r>
          </w:p>
          <w:p w14:paraId="044B5EA8">
            <w:pPr>
              <w:jc w:val="left"/>
              <w:rPr>
                <w:rFonts w:ascii="宋体" w:hAnsi="宋体"/>
                <w:szCs w:val="21"/>
                <w:highlight w:val="none"/>
              </w:rPr>
            </w:pPr>
            <w:r>
              <w:rPr>
                <w:rFonts w:hint="eastAsia" w:ascii="宋体" w:hAnsi="宋体"/>
                <w:szCs w:val="21"/>
                <w:highlight w:val="none"/>
              </w:rPr>
              <w:t>6.产品有效期：≥24个月</w:t>
            </w:r>
          </w:p>
          <w:p w14:paraId="38D37FFD">
            <w:pPr>
              <w:jc w:val="left"/>
              <w:rPr>
                <w:rFonts w:ascii="宋体" w:hAnsi="宋体"/>
                <w:szCs w:val="21"/>
                <w:highlight w:val="none"/>
              </w:rPr>
            </w:pPr>
            <w:r>
              <w:rPr>
                <w:rFonts w:hint="eastAsia" w:ascii="宋体" w:hAnsi="宋体"/>
                <w:szCs w:val="21"/>
                <w:highlight w:val="none"/>
              </w:rPr>
              <w:t>7.阻塞装置：折断式阻塞件，易折不阻塞血液出管口，</w:t>
            </w:r>
          </w:p>
          <w:p w14:paraId="474FB5DF">
            <w:pPr>
              <w:jc w:val="left"/>
              <w:rPr>
                <w:rFonts w:ascii="宋体" w:hAnsi="宋体"/>
                <w:szCs w:val="21"/>
                <w:highlight w:val="none"/>
              </w:rPr>
            </w:pPr>
            <w:r>
              <w:rPr>
                <w:rFonts w:hint="eastAsia" w:ascii="宋体" w:hAnsi="宋体"/>
                <w:szCs w:val="21"/>
                <w:highlight w:val="none"/>
              </w:rPr>
              <w:t>输血插口：旋断式输血插口，操作简单、安全；有密闭的保护套，插口内有隔膜、密封，能与符合GB8369/ISO1135-4的输血器配套。</w:t>
            </w:r>
          </w:p>
          <w:p w14:paraId="2F9FFBC2">
            <w:pPr>
              <w:jc w:val="left"/>
              <w:rPr>
                <w:rFonts w:ascii="宋体" w:hAnsi="宋体"/>
                <w:szCs w:val="21"/>
                <w:highlight w:val="none"/>
              </w:rPr>
            </w:pPr>
            <w:r>
              <w:rPr>
                <w:rFonts w:hint="eastAsia" w:ascii="宋体" w:hAnsi="宋体"/>
                <w:szCs w:val="21"/>
                <w:highlight w:val="none"/>
              </w:rPr>
              <w:t>8.采 血 针：采用16Ｇ采血针，针头锋利，管壁光滑，斜面角度适中，进针阻力小，并有无菌保护套，能阻止液体外泄漏，易于去除，一旦打开后不能复原。针头与袋体连接牢固，能承受沿管轴方向施加20N的拉力15s不松动。</w:t>
            </w:r>
          </w:p>
          <w:p w14:paraId="1155EDC4">
            <w:pPr>
              <w:jc w:val="left"/>
              <w:rPr>
                <w:rFonts w:ascii="宋体" w:hAnsi="宋体"/>
                <w:szCs w:val="21"/>
                <w:highlight w:val="none"/>
              </w:rPr>
            </w:pPr>
            <w:r>
              <w:rPr>
                <w:rFonts w:hint="eastAsia" w:ascii="宋体" w:hAnsi="宋体"/>
                <w:szCs w:val="21"/>
                <w:highlight w:val="none"/>
              </w:rPr>
              <w:t>9.标   签：标签防水标签，杜绝霉茵滋生、低温脱落、离心破裂等,不同规格标签有明显的采血量标识。</w:t>
            </w:r>
          </w:p>
          <w:p w14:paraId="47B8597E">
            <w:pPr>
              <w:jc w:val="left"/>
              <w:rPr>
                <w:rFonts w:ascii="宋体" w:hAnsi="宋体"/>
                <w:szCs w:val="21"/>
                <w:highlight w:val="none"/>
              </w:rPr>
            </w:pPr>
            <w:r>
              <w:rPr>
                <w:rFonts w:hint="eastAsia" w:ascii="宋体" w:hAnsi="宋体"/>
                <w:szCs w:val="21"/>
                <w:highlight w:val="none"/>
              </w:rPr>
              <w:t>10.编  码：血样标识码采用激光打码，避免了化学油墨打码带给产品潜在的风险。</w:t>
            </w:r>
          </w:p>
          <w:p w14:paraId="7A41F32B">
            <w:pPr>
              <w:jc w:val="left"/>
              <w:rPr>
                <w:rFonts w:ascii="宋体" w:hAnsi="宋体"/>
                <w:szCs w:val="21"/>
                <w:highlight w:val="none"/>
              </w:rPr>
            </w:pPr>
            <w:r>
              <w:rPr>
                <w:rFonts w:hint="eastAsia" w:ascii="宋体" w:hAnsi="宋体"/>
                <w:szCs w:val="21"/>
                <w:highlight w:val="none"/>
              </w:rPr>
              <w:t>11.包  装：三层包装，小包装为透明蒸煮袋包装，中包装为PE包装，外包装为I类瓦楞纸箱。</w:t>
            </w:r>
          </w:p>
          <w:p w14:paraId="269CA580">
            <w:pPr>
              <w:jc w:val="left"/>
              <w:rPr>
                <w:rFonts w:ascii="宋体" w:hAnsi="宋体"/>
                <w:szCs w:val="21"/>
                <w:highlight w:val="none"/>
              </w:rPr>
            </w:pPr>
            <w:r>
              <w:rPr>
                <w:rFonts w:hint="eastAsia" w:ascii="宋体" w:hAnsi="宋体"/>
                <w:szCs w:val="21"/>
                <w:highlight w:val="none"/>
              </w:rPr>
              <w:t>破损率：因血袋本身质量问题所致的血袋破损率低于千分之一</w:t>
            </w:r>
          </w:p>
          <w:p w14:paraId="58CDE3C6">
            <w:pPr>
              <w:jc w:val="left"/>
              <w:rPr>
                <w:rFonts w:ascii="宋体" w:hAnsi="宋体"/>
                <w:szCs w:val="21"/>
                <w:highlight w:val="none"/>
              </w:rPr>
            </w:pPr>
            <w:r>
              <w:rPr>
                <w:rFonts w:hint="eastAsia" w:ascii="宋体" w:hAnsi="宋体"/>
                <w:szCs w:val="21"/>
                <w:highlight w:val="none"/>
              </w:rPr>
              <w:t>剩余白细胞数≤5.0×106/400ml</w:t>
            </w:r>
          </w:p>
          <w:p w14:paraId="747A3D7F">
            <w:pPr>
              <w:jc w:val="left"/>
              <w:rPr>
                <w:rFonts w:ascii="宋体" w:hAnsi="宋体"/>
                <w:szCs w:val="21"/>
                <w:highlight w:val="none"/>
              </w:rPr>
            </w:pPr>
            <w:r>
              <w:rPr>
                <w:rFonts w:hint="eastAsia" w:ascii="宋体" w:hAnsi="宋体"/>
                <w:szCs w:val="21"/>
                <w:highlight w:val="none"/>
              </w:rPr>
              <w:t>游离血红蛋白变化率不大于5%或小于300mg/L</w:t>
            </w:r>
          </w:p>
          <w:p w14:paraId="3CF8BCBF">
            <w:pPr>
              <w:jc w:val="left"/>
              <w:rPr>
                <w:rFonts w:ascii="宋体" w:hAnsi="宋体"/>
                <w:szCs w:val="21"/>
                <w:highlight w:val="none"/>
              </w:rPr>
            </w:pPr>
            <w:r>
              <w:rPr>
                <w:rFonts w:hint="eastAsia" w:ascii="宋体" w:hAnsi="宋体"/>
                <w:szCs w:val="21"/>
                <w:highlight w:val="none"/>
              </w:rPr>
              <w:t>红细胞回收率≥85%</w:t>
            </w:r>
          </w:p>
        </w:tc>
        <w:tc>
          <w:tcPr>
            <w:tcW w:w="475" w:type="pct"/>
            <w:vAlign w:val="center"/>
          </w:tcPr>
          <w:p w14:paraId="60CB98A1">
            <w:pPr>
              <w:rPr>
                <w:szCs w:val="21"/>
                <w:highlight w:val="none"/>
              </w:rPr>
            </w:pPr>
          </w:p>
          <w:p w14:paraId="0CA09CD5">
            <w:pPr>
              <w:rPr>
                <w:rFonts w:ascii="宋体" w:hAnsi="宋体" w:cs="宋体"/>
                <w:szCs w:val="21"/>
                <w:highlight w:val="none"/>
              </w:rPr>
            </w:pPr>
            <w:r>
              <w:rPr>
                <w:rFonts w:hint="eastAsia"/>
                <w:szCs w:val="21"/>
                <w:highlight w:val="none"/>
              </w:rPr>
              <w:t>3500套</w:t>
            </w:r>
          </w:p>
        </w:tc>
      </w:tr>
      <w:tr w14:paraId="03AFD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1BAA6502">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w:t>
            </w:r>
          </w:p>
        </w:tc>
        <w:tc>
          <w:tcPr>
            <w:tcW w:w="790" w:type="pct"/>
            <w:vAlign w:val="center"/>
          </w:tcPr>
          <w:p w14:paraId="4CEE7FA8">
            <w:pPr>
              <w:rPr>
                <w:szCs w:val="21"/>
                <w:highlight w:val="none"/>
              </w:rPr>
            </w:pPr>
          </w:p>
          <w:p w14:paraId="32175EB9">
            <w:pPr>
              <w:rPr>
                <w:szCs w:val="21"/>
                <w:highlight w:val="none"/>
              </w:rPr>
            </w:pPr>
          </w:p>
          <w:p w14:paraId="7A3261F4">
            <w:pPr>
              <w:rPr>
                <w:rFonts w:ascii="宋体" w:hAnsi="宋体" w:cs="宋体"/>
                <w:szCs w:val="21"/>
                <w:highlight w:val="none"/>
              </w:rPr>
            </w:pPr>
            <w:r>
              <w:rPr>
                <w:rFonts w:hint="eastAsia"/>
                <w:szCs w:val="21"/>
                <w:highlight w:val="none"/>
              </w:rPr>
              <w:t>四联带取样器+留样针去白血袋</w:t>
            </w:r>
          </w:p>
        </w:tc>
        <w:tc>
          <w:tcPr>
            <w:tcW w:w="492" w:type="pct"/>
            <w:tcMar>
              <w:top w:w="15" w:type="dxa"/>
              <w:left w:w="15" w:type="dxa"/>
              <w:bottom w:w="0" w:type="dxa"/>
              <w:right w:w="15" w:type="dxa"/>
            </w:tcMar>
            <w:vAlign w:val="center"/>
          </w:tcPr>
          <w:p w14:paraId="06726A7D">
            <w:pPr>
              <w:rPr>
                <w:rFonts w:ascii="宋体" w:hAnsi="宋体" w:cs="宋体"/>
                <w:szCs w:val="21"/>
                <w:highlight w:val="none"/>
              </w:rPr>
            </w:pPr>
            <w:r>
              <w:rPr>
                <w:rFonts w:hint="eastAsia"/>
                <w:szCs w:val="21"/>
                <w:highlight w:val="none"/>
              </w:rPr>
              <w:t>200ml</w:t>
            </w:r>
          </w:p>
        </w:tc>
        <w:tc>
          <w:tcPr>
            <w:tcW w:w="2883" w:type="pct"/>
            <w:vAlign w:val="center"/>
          </w:tcPr>
          <w:p w14:paraId="63C16404">
            <w:pPr>
              <w:jc w:val="left"/>
              <w:rPr>
                <w:rFonts w:ascii="宋体" w:hAnsi="宋体"/>
                <w:szCs w:val="21"/>
                <w:highlight w:val="none"/>
              </w:rPr>
            </w:pPr>
            <w:r>
              <w:rPr>
                <w:rFonts w:hint="eastAsia" w:ascii="宋体" w:hAnsi="宋体"/>
                <w:szCs w:val="21"/>
                <w:highlight w:val="none"/>
              </w:rPr>
              <w:t>1.组 成：采血袋、转移袋、保存液袋、贮血袋、采血针及输血插口、阻塞装置，滤器等，有200ml,300ml, 400ml规格。</w:t>
            </w:r>
          </w:p>
          <w:p w14:paraId="3B743D62">
            <w:pPr>
              <w:jc w:val="left"/>
              <w:rPr>
                <w:rFonts w:ascii="宋体" w:hAnsi="宋体"/>
                <w:szCs w:val="21"/>
                <w:highlight w:val="none"/>
              </w:rPr>
            </w:pPr>
            <w:r>
              <w:rPr>
                <w:rFonts w:hint="eastAsia" w:ascii="宋体" w:hAnsi="宋体"/>
                <w:szCs w:val="21"/>
                <w:highlight w:val="none"/>
              </w:rPr>
              <w:t>2.功能性组件</w:t>
            </w:r>
          </w:p>
          <w:p w14:paraId="69E0FF8C">
            <w:pPr>
              <w:jc w:val="left"/>
              <w:rPr>
                <w:rFonts w:ascii="宋体" w:hAnsi="宋体"/>
                <w:szCs w:val="21"/>
                <w:highlight w:val="none"/>
              </w:rPr>
            </w:pPr>
            <w:r>
              <w:rPr>
                <w:rFonts w:hint="eastAsia" w:ascii="宋体" w:hAnsi="宋体"/>
                <w:szCs w:val="21"/>
                <w:highlight w:val="none"/>
              </w:rPr>
              <w:t>配置安全采样装置：采样装置带一容量约35mL的留样袋，可通过采样针与各类型真空采血管相连，实现安全采样目的，避免血液污染。</w:t>
            </w:r>
          </w:p>
          <w:p w14:paraId="6F7AE709">
            <w:pPr>
              <w:jc w:val="left"/>
              <w:rPr>
                <w:rFonts w:ascii="宋体" w:hAnsi="宋体"/>
                <w:szCs w:val="21"/>
                <w:highlight w:val="none"/>
              </w:rPr>
            </w:pPr>
            <w:r>
              <w:rPr>
                <w:rFonts w:hint="eastAsia" w:ascii="宋体" w:hAnsi="宋体"/>
                <w:szCs w:val="21"/>
                <w:highlight w:val="none"/>
              </w:rPr>
              <w:t>3.材  料：医用PVC，袋体尺寸适合离心杯使用，适合血液分离机分离成份，袋体平整，无划伤，袋体之间不粘连。</w:t>
            </w:r>
          </w:p>
          <w:p w14:paraId="5F8264A5">
            <w:pPr>
              <w:jc w:val="left"/>
              <w:rPr>
                <w:rFonts w:ascii="宋体" w:hAnsi="宋体"/>
                <w:szCs w:val="21"/>
                <w:highlight w:val="none"/>
              </w:rPr>
            </w:pPr>
            <w:r>
              <w:rPr>
                <w:rFonts w:hint="eastAsia" w:ascii="宋体" w:hAnsi="宋体"/>
                <w:szCs w:val="21"/>
                <w:highlight w:val="none"/>
              </w:rPr>
              <w:t>导管规格：规格3.1×4.6采血管长度≥950mm，导管上打码清晰，同一套血袋采血管和转移管上号码相同，号码组间距不超过10cm，近端号码距袋体不超过4cm。导管透明，无明显杂质、气泡、裂纹、扁瘪和扭结或其他缺陷。</w:t>
            </w:r>
          </w:p>
          <w:p w14:paraId="3BCEE608">
            <w:pPr>
              <w:jc w:val="left"/>
              <w:rPr>
                <w:rFonts w:ascii="宋体" w:hAnsi="宋体"/>
                <w:szCs w:val="21"/>
                <w:highlight w:val="none"/>
              </w:rPr>
            </w:pPr>
            <w:r>
              <w:rPr>
                <w:rFonts w:hint="eastAsia" w:ascii="宋体" w:hAnsi="宋体"/>
                <w:szCs w:val="21"/>
                <w:highlight w:val="none"/>
              </w:rPr>
              <w:t>4.药品灌装</w:t>
            </w:r>
          </w:p>
          <w:p w14:paraId="53AA930E">
            <w:pPr>
              <w:jc w:val="left"/>
              <w:rPr>
                <w:rFonts w:ascii="宋体" w:hAnsi="宋体"/>
                <w:szCs w:val="21"/>
                <w:highlight w:val="none"/>
              </w:rPr>
            </w:pPr>
            <w:r>
              <w:rPr>
                <w:rFonts w:hint="eastAsia" w:ascii="宋体" w:hAnsi="宋体"/>
                <w:szCs w:val="21"/>
                <w:highlight w:val="none"/>
              </w:rPr>
              <w:t>1）.主袋含血液保存液Ⅲ(CPDA-1)，200ml装量为28ml。</w:t>
            </w:r>
          </w:p>
          <w:p w14:paraId="72B80109">
            <w:pPr>
              <w:jc w:val="left"/>
              <w:rPr>
                <w:rFonts w:ascii="宋体" w:hAnsi="宋体"/>
                <w:szCs w:val="21"/>
                <w:highlight w:val="none"/>
              </w:rPr>
            </w:pPr>
            <w:r>
              <w:rPr>
                <w:rFonts w:hint="eastAsia" w:ascii="宋体" w:hAnsi="宋体"/>
                <w:szCs w:val="21"/>
                <w:highlight w:val="none"/>
              </w:rPr>
              <w:t>2）.附带含红细胞添加液MAP，200ml装量为50ml。</w:t>
            </w:r>
          </w:p>
          <w:p w14:paraId="29288984">
            <w:pPr>
              <w:jc w:val="left"/>
              <w:rPr>
                <w:rFonts w:ascii="宋体" w:hAnsi="宋体"/>
                <w:szCs w:val="21"/>
                <w:highlight w:val="none"/>
              </w:rPr>
            </w:pPr>
            <w:r>
              <w:rPr>
                <w:rFonts w:hint="eastAsia" w:ascii="宋体" w:hAnsi="宋体"/>
                <w:szCs w:val="21"/>
                <w:highlight w:val="none"/>
              </w:rPr>
              <w:t>3）.液体无杂质、无霉变粒、无毒变、无浑浊、无渗漏等现象。</w:t>
            </w:r>
          </w:p>
          <w:p w14:paraId="235A3C48">
            <w:pPr>
              <w:jc w:val="left"/>
              <w:rPr>
                <w:rFonts w:ascii="宋体" w:hAnsi="宋体"/>
                <w:szCs w:val="21"/>
                <w:highlight w:val="none"/>
              </w:rPr>
            </w:pPr>
            <w:r>
              <w:rPr>
                <w:rFonts w:hint="eastAsia" w:ascii="宋体" w:hAnsi="宋体"/>
                <w:szCs w:val="21"/>
                <w:highlight w:val="none"/>
              </w:rPr>
              <w:t>4）.血液保存液、红细胞添加液的量及PH值等参数符合国家规定标准。</w:t>
            </w:r>
          </w:p>
          <w:p w14:paraId="335E09D0">
            <w:pPr>
              <w:jc w:val="left"/>
              <w:rPr>
                <w:rFonts w:ascii="宋体" w:hAnsi="宋体"/>
                <w:szCs w:val="21"/>
                <w:highlight w:val="none"/>
              </w:rPr>
            </w:pPr>
            <w:r>
              <w:rPr>
                <w:rFonts w:hint="eastAsia" w:ascii="宋体" w:hAnsi="宋体"/>
                <w:szCs w:val="21"/>
                <w:highlight w:val="none"/>
              </w:rPr>
              <w:t xml:space="preserve">5.血液保存期：红细胞悬液保存≥35天。 </w:t>
            </w:r>
          </w:p>
          <w:p w14:paraId="26145757">
            <w:pPr>
              <w:jc w:val="left"/>
              <w:rPr>
                <w:rFonts w:ascii="宋体" w:hAnsi="宋体"/>
                <w:szCs w:val="21"/>
                <w:highlight w:val="none"/>
              </w:rPr>
            </w:pPr>
            <w:r>
              <w:rPr>
                <w:rFonts w:hint="eastAsia" w:ascii="宋体" w:hAnsi="宋体"/>
                <w:szCs w:val="21"/>
                <w:highlight w:val="none"/>
              </w:rPr>
              <w:t>6.产品有效期：≥24个月</w:t>
            </w:r>
          </w:p>
          <w:p w14:paraId="20717748">
            <w:pPr>
              <w:jc w:val="left"/>
              <w:rPr>
                <w:rFonts w:ascii="宋体" w:hAnsi="宋体"/>
                <w:szCs w:val="21"/>
                <w:highlight w:val="none"/>
              </w:rPr>
            </w:pPr>
            <w:r>
              <w:rPr>
                <w:rFonts w:hint="eastAsia" w:ascii="宋体" w:hAnsi="宋体"/>
                <w:szCs w:val="21"/>
                <w:highlight w:val="none"/>
              </w:rPr>
              <w:t>7.阻塞装置：折断式阻塞件，易折不阻塞血液出管口，</w:t>
            </w:r>
          </w:p>
          <w:p w14:paraId="73BEAABE">
            <w:pPr>
              <w:jc w:val="left"/>
              <w:rPr>
                <w:rFonts w:ascii="宋体" w:hAnsi="宋体"/>
                <w:szCs w:val="21"/>
                <w:highlight w:val="none"/>
              </w:rPr>
            </w:pPr>
            <w:r>
              <w:rPr>
                <w:rFonts w:hint="eastAsia" w:ascii="宋体" w:hAnsi="宋体"/>
                <w:szCs w:val="21"/>
                <w:highlight w:val="none"/>
              </w:rPr>
              <w:t>输血插口：旋断式输血插口，操作简单、安全；有密闭的保护套，插口内有隔膜、密封，能与符合GB8369/ISO1135-4的输血器配套。</w:t>
            </w:r>
          </w:p>
          <w:p w14:paraId="064D57D4">
            <w:pPr>
              <w:jc w:val="left"/>
              <w:rPr>
                <w:rFonts w:ascii="宋体" w:hAnsi="宋体"/>
                <w:szCs w:val="21"/>
                <w:highlight w:val="none"/>
              </w:rPr>
            </w:pPr>
            <w:r>
              <w:rPr>
                <w:rFonts w:hint="eastAsia" w:ascii="宋体" w:hAnsi="宋体"/>
                <w:szCs w:val="21"/>
                <w:highlight w:val="none"/>
              </w:rPr>
              <w:t>8.采 血 针：采用16Ｇ采血针，针头锋利，管壁光滑，斜面角度适中，进针阻力小，并有无菌保护套，能阻止液体外泄漏，易于去除，一旦打开后不能复原。针头与袋体连接牢固，能承受沿管轴方向施加20N的拉力15s不松动。</w:t>
            </w:r>
          </w:p>
          <w:p w14:paraId="38463EA1">
            <w:pPr>
              <w:jc w:val="left"/>
              <w:rPr>
                <w:rFonts w:ascii="宋体" w:hAnsi="宋体"/>
                <w:szCs w:val="21"/>
                <w:highlight w:val="none"/>
              </w:rPr>
            </w:pPr>
            <w:r>
              <w:rPr>
                <w:rFonts w:hint="eastAsia" w:ascii="宋体" w:hAnsi="宋体"/>
                <w:szCs w:val="21"/>
                <w:highlight w:val="none"/>
              </w:rPr>
              <w:t>9.标   签：标签防水标签，杜绝霉茵滋生、低温脱落、离心破裂等,不同规格标签有明显的采血量标识。</w:t>
            </w:r>
          </w:p>
          <w:p w14:paraId="1E4A88DF">
            <w:pPr>
              <w:jc w:val="left"/>
              <w:rPr>
                <w:rFonts w:ascii="宋体" w:hAnsi="宋体"/>
                <w:szCs w:val="21"/>
                <w:highlight w:val="none"/>
              </w:rPr>
            </w:pPr>
            <w:r>
              <w:rPr>
                <w:rFonts w:hint="eastAsia" w:ascii="宋体" w:hAnsi="宋体"/>
                <w:szCs w:val="21"/>
                <w:highlight w:val="none"/>
              </w:rPr>
              <w:t>10.编  码：血样标识码采用激光打码，避免了化学油墨打码带给产品潜在的风险。</w:t>
            </w:r>
          </w:p>
          <w:p w14:paraId="694613DC">
            <w:pPr>
              <w:jc w:val="left"/>
              <w:rPr>
                <w:rFonts w:ascii="宋体" w:hAnsi="宋体"/>
                <w:szCs w:val="21"/>
                <w:highlight w:val="none"/>
              </w:rPr>
            </w:pPr>
            <w:r>
              <w:rPr>
                <w:rFonts w:hint="eastAsia" w:ascii="宋体" w:hAnsi="宋体"/>
                <w:szCs w:val="21"/>
                <w:highlight w:val="none"/>
              </w:rPr>
              <w:t>11.包  装：三层包装，小包装为透明蒸煮袋包装，中包装为PE包装，外包装为I类瓦楞纸箱。</w:t>
            </w:r>
          </w:p>
          <w:p w14:paraId="53929A57">
            <w:pPr>
              <w:jc w:val="left"/>
              <w:rPr>
                <w:rFonts w:ascii="宋体" w:hAnsi="宋体"/>
                <w:szCs w:val="21"/>
                <w:highlight w:val="none"/>
              </w:rPr>
            </w:pPr>
            <w:r>
              <w:rPr>
                <w:rFonts w:hint="eastAsia" w:ascii="宋体" w:hAnsi="宋体"/>
                <w:szCs w:val="21"/>
                <w:highlight w:val="none"/>
              </w:rPr>
              <w:t>破损率：因血袋本身质量问题所致的血袋破损率低于千分之一</w:t>
            </w:r>
          </w:p>
          <w:p w14:paraId="14F6658D">
            <w:pPr>
              <w:jc w:val="left"/>
              <w:rPr>
                <w:rFonts w:ascii="宋体" w:hAnsi="宋体"/>
                <w:szCs w:val="21"/>
                <w:highlight w:val="none"/>
              </w:rPr>
            </w:pPr>
            <w:r>
              <w:rPr>
                <w:rFonts w:hint="eastAsia" w:ascii="宋体" w:hAnsi="宋体"/>
                <w:szCs w:val="21"/>
                <w:highlight w:val="none"/>
              </w:rPr>
              <w:t>剩余白细胞数≤5.0×106/400ml</w:t>
            </w:r>
          </w:p>
          <w:p w14:paraId="6E01157C">
            <w:pPr>
              <w:jc w:val="left"/>
              <w:rPr>
                <w:rFonts w:ascii="宋体" w:hAnsi="宋体"/>
                <w:szCs w:val="21"/>
                <w:highlight w:val="none"/>
              </w:rPr>
            </w:pPr>
            <w:r>
              <w:rPr>
                <w:rFonts w:hint="eastAsia" w:ascii="宋体" w:hAnsi="宋体"/>
                <w:szCs w:val="21"/>
                <w:highlight w:val="none"/>
              </w:rPr>
              <w:t>游离血红蛋白变化率不大于5%或小于300mg/L</w:t>
            </w:r>
          </w:p>
          <w:p w14:paraId="069018EE">
            <w:pPr>
              <w:jc w:val="left"/>
              <w:rPr>
                <w:rFonts w:ascii="宋体" w:hAnsi="宋体"/>
                <w:szCs w:val="21"/>
                <w:highlight w:val="none"/>
              </w:rPr>
            </w:pPr>
            <w:r>
              <w:rPr>
                <w:rFonts w:hint="eastAsia" w:ascii="宋体" w:hAnsi="宋体"/>
                <w:szCs w:val="21"/>
                <w:highlight w:val="none"/>
              </w:rPr>
              <w:t>红细胞回收率≥85%</w:t>
            </w:r>
          </w:p>
        </w:tc>
        <w:tc>
          <w:tcPr>
            <w:tcW w:w="475" w:type="pct"/>
            <w:vAlign w:val="center"/>
          </w:tcPr>
          <w:p w14:paraId="63308BC4">
            <w:pPr>
              <w:rPr>
                <w:szCs w:val="21"/>
                <w:highlight w:val="none"/>
              </w:rPr>
            </w:pPr>
          </w:p>
          <w:p w14:paraId="59559485">
            <w:pPr>
              <w:rPr>
                <w:rFonts w:ascii="宋体" w:hAnsi="宋体" w:cs="宋体"/>
                <w:szCs w:val="21"/>
                <w:highlight w:val="none"/>
              </w:rPr>
            </w:pPr>
            <w:r>
              <w:rPr>
                <w:rFonts w:hint="eastAsia"/>
                <w:szCs w:val="21"/>
                <w:highlight w:val="none"/>
              </w:rPr>
              <w:t>3500套</w:t>
            </w:r>
          </w:p>
        </w:tc>
      </w:tr>
      <w:tr w14:paraId="27C64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6A444D17">
            <w:pPr>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w:t>
            </w:r>
          </w:p>
        </w:tc>
        <w:tc>
          <w:tcPr>
            <w:tcW w:w="790" w:type="pct"/>
            <w:vAlign w:val="center"/>
          </w:tcPr>
          <w:p w14:paraId="3CF5B071">
            <w:pPr>
              <w:rPr>
                <w:szCs w:val="21"/>
                <w:highlight w:val="none"/>
              </w:rPr>
            </w:pPr>
            <w:r>
              <w:rPr>
                <w:rFonts w:hint="eastAsia"/>
                <w:szCs w:val="21"/>
                <w:highlight w:val="none"/>
              </w:rPr>
              <w:t>六连袋取样器+留样针去白血袋</w:t>
            </w:r>
          </w:p>
        </w:tc>
        <w:tc>
          <w:tcPr>
            <w:tcW w:w="492" w:type="pct"/>
            <w:tcMar>
              <w:top w:w="15" w:type="dxa"/>
              <w:left w:w="15" w:type="dxa"/>
              <w:bottom w:w="0" w:type="dxa"/>
              <w:right w:w="15" w:type="dxa"/>
            </w:tcMar>
            <w:vAlign w:val="center"/>
          </w:tcPr>
          <w:p w14:paraId="22838DCB">
            <w:pPr>
              <w:rPr>
                <w:szCs w:val="21"/>
                <w:highlight w:val="none"/>
              </w:rPr>
            </w:pPr>
            <w:r>
              <w:rPr>
                <w:szCs w:val="21"/>
                <w:highlight w:val="none"/>
              </w:rPr>
              <w:t>400ml</w:t>
            </w:r>
          </w:p>
        </w:tc>
        <w:tc>
          <w:tcPr>
            <w:tcW w:w="2883" w:type="pct"/>
            <w:vAlign w:val="center"/>
          </w:tcPr>
          <w:p w14:paraId="44823B77">
            <w:pPr>
              <w:jc w:val="left"/>
              <w:rPr>
                <w:rFonts w:ascii="宋体" w:hAnsi="宋体"/>
                <w:szCs w:val="21"/>
                <w:highlight w:val="none"/>
              </w:rPr>
            </w:pPr>
            <w:r>
              <w:rPr>
                <w:rFonts w:hint="eastAsia" w:ascii="宋体" w:hAnsi="宋体"/>
                <w:szCs w:val="21"/>
                <w:highlight w:val="none"/>
              </w:rPr>
              <w:t>1.规格及组成:</w:t>
            </w:r>
            <w:r>
              <w:rPr>
                <w:rFonts w:hint="eastAsia" w:ascii="宋体" w:hAnsi="宋体"/>
                <w:szCs w:val="21"/>
                <w:highlight w:val="none"/>
              </w:rPr>
              <w:tab/>
            </w:r>
            <w:r>
              <w:rPr>
                <w:rFonts w:hint="eastAsia" w:ascii="宋体" w:hAnsi="宋体"/>
                <w:szCs w:val="21"/>
                <w:highlight w:val="none"/>
              </w:rPr>
              <w:t>含采血袋、贮血袋、常温血小板袋、白膜袋、血浆袋、红细胞保存液袋、采血针及输血插口、堵塞装置，软芯白细胞滤器等</w:t>
            </w:r>
          </w:p>
          <w:p w14:paraId="7D5F060C">
            <w:pPr>
              <w:jc w:val="left"/>
              <w:rPr>
                <w:rFonts w:ascii="宋体" w:hAnsi="宋体"/>
                <w:szCs w:val="21"/>
                <w:highlight w:val="none"/>
              </w:rPr>
            </w:pPr>
            <w:r>
              <w:rPr>
                <w:rFonts w:hint="eastAsia" w:ascii="宋体" w:hAnsi="宋体"/>
                <w:szCs w:val="21"/>
                <w:highlight w:val="none"/>
              </w:rPr>
              <w:t>2.性能:适用白膜法手工制备血小板专用去白血袋</w:t>
            </w:r>
          </w:p>
          <w:p w14:paraId="4D6D78AF">
            <w:pPr>
              <w:jc w:val="left"/>
              <w:rPr>
                <w:rFonts w:ascii="宋体" w:hAnsi="宋体"/>
                <w:szCs w:val="21"/>
                <w:highlight w:val="none"/>
              </w:rPr>
            </w:pPr>
            <w:r>
              <w:rPr>
                <w:rFonts w:hint="eastAsia" w:ascii="宋体" w:hAnsi="宋体"/>
                <w:szCs w:val="21"/>
                <w:highlight w:val="none"/>
              </w:rPr>
              <w:t>白细胞滤器:</w:t>
            </w:r>
          </w:p>
          <w:p w14:paraId="38615BEA">
            <w:pPr>
              <w:jc w:val="left"/>
              <w:rPr>
                <w:rFonts w:ascii="宋体" w:hAnsi="宋体"/>
                <w:szCs w:val="21"/>
                <w:highlight w:val="none"/>
              </w:rPr>
            </w:pPr>
            <w:r>
              <w:rPr>
                <w:rFonts w:hint="eastAsia" w:ascii="宋体" w:hAnsi="宋体"/>
                <w:szCs w:val="21"/>
                <w:highlight w:val="none"/>
              </w:rPr>
              <w:t>1）.白细胞滤器为软芯，使用于过滤红细胞悬液中的白细胞；</w:t>
            </w:r>
          </w:p>
          <w:p w14:paraId="5432D74D">
            <w:pPr>
              <w:jc w:val="left"/>
              <w:rPr>
                <w:rFonts w:ascii="宋体" w:hAnsi="宋体"/>
                <w:szCs w:val="21"/>
                <w:highlight w:val="none"/>
              </w:rPr>
            </w:pPr>
            <w:r>
              <w:rPr>
                <w:rFonts w:hint="eastAsia" w:ascii="宋体" w:hAnsi="宋体"/>
                <w:szCs w:val="21"/>
                <w:highlight w:val="none"/>
              </w:rPr>
              <w:t>2）.剩余白细胞数≤5.0×106/400ml，白细胞去除率≥99.9%，红细胞回收率≥85%，游离血红蛋白≤300mg/L。</w:t>
            </w:r>
          </w:p>
          <w:p w14:paraId="7894DEEB">
            <w:pPr>
              <w:jc w:val="left"/>
              <w:rPr>
                <w:rFonts w:ascii="宋体" w:hAnsi="宋体"/>
                <w:szCs w:val="21"/>
                <w:highlight w:val="none"/>
              </w:rPr>
            </w:pPr>
            <w:r>
              <w:rPr>
                <w:rFonts w:hint="eastAsia" w:ascii="宋体" w:hAnsi="宋体"/>
                <w:szCs w:val="21"/>
                <w:highlight w:val="none"/>
              </w:rPr>
              <w:t>3.生产工艺:血袋膜袋制作为压延膜工艺</w:t>
            </w:r>
          </w:p>
          <w:p w14:paraId="1C02A213">
            <w:pPr>
              <w:jc w:val="left"/>
              <w:rPr>
                <w:rFonts w:ascii="宋体" w:hAnsi="宋体"/>
                <w:szCs w:val="21"/>
                <w:highlight w:val="none"/>
              </w:rPr>
            </w:pPr>
            <w:r>
              <w:rPr>
                <w:rFonts w:hint="eastAsia" w:ascii="宋体" w:hAnsi="宋体"/>
                <w:szCs w:val="21"/>
                <w:highlight w:val="none"/>
              </w:rPr>
              <w:t xml:space="preserve">膜袋:透气性好，厚度均一，透明、无色、柔软、无杂质、无斑点、无气泡、无菌、无热原、无毒性且不易破碎。在灭菌和储存期内无粘连。  </w:t>
            </w:r>
          </w:p>
          <w:p w14:paraId="0B770F96">
            <w:pPr>
              <w:jc w:val="left"/>
              <w:rPr>
                <w:rFonts w:ascii="宋体" w:hAnsi="宋体"/>
                <w:szCs w:val="21"/>
                <w:highlight w:val="none"/>
              </w:rPr>
            </w:pPr>
            <w:r>
              <w:rPr>
                <w:rFonts w:hint="eastAsia" w:ascii="宋体" w:hAnsi="宋体"/>
                <w:szCs w:val="21"/>
                <w:highlight w:val="none"/>
              </w:rPr>
              <w:t>4.血袋袋体:</w:t>
            </w:r>
          </w:p>
          <w:p w14:paraId="608636A3">
            <w:pPr>
              <w:jc w:val="left"/>
              <w:rPr>
                <w:rFonts w:ascii="宋体" w:hAnsi="宋体"/>
                <w:szCs w:val="21"/>
                <w:highlight w:val="none"/>
              </w:rPr>
            </w:pPr>
            <w:r>
              <w:rPr>
                <w:rFonts w:hint="eastAsia" w:ascii="宋体" w:hAnsi="宋体"/>
                <w:szCs w:val="21"/>
                <w:highlight w:val="none"/>
              </w:rPr>
              <w:t xml:space="preserve">1）. 集采血管、采血针、输血插口为一体，连成一个完整的密闭系统。                    </w:t>
            </w:r>
          </w:p>
          <w:p w14:paraId="5CDC3356">
            <w:pPr>
              <w:jc w:val="left"/>
              <w:rPr>
                <w:rFonts w:ascii="宋体" w:hAnsi="宋体"/>
                <w:szCs w:val="21"/>
                <w:highlight w:val="none"/>
              </w:rPr>
            </w:pPr>
            <w:r>
              <w:rPr>
                <w:rFonts w:hint="eastAsia" w:ascii="宋体" w:hAnsi="宋体"/>
                <w:szCs w:val="21"/>
                <w:highlight w:val="none"/>
              </w:rPr>
              <w:t>2）. 管道夹齐全，保证采集、分离、输注和储存血液时其内腔不与外界空气相接触。</w:t>
            </w:r>
          </w:p>
          <w:p w14:paraId="7E3AE140">
            <w:pPr>
              <w:jc w:val="left"/>
              <w:rPr>
                <w:rFonts w:ascii="宋体" w:hAnsi="宋体"/>
                <w:szCs w:val="21"/>
                <w:highlight w:val="none"/>
              </w:rPr>
            </w:pPr>
            <w:r>
              <w:rPr>
                <w:rFonts w:hint="eastAsia" w:ascii="宋体" w:hAnsi="宋体"/>
                <w:szCs w:val="21"/>
                <w:highlight w:val="none"/>
              </w:rPr>
              <w:t>3）.各连接处无渗漏、裂纹、气泡、扭结和其他缺陷。                                   4）.血袋能承受≥20N的拉力、≥5000g离心力，离心和冷冻后血袋无破损和渗漏。</w:t>
            </w:r>
          </w:p>
          <w:p w14:paraId="22D7E759">
            <w:pPr>
              <w:jc w:val="left"/>
              <w:rPr>
                <w:rFonts w:ascii="宋体" w:hAnsi="宋体"/>
                <w:szCs w:val="21"/>
                <w:highlight w:val="none"/>
              </w:rPr>
            </w:pPr>
            <w:r>
              <w:rPr>
                <w:rFonts w:hint="eastAsia" w:ascii="宋体" w:hAnsi="宋体"/>
                <w:szCs w:val="21"/>
                <w:highlight w:val="none"/>
              </w:rPr>
              <w:t xml:space="preserve">5）.经高压蒸汽灭菌处理。  </w:t>
            </w:r>
          </w:p>
          <w:p w14:paraId="18561109">
            <w:pPr>
              <w:jc w:val="left"/>
              <w:rPr>
                <w:rFonts w:ascii="宋体" w:hAnsi="宋体"/>
                <w:szCs w:val="21"/>
                <w:highlight w:val="none"/>
              </w:rPr>
            </w:pPr>
            <w:r>
              <w:rPr>
                <w:rFonts w:hint="eastAsia" w:ascii="宋体" w:hAnsi="宋体"/>
                <w:szCs w:val="21"/>
                <w:highlight w:val="none"/>
              </w:rPr>
              <w:t>5.产品包装:</w:t>
            </w:r>
          </w:p>
          <w:p w14:paraId="3E26B02A">
            <w:pPr>
              <w:jc w:val="left"/>
              <w:rPr>
                <w:rFonts w:ascii="宋体" w:hAnsi="宋体"/>
                <w:szCs w:val="21"/>
                <w:highlight w:val="none"/>
              </w:rPr>
            </w:pPr>
            <w:r>
              <w:rPr>
                <w:rFonts w:hint="eastAsia" w:ascii="宋体" w:hAnsi="宋体"/>
                <w:szCs w:val="21"/>
                <w:highlight w:val="none"/>
              </w:rPr>
              <w:t>三层包装，外包装为瓦楞纸箱，内有中包装和单个包装。</w:t>
            </w:r>
          </w:p>
          <w:p w14:paraId="00E965F9">
            <w:pPr>
              <w:jc w:val="left"/>
              <w:rPr>
                <w:rFonts w:ascii="宋体" w:hAnsi="宋体"/>
                <w:szCs w:val="21"/>
                <w:highlight w:val="none"/>
              </w:rPr>
            </w:pPr>
            <w:r>
              <w:rPr>
                <w:rFonts w:hint="eastAsia" w:ascii="宋体" w:hAnsi="宋体"/>
                <w:szCs w:val="21"/>
                <w:highlight w:val="none"/>
              </w:rPr>
              <w:t xml:space="preserve">外包装纸箱有容易识别血袋的规格、有合格标识、生产日期及有效期，并符合国标要求。在正常处置和使用条件下，有足够强的耐破损性。(每箱内有批检合格证)  </w:t>
            </w:r>
          </w:p>
          <w:p w14:paraId="0697972D">
            <w:pPr>
              <w:jc w:val="left"/>
              <w:rPr>
                <w:rFonts w:ascii="宋体" w:hAnsi="宋体"/>
                <w:szCs w:val="21"/>
                <w:highlight w:val="none"/>
              </w:rPr>
            </w:pPr>
            <w:r>
              <w:rPr>
                <w:rFonts w:hint="eastAsia" w:ascii="宋体" w:hAnsi="宋体"/>
                <w:szCs w:val="21"/>
                <w:highlight w:val="none"/>
              </w:rPr>
              <w:t>6.标签:</w:t>
            </w:r>
          </w:p>
          <w:p w14:paraId="245ABAB5">
            <w:pPr>
              <w:jc w:val="left"/>
              <w:rPr>
                <w:rFonts w:ascii="宋体" w:hAnsi="宋体"/>
                <w:szCs w:val="21"/>
                <w:highlight w:val="none"/>
              </w:rPr>
            </w:pPr>
            <w:r>
              <w:rPr>
                <w:rFonts w:hint="eastAsia" w:ascii="宋体" w:hAnsi="宋体"/>
                <w:szCs w:val="21"/>
                <w:highlight w:val="none"/>
              </w:rPr>
              <w:t>运输箱、外包装及血袋均有标签。</w:t>
            </w:r>
          </w:p>
          <w:p w14:paraId="1D8752DE">
            <w:pPr>
              <w:jc w:val="left"/>
              <w:rPr>
                <w:rFonts w:ascii="宋体" w:hAnsi="宋体"/>
                <w:szCs w:val="21"/>
                <w:highlight w:val="none"/>
              </w:rPr>
            </w:pPr>
            <w:r>
              <w:rPr>
                <w:rFonts w:hint="eastAsia" w:ascii="宋体" w:hAnsi="宋体"/>
                <w:szCs w:val="21"/>
                <w:highlight w:val="none"/>
              </w:rPr>
              <w:t>标签位置明显且清晰可见。</w:t>
            </w:r>
          </w:p>
          <w:p w14:paraId="7285112B">
            <w:pPr>
              <w:jc w:val="left"/>
              <w:rPr>
                <w:rFonts w:ascii="宋体" w:hAnsi="宋体"/>
                <w:szCs w:val="21"/>
                <w:highlight w:val="none"/>
              </w:rPr>
            </w:pPr>
            <w:r>
              <w:rPr>
                <w:rFonts w:hint="eastAsia" w:ascii="宋体" w:hAnsi="宋体"/>
                <w:szCs w:val="21"/>
                <w:highlight w:val="none"/>
              </w:rPr>
              <w:t>标签内容包括：制造厂或供应商的名称和地址、注册号、药品批准文号、产品标准、产品规格、内装物说明、储存条件、批号、失效期、以及从外包装中取出后超过n天禁止使用的说明。</w:t>
            </w:r>
          </w:p>
          <w:p w14:paraId="5EFB29CE">
            <w:pPr>
              <w:jc w:val="left"/>
              <w:rPr>
                <w:rFonts w:ascii="宋体" w:hAnsi="宋体"/>
                <w:szCs w:val="21"/>
                <w:highlight w:val="none"/>
              </w:rPr>
            </w:pPr>
            <w:r>
              <w:rPr>
                <w:rFonts w:hint="eastAsia" w:ascii="宋体" w:hAnsi="宋体"/>
                <w:szCs w:val="21"/>
                <w:highlight w:val="none"/>
              </w:rPr>
              <w:t xml:space="preserve">血袋上标签为印刷标签，保障采、输血安全。 </w:t>
            </w:r>
          </w:p>
          <w:p w14:paraId="03506F20">
            <w:pPr>
              <w:jc w:val="left"/>
              <w:rPr>
                <w:rFonts w:ascii="宋体" w:hAnsi="宋体"/>
                <w:szCs w:val="21"/>
                <w:highlight w:val="none"/>
              </w:rPr>
            </w:pPr>
            <w:r>
              <w:rPr>
                <w:rFonts w:hint="eastAsia" w:ascii="宋体" w:hAnsi="宋体"/>
                <w:szCs w:val="21"/>
                <w:highlight w:val="none"/>
              </w:rPr>
              <w:t>血袋上标签还包括：内装液及预期使用的描述、抗凝剂和保养液以及所含其他物质的特性和体积(毫升)或质量(克)、可采集血液和血液成分的体积(毫升)和质量(克)、无菌无热原限定条件说明。</w:t>
            </w:r>
          </w:p>
          <w:p w14:paraId="7225556D">
            <w:pPr>
              <w:jc w:val="left"/>
              <w:rPr>
                <w:rFonts w:ascii="宋体" w:hAnsi="宋体"/>
                <w:szCs w:val="21"/>
                <w:highlight w:val="none"/>
              </w:rPr>
            </w:pPr>
            <w:r>
              <w:rPr>
                <w:rFonts w:hint="eastAsia" w:ascii="宋体" w:hAnsi="宋体"/>
                <w:szCs w:val="21"/>
                <w:highlight w:val="none"/>
              </w:rPr>
              <w:t>6.产品结构与尺寸:</w:t>
            </w:r>
          </w:p>
          <w:p w14:paraId="05B1505F">
            <w:pPr>
              <w:jc w:val="left"/>
              <w:rPr>
                <w:rFonts w:ascii="宋体" w:hAnsi="宋体"/>
                <w:szCs w:val="21"/>
                <w:highlight w:val="none"/>
              </w:rPr>
            </w:pPr>
            <w:r>
              <w:rPr>
                <w:rFonts w:hint="eastAsia" w:ascii="宋体" w:hAnsi="宋体"/>
                <w:szCs w:val="21"/>
                <w:highlight w:val="none"/>
              </w:rPr>
              <w:t>产品结构与尺寸符合《人体血液及血液成分袋式塑料容器第一部分：传统型血袋(GB 14232.1-2020／IS0 3826-1：2013)》</w:t>
            </w:r>
          </w:p>
          <w:p w14:paraId="3CBF169C">
            <w:pPr>
              <w:jc w:val="left"/>
              <w:rPr>
                <w:rFonts w:ascii="宋体" w:hAnsi="宋体"/>
                <w:szCs w:val="21"/>
                <w:highlight w:val="none"/>
              </w:rPr>
            </w:pPr>
            <w:r>
              <w:rPr>
                <w:rFonts w:hint="eastAsia" w:ascii="宋体" w:hAnsi="宋体"/>
                <w:szCs w:val="21"/>
                <w:highlight w:val="none"/>
              </w:rPr>
              <w:t>软管大小为内径×外径＝3.1×4.7，转移管长度≥300，适合机器自动分离血液成分； 转移管有阻塞件，阻塞件为折断式，易折且折面光滑，断面孔径大，易于血制品通过，且不影响血液制品制备质量。</w:t>
            </w:r>
          </w:p>
          <w:p w14:paraId="36242C99">
            <w:pPr>
              <w:jc w:val="left"/>
              <w:rPr>
                <w:rFonts w:ascii="宋体" w:hAnsi="宋体"/>
                <w:szCs w:val="21"/>
                <w:highlight w:val="none"/>
              </w:rPr>
            </w:pPr>
            <w:r>
              <w:rPr>
                <w:rFonts w:hint="eastAsia" w:ascii="宋体" w:hAnsi="宋体"/>
                <w:szCs w:val="21"/>
                <w:highlight w:val="none"/>
              </w:rPr>
              <w:t>采血管从袋体开始印有标志，印数字相同的号码组，字迹清晰，完整，无褪色，在使用情况下易于辨认。号码组间距不大于10cm，号码组是唯一性．无重号。</w:t>
            </w:r>
          </w:p>
          <w:p w14:paraId="2FF86863">
            <w:pPr>
              <w:jc w:val="left"/>
              <w:rPr>
                <w:rFonts w:ascii="宋体" w:hAnsi="宋体"/>
                <w:szCs w:val="21"/>
                <w:highlight w:val="none"/>
              </w:rPr>
            </w:pPr>
            <w:r>
              <w:rPr>
                <w:rFonts w:hint="eastAsia" w:ascii="宋体" w:hAnsi="宋体"/>
                <w:szCs w:val="21"/>
                <w:highlight w:val="none"/>
              </w:rPr>
              <w:t>7.采血针：</w:t>
            </w:r>
          </w:p>
          <w:p w14:paraId="4A91DEA0">
            <w:pPr>
              <w:jc w:val="left"/>
              <w:rPr>
                <w:rFonts w:ascii="宋体" w:hAnsi="宋体"/>
                <w:szCs w:val="21"/>
                <w:highlight w:val="none"/>
              </w:rPr>
            </w:pPr>
            <w:r>
              <w:rPr>
                <w:rFonts w:hint="eastAsia" w:ascii="宋体" w:hAnsi="宋体"/>
                <w:szCs w:val="21"/>
                <w:highlight w:val="none"/>
              </w:rPr>
              <w:t>使用16G采血针，与采血管为一体并有保护套。</w:t>
            </w:r>
          </w:p>
          <w:p w14:paraId="2B29567B">
            <w:pPr>
              <w:jc w:val="left"/>
              <w:rPr>
                <w:rFonts w:ascii="宋体" w:hAnsi="宋体"/>
                <w:szCs w:val="21"/>
                <w:highlight w:val="none"/>
              </w:rPr>
            </w:pPr>
            <w:r>
              <w:rPr>
                <w:rFonts w:hint="eastAsia" w:ascii="宋体" w:hAnsi="宋体"/>
                <w:szCs w:val="21"/>
                <w:highlight w:val="none"/>
              </w:rPr>
              <w:t>保护套能防止储存期内抗凝剂和保养液由塑料血袋向外泄漏。并能保证液体通道无菌。</w:t>
            </w:r>
          </w:p>
          <w:p w14:paraId="6F505F52">
            <w:pPr>
              <w:jc w:val="left"/>
              <w:rPr>
                <w:rFonts w:ascii="宋体" w:hAnsi="宋体"/>
                <w:szCs w:val="21"/>
                <w:highlight w:val="none"/>
              </w:rPr>
            </w:pPr>
            <w:r>
              <w:rPr>
                <w:rFonts w:hint="eastAsia" w:ascii="宋体" w:hAnsi="宋体"/>
                <w:szCs w:val="21"/>
                <w:highlight w:val="none"/>
              </w:rPr>
              <w:t>保护套易于去除，一旦取下应留有打开过痕迹。</w:t>
            </w:r>
          </w:p>
          <w:p w14:paraId="5F54D6E9">
            <w:pPr>
              <w:jc w:val="left"/>
              <w:rPr>
                <w:rFonts w:ascii="宋体" w:hAnsi="宋体"/>
                <w:szCs w:val="21"/>
                <w:highlight w:val="none"/>
              </w:rPr>
            </w:pPr>
            <w:r>
              <w:rPr>
                <w:rFonts w:hint="eastAsia" w:ascii="宋体" w:hAnsi="宋体"/>
                <w:szCs w:val="21"/>
                <w:highlight w:val="none"/>
              </w:rPr>
              <w:t>采血针与导管连接牢固，能承受沿管轴方向施加20N的拉力15s不松动。</w:t>
            </w:r>
          </w:p>
          <w:p w14:paraId="2CB595E4">
            <w:pPr>
              <w:jc w:val="left"/>
              <w:rPr>
                <w:rFonts w:ascii="宋体" w:hAnsi="宋体"/>
                <w:szCs w:val="21"/>
                <w:highlight w:val="none"/>
              </w:rPr>
            </w:pPr>
            <w:r>
              <w:rPr>
                <w:rFonts w:hint="eastAsia" w:ascii="宋体" w:hAnsi="宋体"/>
                <w:szCs w:val="21"/>
                <w:highlight w:val="none"/>
              </w:rPr>
              <w:t>护针套末端持针柄处为方形，易于持针操作。</w:t>
            </w:r>
          </w:p>
          <w:p w14:paraId="5C898F27">
            <w:pPr>
              <w:jc w:val="left"/>
              <w:rPr>
                <w:rFonts w:ascii="宋体" w:hAnsi="宋体"/>
                <w:szCs w:val="21"/>
                <w:highlight w:val="none"/>
              </w:rPr>
            </w:pPr>
            <w:r>
              <w:rPr>
                <w:rFonts w:hint="eastAsia" w:ascii="宋体" w:hAnsi="宋体"/>
                <w:szCs w:val="21"/>
                <w:highlight w:val="none"/>
              </w:rPr>
              <w:t>8.输血插口：</w:t>
            </w:r>
          </w:p>
          <w:p w14:paraId="1C2810B7">
            <w:pPr>
              <w:jc w:val="left"/>
              <w:rPr>
                <w:rFonts w:ascii="宋体" w:hAnsi="宋体"/>
                <w:szCs w:val="21"/>
                <w:highlight w:val="none"/>
              </w:rPr>
            </w:pPr>
            <w:r>
              <w:rPr>
                <w:rFonts w:hint="eastAsia" w:ascii="宋体" w:hAnsi="宋体"/>
                <w:szCs w:val="21"/>
                <w:highlight w:val="none"/>
              </w:rPr>
              <w:t>采血袋和转移袋有一个输血插口，供插入输血器输注血液或血液成分。</w:t>
            </w:r>
          </w:p>
          <w:p w14:paraId="2C234E1B">
            <w:pPr>
              <w:jc w:val="left"/>
              <w:rPr>
                <w:rFonts w:ascii="宋体" w:hAnsi="宋体"/>
                <w:szCs w:val="21"/>
                <w:highlight w:val="none"/>
              </w:rPr>
            </w:pPr>
            <w:r>
              <w:rPr>
                <w:rFonts w:hint="eastAsia" w:ascii="宋体" w:hAnsi="宋体"/>
                <w:szCs w:val="21"/>
                <w:highlight w:val="none"/>
              </w:rPr>
              <w:t>输血插口有一个可穿刺、刺后不能再密封的隔膜，输血插口能与符合GB8369的输血器连接，且插入处在使用条件下，包括加压排空条件下无泄漏。</w:t>
            </w:r>
          </w:p>
          <w:p w14:paraId="6C7E9F31">
            <w:pPr>
              <w:jc w:val="left"/>
              <w:rPr>
                <w:rFonts w:ascii="宋体" w:hAnsi="宋体"/>
                <w:szCs w:val="21"/>
                <w:highlight w:val="none"/>
              </w:rPr>
            </w:pPr>
            <w:r>
              <w:rPr>
                <w:rFonts w:hint="eastAsia" w:ascii="宋体" w:hAnsi="宋体"/>
                <w:szCs w:val="21"/>
                <w:highlight w:val="none"/>
              </w:rPr>
              <w:t xml:space="preserve"> 输血插口有一个与外界隔绝的、一旦打开即留有痕迹的保护装置，以保持内表面无菌。  </w:t>
            </w:r>
          </w:p>
          <w:p w14:paraId="6E6BFA3A">
            <w:pPr>
              <w:jc w:val="left"/>
              <w:rPr>
                <w:rFonts w:ascii="宋体" w:hAnsi="宋体"/>
                <w:szCs w:val="21"/>
                <w:highlight w:val="none"/>
              </w:rPr>
            </w:pPr>
            <w:r>
              <w:rPr>
                <w:rFonts w:hint="eastAsia" w:ascii="宋体" w:hAnsi="宋体"/>
                <w:szCs w:val="21"/>
                <w:highlight w:val="none"/>
              </w:rPr>
              <w:t>9.内容物：</w:t>
            </w:r>
          </w:p>
          <w:p w14:paraId="5F4D34CA">
            <w:pPr>
              <w:jc w:val="left"/>
              <w:rPr>
                <w:rFonts w:ascii="宋体" w:hAnsi="宋体"/>
                <w:szCs w:val="21"/>
                <w:highlight w:val="none"/>
              </w:rPr>
            </w:pPr>
            <w:r>
              <w:rPr>
                <w:rFonts w:hint="eastAsia" w:ascii="宋体" w:hAnsi="宋体"/>
                <w:szCs w:val="21"/>
                <w:highlight w:val="none"/>
              </w:rPr>
              <w:t>全血抗凝剂用CPDA-1，400ml装量是56ml。</w:t>
            </w:r>
          </w:p>
          <w:p w14:paraId="06CBC2F0">
            <w:pPr>
              <w:jc w:val="left"/>
              <w:rPr>
                <w:rFonts w:ascii="宋体" w:hAnsi="宋体"/>
                <w:szCs w:val="21"/>
                <w:highlight w:val="none"/>
              </w:rPr>
            </w:pPr>
            <w:r>
              <w:rPr>
                <w:rFonts w:hint="eastAsia" w:ascii="宋体" w:hAnsi="宋体"/>
                <w:szCs w:val="21"/>
                <w:highlight w:val="none"/>
              </w:rPr>
              <w:t>红细胞添加液为MAP，400ml装量是100ml。</w:t>
            </w:r>
          </w:p>
          <w:p w14:paraId="46090E14">
            <w:pPr>
              <w:jc w:val="left"/>
              <w:rPr>
                <w:rFonts w:ascii="宋体" w:hAnsi="宋体"/>
                <w:szCs w:val="21"/>
                <w:highlight w:val="none"/>
              </w:rPr>
            </w:pPr>
            <w:r>
              <w:rPr>
                <w:rFonts w:hint="eastAsia" w:ascii="宋体" w:hAnsi="宋体"/>
                <w:szCs w:val="21"/>
                <w:highlight w:val="none"/>
              </w:rPr>
              <w:t>液体无杂质、无霉变粒、无毒变、无浑浊、无渗漏等现象。</w:t>
            </w:r>
          </w:p>
          <w:p w14:paraId="4DA178EC">
            <w:pPr>
              <w:jc w:val="left"/>
              <w:rPr>
                <w:rFonts w:ascii="宋体" w:hAnsi="宋体"/>
                <w:szCs w:val="21"/>
                <w:highlight w:val="none"/>
              </w:rPr>
            </w:pPr>
            <w:r>
              <w:rPr>
                <w:rFonts w:hint="eastAsia" w:ascii="宋体" w:hAnsi="宋体"/>
                <w:szCs w:val="21"/>
                <w:highlight w:val="none"/>
              </w:rPr>
              <w:t>全血抗凝剂、红细胞添加液的量及PH值等参数符合国家规定标准</w:t>
            </w:r>
          </w:p>
          <w:p w14:paraId="6CFF9DF0">
            <w:pPr>
              <w:jc w:val="left"/>
              <w:rPr>
                <w:rFonts w:ascii="宋体" w:hAnsi="宋体"/>
                <w:szCs w:val="21"/>
                <w:highlight w:val="none"/>
              </w:rPr>
            </w:pPr>
            <w:r>
              <w:rPr>
                <w:rFonts w:hint="eastAsia" w:ascii="宋体" w:hAnsi="宋体"/>
                <w:szCs w:val="21"/>
                <w:highlight w:val="none"/>
              </w:rPr>
              <w:t>10.血小板保存期</w:t>
            </w:r>
            <w:r>
              <w:rPr>
                <w:rFonts w:ascii="宋体" w:hAnsi="宋体"/>
                <w:szCs w:val="21"/>
                <w:highlight w:val="none"/>
              </w:rPr>
              <w:t>:</w:t>
            </w:r>
            <w:r>
              <w:rPr>
                <w:rFonts w:hint="eastAsia" w:ascii="宋体" w:hAnsi="宋体"/>
                <w:szCs w:val="21"/>
                <w:highlight w:val="none"/>
              </w:rPr>
              <w:t>22±2℃振荡环境中，血小板的保存时间≤5天。</w:t>
            </w:r>
          </w:p>
          <w:p w14:paraId="36D5DF8F">
            <w:pPr>
              <w:jc w:val="left"/>
              <w:rPr>
                <w:rFonts w:ascii="宋体" w:hAnsi="宋体"/>
                <w:szCs w:val="21"/>
                <w:highlight w:val="none"/>
              </w:rPr>
            </w:pPr>
            <w:r>
              <w:rPr>
                <w:rFonts w:hint="eastAsia" w:ascii="宋体" w:hAnsi="宋体"/>
                <w:szCs w:val="21"/>
                <w:highlight w:val="none"/>
              </w:rPr>
              <w:t>11.编  码:</w:t>
            </w:r>
            <w:r>
              <w:rPr>
                <w:rFonts w:hint="eastAsia" w:ascii="宋体" w:hAnsi="宋体"/>
                <w:szCs w:val="21"/>
                <w:highlight w:val="none"/>
              </w:rPr>
              <w:tab/>
            </w:r>
            <w:r>
              <w:rPr>
                <w:rFonts w:hint="eastAsia" w:ascii="宋体" w:hAnsi="宋体"/>
                <w:szCs w:val="21"/>
                <w:highlight w:val="none"/>
              </w:rPr>
              <w:t>血样标识码采用激光打码，避免了化学油墨打码带给产品潜在的风险。</w:t>
            </w:r>
          </w:p>
          <w:p w14:paraId="39030EC9">
            <w:pPr>
              <w:jc w:val="left"/>
              <w:rPr>
                <w:rFonts w:ascii="宋体" w:hAnsi="宋体"/>
                <w:szCs w:val="21"/>
                <w:highlight w:val="none"/>
              </w:rPr>
            </w:pPr>
            <w:r>
              <w:rPr>
                <w:rFonts w:hint="eastAsia" w:ascii="宋体" w:hAnsi="宋体"/>
                <w:szCs w:val="21"/>
                <w:highlight w:val="none"/>
              </w:rPr>
              <w:t>12.献血前采样装置:</w:t>
            </w:r>
            <w:r>
              <w:rPr>
                <w:rFonts w:hint="eastAsia" w:ascii="宋体" w:hAnsi="宋体"/>
                <w:szCs w:val="21"/>
                <w:highlight w:val="none"/>
              </w:rPr>
              <w:tab/>
            </w:r>
            <w:r>
              <w:rPr>
                <w:rFonts w:hint="eastAsia" w:ascii="宋体" w:hAnsi="宋体"/>
                <w:szCs w:val="21"/>
                <w:highlight w:val="none"/>
              </w:rPr>
              <w:t>配置献血前采样装置，包括一个容量约35mL的采样袋，可通过采样针与各类型真空采血管相连，实现安全采样目的，避免血液污染。</w:t>
            </w:r>
          </w:p>
        </w:tc>
        <w:tc>
          <w:tcPr>
            <w:tcW w:w="475" w:type="pct"/>
            <w:vAlign w:val="center"/>
          </w:tcPr>
          <w:p w14:paraId="1F66A3CB">
            <w:pPr>
              <w:rPr>
                <w:szCs w:val="21"/>
                <w:highlight w:val="none"/>
              </w:rPr>
            </w:pPr>
            <w:r>
              <w:rPr>
                <w:rFonts w:hint="eastAsia"/>
                <w:szCs w:val="21"/>
                <w:highlight w:val="none"/>
              </w:rPr>
              <w:t>3000套</w:t>
            </w:r>
          </w:p>
        </w:tc>
      </w:tr>
    </w:tbl>
    <w:p w14:paraId="05802871">
      <w:pPr>
        <w:spacing w:line="440" w:lineRule="exact"/>
        <w:rPr>
          <w:sz w:val="24"/>
          <w:szCs w:val="24"/>
          <w:highlight w:val="none"/>
        </w:rPr>
      </w:pPr>
    </w:p>
    <w:p w14:paraId="6F64D56C">
      <w:pPr>
        <w:spacing w:line="440" w:lineRule="exact"/>
        <w:rPr>
          <w:b/>
          <w:sz w:val="24"/>
          <w:szCs w:val="24"/>
          <w:highlight w:val="none"/>
        </w:rPr>
      </w:pPr>
    </w:p>
    <w:p w14:paraId="0964D5B4">
      <w:pPr>
        <w:spacing w:line="360" w:lineRule="auto"/>
        <w:rPr>
          <w:rFonts w:ascii="宋体" w:hAnsi="宋体" w:cs="宋体"/>
          <w:b/>
          <w:bCs/>
          <w:kern w:val="0"/>
          <w:sz w:val="24"/>
          <w:szCs w:val="24"/>
          <w:highlight w:val="none"/>
        </w:rPr>
      </w:pPr>
    </w:p>
    <w:p w14:paraId="61BA9299">
      <w:pPr>
        <w:spacing w:line="360" w:lineRule="auto"/>
        <w:rPr>
          <w:rFonts w:ascii="宋体" w:hAnsi="宋体" w:cs="宋体"/>
          <w:b/>
          <w:bCs/>
          <w:kern w:val="0"/>
          <w:sz w:val="24"/>
          <w:szCs w:val="24"/>
          <w:highlight w:val="none"/>
        </w:rPr>
      </w:pPr>
      <w:r>
        <w:rPr>
          <w:rFonts w:hint="eastAsia" w:ascii="宋体" w:hAnsi="宋体" w:cs="宋体"/>
          <w:b/>
          <w:bCs/>
          <w:kern w:val="0"/>
          <w:sz w:val="24"/>
          <w:szCs w:val="24"/>
          <w:highlight w:val="none"/>
        </w:rPr>
        <w:t>三、商务要求</w:t>
      </w:r>
    </w:p>
    <w:p w14:paraId="339486A6">
      <w:pPr>
        <w:pStyle w:val="12"/>
        <w:spacing w:line="440" w:lineRule="exact"/>
        <w:ind w:left="479" w:leftChars="228"/>
        <w:rPr>
          <w:rFonts w:hAnsi="宋体"/>
          <w:sz w:val="24"/>
          <w:szCs w:val="24"/>
          <w:highlight w:val="none"/>
        </w:rPr>
      </w:pPr>
      <w:r>
        <w:rPr>
          <w:rFonts w:hint="eastAsia" w:hAnsi="宋体"/>
          <w:sz w:val="24"/>
          <w:szCs w:val="24"/>
          <w:highlight w:val="none"/>
        </w:rPr>
        <w:t>*1、交货期：接到订单通知后10个工作日内。</w:t>
      </w:r>
    </w:p>
    <w:p w14:paraId="22E05792">
      <w:pPr>
        <w:pStyle w:val="12"/>
        <w:spacing w:line="440" w:lineRule="exact"/>
        <w:ind w:left="479" w:leftChars="228"/>
        <w:rPr>
          <w:rFonts w:hAnsi="宋体"/>
          <w:sz w:val="24"/>
          <w:szCs w:val="24"/>
          <w:highlight w:val="none"/>
        </w:rPr>
      </w:pPr>
      <w:r>
        <w:rPr>
          <w:rFonts w:hint="eastAsia" w:hAnsi="宋体"/>
          <w:sz w:val="24"/>
          <w:szCs w:val="24"/>
          <w:highlight w:val="none"/>
        </w:rPr>
        <w:t>*2、交货地点：咸阳市中心血站指定地点。</w:t>
      </w:r>
    </w:p>
    <w:p w14:paraId="66783F15">
      <w:pPr>
        <w:pStyle w:val="12"/>
        <w:spacing w:line="440" w:lineRule="exact"/>
        <w:ind w:left="479" w:leftChars="228"/>
        <w:rPr>
          <w:rFonts w:hAnsi="宋体"/>
          <w:sz w:val="24"/>
          <w:szCs w:val="24"/>
          <w:highlight w:val="none"/>
        </w:rPr>
      </w:pPr>
    </w:p>
    <w:p w14:paraId="1A2C5CDB">
      <w:pPr>
        <w:pStyle w:val="12"/>
        <w:spacing w:line="440" w:lineRule="exact"/>
        <w:rPr>
          <w:sz w:val="24"/>
          <w:highlight w:val="none"/>
        </w:rPr>
      </w:pPr>
    </w:p>
    <w:p w14:paraId="0C2905A6">
      <w:pPr>
        <w:pStyle w:val="12"/>
        <w:spacing w:line="440" w:lineRule="exact"/>
        <w:rPr>
          <w:sz w:val="24"/>
          <w:highlight w:val="none"/>
        </w:rPr>
      </w:pPr>
    </w:p>
    <w:p w14:paraId="61EEACB9">
      <w:pPr>
        <w:pStyle w:val="12"/>
        <w:spacing w:line="440" w:lineRule="exact"/>
        <w:ind w:left="480" w:hanging="480" w:hangingChars="200"/>
        <w:rPr>
          <w:sz w:val="24"/>
          <w:highlight w:val="none"/>
        </w:rPr>
      </w:pPr>
      <w:r>
        <w:rPr>
          <w:rFonts w:hint="eastAsia"/>
          <w:sz w:val="24"/>
          <w:highlight w:val="none"/>
        </w:rPr>
        <w:t>注：“</w:t>
      </w:r>
      <w:r>
        <w:rPr>
          <w:rFonts w:hint="eastAsia"/>
          <w:b/>
          <w:sz w:val="24"/>
          <w:highlight w:val="none"/>
        </w:rPr>
        <w:t>*</w:t>
      </w:r>
      <w:r>
        <w:rPr>
          <w:rFonts w:hint="eastAsia"/>
          <w:sz w:val="24"/>
          <w:highlight w:val="none"/>
        </w:rPr>
        <w:t>”</w:t>
      </w:r>
      <w:r>
        <w:rPr>
          <w:rFonts w:hint="eastAsia" w:hAnsi="宋体"/>
          <w:sz w:val="24"/>
          <w:szCs w:val="24"/>
          <w:highlight w:val="none"/>
        </w:rPr>
        <w:t>号标记的条款为技术和商务的实质性要求和条件，若偏离则为无效投标。</w:t>
      </w:r>
    </w:p>
    <w:p w14:paraId="32732A30">
      <w:pPr>
        <w:rPr>
          <w:rFonts w:ascii="宋体" w:hAnsi="宋体"/>
          <w:b/>
          <w:sz w:val="36"/>
          <w:szCs w:val="36"/>
          <w:highlight w:val="none"/>
        </w:rPr>
      </w:pPr>
      <w:r>
        <w:rPr>
          <w:rFonts w:ascii="宋体" w:hAnsi="宋体"/>
          <w:b/>
          <w:sz w:val="36"/>
          <w:szCs w:val="36"/>
          <w:highlight w:val="none"/>
        </w:rPr>
        <w:br w:type="page"/>
      </w:r>
    </w:p>
    <w:p w14:paraId="1013BAC3">
      <w:pPr>
        <w:rPr>
          <w:rFonts w:ascii="宋体" w:hAnsi="宋体"/>
          <w:b/>
          <w:sz w:val="44"/>
          <w:szCs w:val="44"/>
          <w:highlight w:val="none"/>
        </w:rPr>
      </w:pPr>
      <w:bookmarkStart w:id="8" w:name="_Toc1000"/>
    </w:p>
    <w:p w14:paraId="4DA812DB">
      <w:pPr>
        <w:jc w:val="center"/>
        <w:outlineLvl w:val="0"/>
        <w:rPr>
          <w:rFonts w:ascii="宋体" w:hAnsi="宋体"/>
          <w:b/>
          <w:sz w:val="44"/>
          <w:szCs w:val="44"/>
          <w:highlight w:val="none"/>
        </w:rPr>
      </w:pPr>
      <w:r>
        <w:rPr>
          <w:rFonts w:hint="eastAsia" w:ascii="宋体" w:hAnsi="宋体"/>
          <w:b/>
          <w:sz w:val="44"/>
          <w:szCs w:val="44"/>
          <w:highlight w:val="none"/>
        </w:rPr>
        <w:t>第五章 评标方法</w:t>
      </w:r>
      <w:bookmarkEnd w:id="8"/>
    </w:p>
    <w:p w14:paraId="6BC6B010">
      <w:pPr>
        <w:spacing w:line="350" w:lineRule="exact"/>
        <w:rPr>
          <w:rFonts w:ascii="宋体" w:hAnsi="宋体"/>
          <w:b/>
          <w:spacing w:val="4"/>
          <w:sz w:val="24"/>
          <w:highlight w:val="none"/>
        </w:rPr>
      </w:pPr>
    </w:p>
    <w:p w14:paraId="4B5C2C54">
      <w:pPr>
        <w:spacing w:line="360" w:lineRule="auto"/>
        <w:rPr>
          <w:rFonts w:ascii="宋体" w:hAnsi="宋体"/>
          <w:b/>
          <w:color w:val="FFFFFF"/>
          <w:spacing w:val="4"/>
          <w:sz w:val="24"/>
          <w:highlight w:val="none"/>
        </w:rPr>
      </w:pPr>
      <w:r>
        <w:rPr>
          <w:rFonts w:hint="eastAsia" w:ascii="宋体" w:hAnsi="宋体"/>
          <w:b/>
          <w:spacing w:val="4"/>
          <w:sz w:val="24"/>
          <w:highlight w:val="none"/>
        </w:rPr>
        <w:t>一．评标方法</w:t>
      </w:r>
    </w:p>
    <w:p w14:paraId="4EF41DBB">
      <w:pPr>
        <w:spacing w:line="360" w:lineRule="auto"/>
        <w:ind w:firstLine="480" w:firstLineChars="200"/>
        <w:rPr>
          <w:rFonts w:ascii="宋体" w:hAnsi="宋体"/>
          <w:spacing w:val="4"/>
          <w:sz w:val="24"/>
          <w:highlight w:val="none"/>
        </w:rPr>
      </w:pPr>
      <w:r>
        <w:rPr>
          <w:rFonts w:ascii="宋体" w:hAnsi="宋体"/>
          <w:sz w:val="24"/>
          <w:szCs w:val="24"/>
          <w:highlight w:val="none"/>
        </w:rPr>
        <w:t>按照《中华人民共和国政府采购法》</w:t>
      </w:r>
      <w:r>
        <w:rPr>
          <w:rFonts w:hint="eastAsia" w:ascii="宋体" w:hAnsi="宋体"/>
          <w:sz w:val="24"/>
          <w:szCs w:val="24"/>
          <w:highlight w:val="none"/>
        </w:rPr>
        <w:t>﹝2002﹞第68号、《中华人民共和国政府采购法实施条例》﹝2015﹞第658号</w:t>
      </w:r>
      <w:r>
        <w:rPr>
          <w:rFonts w:ascii="宋体" w:hAnsi="宋体"/>
          <w:sz w:val="24"/>
          <w:szCs w:val="24"/>
          <w:highlight w:val="none"/>
        </w:rPr>
        <w:t>和《政府采购服务和服务招标投标管理办法》</w:t>
      </w:r>
      <w:r>
        <w:rPr>
          <w:rFonts w:hint="eastAsia" w:ascii="宋体" w:hAnsi="宋体"/>
          <w:sz w:val="24"/>
          <w:szCs w:val="24"/>
          <w:highlight w:val="none"/>
        </w:rPr>
        <w:t>﹝2017﹞</w:t>
      </w:r>
      <w:r>
        <w:rPr>
          <w:rFonts w:ascii="宋体" w:hAnsi="宋体"/>
          <w:sz w:val="24"/>
          <w:szCs w:val="24"/>
          <w:highlight w:val="none"/>
        </w:rPr>
        <w:t>第</w:t>
      </w:r>
      <w:r>
        <w:rPr>
          <w:rFonts w:hint="eastAsia" w:ascii="宋体" w:hAnsi="宋体"/>
          <w:sz w:val="24"/>
          <w:szCs w:val="24"/>
          <w:highlight w:val="none"/>
        </w:rPr>
        <w:t>87</w:t>
      </w:r>
      <w:r>
        <w:rPr>
          <w:rFonts w:ascii="宋体" w:hAnsi="宋体"/>
          <w:sz w:val="24"/>
          <w:szCs w:val="24"/>
          <w:highlight w:val="none"/>
        </w:rPr>
        <w:t>号</w:t>
      </w:r>
      <w:r>
        <w:rPr>
          <w:rFonts w:hint="eastAsia" w:ascii="宋体" w:hAnsi="宋体"/>
          <w:sz w:val="24"/>
          <w:szCs w:val="24"/>
          <w:highlight w:val="none"/>
        </w:rPr>
        <w:t>等</w:t>
      </w:r>
      <w:r>
        <w:rPr>
          <w:rFonts w:ascii="宋体" w:hAnsi="宋体"/>
          <w:sz w:val="24"/>
          <w:szCs w:val="24"/>
          <w:highlight w:val="none"/>
        </w:rPr>
        <w:t>规定，</w:t>
      </w:r>
      <w:r>
        <w:rPr>
          <w:rFonts w:hint="eastAsia" w:ascii="宋体" w:hAnsi="宋体"/>
          <w:spacing w:val="4"/>
          <w:sz w:val="24"/>
          <w:highlight w:val="none"/>
        </w:rPr>
        <w:t>本次评标采用</w:t>
      </w:r>
      <w:r>
        <w:rPr>
          <w:rFonts w:hint="eastAsia" w:ascii="宋体" w:hAnsi="宋体"/>
          <w:b/>
          <w:spacing w:val="4"/>
          <w:sz w:val="24"/>
          <w:highlight w:val="none"/>
        </w:rPr>
        <w:t>综合评分法，</w:t>
      </w:r>
      <w:r>
        <w:rPr>
          <w:rFonts w:hint="eastAsia" w:ascii="宋体" w:hAnsi="宋体" w:cs="宋体"/>
          <w:kern w:val="0"/>
          <w:sz w:val="24"/>
          <w:szCs w:val="24"/>
          <w:highlight w:val="none"/>
        </w:rPr>
        <w:t>投标文件满足招标文件全部实质性要求，且按照评审因素的量化指标评审得分最高的投标人为第一中标候选人。</w:t>
      </w:r>
    </w:p>
    <w:p w14:paraId="54779E7E">
      <w:pPr>
        <w:spacing w:line="360" w:lineRule="auto"/>
        <w:rPr>
          <w:rFonts w:ascii="宋体" w:hAnsi="宋体"/>
          <w:b/>
          <w:color w:val="FFFFFF"/>
          <w:spacing w:val="4"/>
          <w:sz w:val="24"/>
          <w:highlight w:val="none"/>
        </w:rPr>
      </w:pPr>
      <w:r>
        <w:rPr>
          <w:rFonts w:hint="eastAsia" w:ascii="宋体" w:hAnsi="宋体"/>
          <w:b/>
          <w:spacing w:val="4"/>
          <w:sz w:val="24"/>
          <w:highlight w:val="none"/>
        </w:rPr>
        <w:t>二．评标委员会负责具体评标事务，并独立履行下列职责：</w:t>
      </w:r>
    </w:p>
    <w:p w14:paraId="48CC3E81">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（一）审查、评价投标文件是否符合招标文件的商务、技术等实质性要求；</w:t>
      </w:r>
    </w:p>
    <w:p w14:paraId="557B5AC0">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（二）要求投标人对投标文件有关事项作出澄清或者说明；</w:t>
      </w:r>
    </w:p>
    <w:p w14:paraId="23B307E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（三）对投标文件进行比较和评价；</w:t>
      </w:r>
    </w:p>
    <w:p w14:paraId="5B815AF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（四）确定中标候选人名单，以及根据采购人委托直接确定中标人；</w:t>
      </w:r>
    </w:p>
    <w:p w14:paraId="41C1B652">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（五）向采购人、采购代理机构或者有关部门报告评标中发现的违法行为。</w:t>
      </w:r>
    </w:p>
    <w:p w14:paraId="09030D80">
      <w:pPr>
        <w:spacing w:line="360" w:lineRule="auto"/>
        <w:rPr>
          <w:rFonts w:ascii="宋体" w:hAnsi="宋体"/>
          <w:b/>
          <w:spacing w:val="4"/>
          <w:sz w:val="24"/>
          <w:highlight w:val="none"/>
        </w:rPr>
      </w:pPr>
      <w:r>
        <w:rPr>
          <w:rFonts w:hint="eastAsia" w:ascii="宋体" w:hAnsi="宋体"/>
          <w:b/>
          <w:spacing w:val="4"/>
          <w:sz w:val="24"/>
          <w:highlight w:val="none"/>
        </w:rPr>
        <w:t>三.投标人存在下列情况之一的，投标无效:</w:t>
      </w:r>
    </w:p>
    <w:p w14:paraId="70863730">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（一）未按照招标文件的规定提交投标保证金的；</w:t>
      </w:r>
    </w:p>
    <w:p w14:paraId="11315871">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（二）投标文件未按招标文件要求签署、盖章的；</w:t>
      </w:r>
    </w:p>
    <w:p w14:paraId="060FA0C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（三）不具备招标文件中规定的资格要求的；</w:t>
      </w:r>
    </w:p>
    <w:p w14:paraId="0F5D2599">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（四）报价超过招标文件中规定的预算金额或者最高限价的；</w:t>
      </w:r>
    </w:p>
    <w:p w14:paraId="1A9F6F3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（五）投标文件含有采购人不能接受的附加条件的；</w:t>
      </w:r>
    </w:p>
    <w:p w14:paraId="4501E40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（六）单位负责人为同一人或者存在直接控股、管理关系的不同供应商，参加本项目同一合同项下的投标的；</w:t>
      </w:r>
    </w:p>
    <w:p w14:paraId="70E6C7F8">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（七）为本采购项目提供整体设计、规范编制或者项目管理、监理、检测等服务的供应商，参加本采购项目投标的；</w:t>
      </w:r>
    </w:p>
    <w:p w14:paraId="06FE673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（八）提供虚假投标文件和资料的。</w:t>
      </w:r>
    </w:p>
    <w:p w14:paraId="02DE71DE">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（九）法律、法规和招标文件规定的其他无效情形；</w:t>
      </w:r>
    </w:p>
    <w:p w14:paraId="59B01A66">
      <w:pPr>
        <w:spacing w:line="360" w:lineRule="auto"/>
        <w:rPr>
          <w:rFonts w:ascii="宋体" w:hAnsi="宋体"/>
          <w:b/>
          <w:spacing w:val="4"/>
          <w:sz w:val="24"/>
          <w:highlight w:val="none"/>
        </w:rPr>
      </w:pPr>
      <w:r>
        <w:rPr>
          <w:rFonts w:hint="eastAsia" w:ascii="宋体" w:hAnsi="宋体"/>
          <w:b/>
          <w:spacing w:val="4"/>
          <w:sz w:val="24"/>
          <w:highlight w:val="none"/>
        </w:rPr>
        <w:t>四.投标人有下列情形之一的，视为投标人串通投标，其投标无效：</w:t>
      </w:r>
    </w:p>
    <w:p w14:paraId="44911178">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（一）不同投标人的投标文件由同一单位或者个人编制；</w:t>
      </w:r>
    </w:p>
    <w:p w14:paraId="48B7075F">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（二）不同投标人委托同一单位或者个人办理投标事宜；</w:t>
      </w:r>
    </w:p>
    <w:p w14:paraId="607197E1">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（三）不同投标人的投标文件载明的项目管理成员或者联系人员为同一人；</w:t>
      </w:r>
    </w:p>
    <w:p w14:paraId="5392B62F">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（四）不同投标人的投标文件异常一致或者投标报价呈规律性差异；</w:t>
      </w:r>
    </w:p>
    <w:p w14:paraId="3B27D280">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（五）不同投标人的投标文件相互混装；</w:t>
      </w:r>
    </w:p>
    <w:p w14:paraId="52FFD639">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（六）不同投标人的投标保证金从同一单位或者个人的账户转出。</w:t>
      </w:r>
    </w:p>
    <w:p w14:paraId="377AF42D">
      <w:pPr>
        <w:spacing w:line="360" w:lineRule="auto"/>
        <w:rPr>
          <w:rFonts w:ascii="宋体" w:hAnsi="宋体"/>
          <w:b/>
          <w:spacing w:val="4"/>
          <w:sz w:val="24"/>
          <w:highlight w:val="none"/>
        </w:rPr>
      </w:pPr>
      <w:r>
        <w:rPr>
          <w:rFonts w:hint="eastAsia" w:ascii="宋体" w:hAnsi="宋体"/>
          <w:b/>
          <w:spacing w:val="4"/>
          <w:sz w:val="24"/>
          <w:highlight w:val="none"/>
        </w:rPr>
        <w:t>三. 评标程序</w:t>
      </w:r>
    </w:p>
    <w:p w14:paraId="58404AE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1、投标文件的审查</w:t>
      </w:r>
    </w:p>
    <w:p w14:paraId="30743B69">
      <w:pPr>
        <w:spacing w:line="360" w:lineRule="auto"/>
        <w:ind w:firstLine="480" w:firstLineChars="200"/>
        <w:rPr>
          <w:rFonts w:ascii="宋体" w:hAnsi="宋体"/>
          <w:sz w:val="24"/>
          <w:szCs w:val="24"/>
          <w:highlight w:val="none"/>
        </w:rPr>
      </w:pPr>
      <w:r>
        <w:rPr>
          <w:rFonts w:hint="eastAsia" w:ascii="宋体" w:hAnsi="宋体"/>
          <w:sz w:val="24"/>
          <w:szCs w:val="24"/>
          <w:highlight w:val="none"/>
        </w:rPr>
        <w:t>审查分为资格性检查和符合性检查。分别按照以下内容对投标文件进行检查，一项不合格即按照无效响应处理。</w:t>
      </w:r>
    </w:p>
    <w:p w14:paraId="15F43D17">
      <w:pPr>
        <w:spacing w:line="360" w:lineRule="auto"/>
        <w:ind w:firstLine="480" w:firstLineChars="200"/>
        <w:rPr>
          <w:rFonts w:ascii="宋体" w:hAnsi="宋体"/>
          <w:sz w:val="24"/>
          <w:szCs w:val="24"/>
          <w:highlight w:val="none"/>
        </w:rPr>
      </w:pPr>
      <w:r>
        <w:rPr>
          <w:rFonts w:hint="eastAsia" w:ascii="宋体" w:hAnsi="宋体"/>
          <w:sz w:val="24"/>
          <w:szCs w:val="24"/>
          <w:highlight w:val="none"/>
        </w:rPr>
        <w:t>投标文件审查合格的为实质性响应招标文件要求的供应商。</w:t>
      </w:r>
    </w:p>
    <w:p w14:paraId="3FFDCB34">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1.1资格性检查：</w:t>
      </w:r>
    </w:p>
    <w:p w14:paraId="5E558CC9">
      <w:pPr>
        <w:spacing w:line="360" w:lineRule="auto"/>
        <w:ind w:firstLine="480" w:firstLineChars="200"/>
        <w:rPr>
          <w:rFonts w:ascii="宋体" w:hAnsi="宋体"/>
          <w:sz w:val="24"/>
          <w:szCs w:val="24"/>
          <w:highlight w:val="none"/>
        </w:rPr>
      </w:pPr>
      <w:r>
        <w:rPr>
          <w:rFonts w:hint="eastAsia" w:ascii="宋体" w:hAnsi="宋体"/>
          <w:sz w:val="24"/>
          <w:szCs w:val="24"/>
          <w:highlight w:val="none"/>
        </w:rPr>
        <w:t>1.1.1提供的资格证明文件是否符合国家法律法规和招标文件的要求，并且齐全、真实、有效。</w:t>
      </w:r>
    </w:p>
    <w:p w14:paraId="3C6918BF">
      <w:pPr>
        <w:spacing w:line="360" w:lineRule="auto"/>
        <w:ind w:firstLine="480" w:firstLineChars="200"/>
        <w:rPr>
          <w:rFonts w:ascii="宋体" w:hAnsi="宋体"/>
          <w:sz w:val="24"/>
          <w:szCs w:val="24"/>
          <w:highlight w:val="none"/>
        </w:rPr>
      </w:pPr>
      <w:r>
        <w:rPr>
          <w:rFonts w:hint="eastAsia" w:ascii="宋体" w:hAnsi="宋体"/>
          <w:sz w:val="24"/>
          <w:szCs w:val="24"/>
          <w:highlight w:val="none"/>
        </w:rPr>
        <w:t>1.1.2在 “信用中国”网站（www.creditchina.gov.cn）和“中国政府采购网”（www.ccgp.gov.cn）对供应商信用信息进行查询，如果供应商被查实在谈判截止时间前已列入失信被执行人、重大税收违法失信主体、政府采购严重违法失信行为记录名单，其投标为无效。</w:t>
      </w:r>
    </w:p>
    <w:p w14:paraId="7996E762">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1.2符合性检查：</w:t>
      </w:r>
    </w:p>
    <w:p w14:paraId="33B944A4">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1.2.1评标委员会对符合资格的投标人的投标文件进行符合性（完整性、有效性及响应性）审查，以确定其是否满足招标文件的商务、技术等实质性要求。</w:t>
      </w:r>
    </w:p>
    <w:p w14:paraId="1A1800F7">
      <w:pPr>
        <w:spacing w:line="360" w:lineRule="auto"/>
        <w:ind w:left="1" w:firstLine="480" w:firstLineChars="200"/>
        <w:rPr>
          <w:rFonts w:ascii="宋体" w:hAnsi="宋体"/>
          <w:spacing w:val="4"/>
          <w:sz w:val="24"/>
          <w:szCs w:val="24"/>
          <w:highlight w:val="none"/>
        </w:rPr>
      </w:pPr>
      <w:r>
        <w:rPr>
          <w:rFonts w:hint="eastAsia" w:ascii="宋体" w:hAnsi="宋体"/>
          <w:sz w:val="24"/>
          <w:szCs w:val="24"/>
          <w:highlight w:val="none"/>
        </w:rPr>
        <w:t>1.2.1.1</w:t>
      </w:r>
      <w:r>
        <w:rPr>
          <w:rFonts w:hint="eastAsia" w:ascii="宋体" w:hAnsi="宋体" w:cs="宋体"/>
          <w:kern w:val="0"/>
          <w:sz w:val="24"/>
          <w:szCs w:val="24"/>
          <w:highlight w:val="none"/>
        </w:rPr>
        <w:t>投标文件</w:t>
      </w:r>
      <w:r>
        <w:rPr>
          <w:rFonts w:hint="eastAsia" w:ascii="宋体" w:hAnsi="宋体"/>
          <w:spacing w:val="4"/>
          <w:sz w:val="24"/>
          <w:szCs w:val="24"/>
          <w:highlight w:val="none"/>
        </w:rPr>
        <w:t>的完整性审查。</w:t>
      </w:r>
    </w:p>
    <w:p w14:paraId="5B7679A4">
      <w:pPr>
        <w:spacing w:line="360" w:lineRule="auto"/>
        <w:ind w:firstLine="496" w:firstLineChars="200"/>
        <w:rPr>
          <w:rFonts w:ascii="宋体" w:hAnsi="宋体"/>
          <w:spacing w:val="4"/>
          <w:sz w:val="24"/>
          <w:szCs w:val="24"/>
          <w:highlight w:val="none"/>
        </w:rPr>
      </w:pPr>
      <w:r>
        <w:rPr>
          <w:rFonts w:hint="eastAsia" w:ascii="宋体" w:hAnsi="宋体"/>
          <w:spacing w:val="4"/>
          <w:sz w:val="24"/>
          <w:szCs w:val="24"/>
          <w:highlight w:val="none"/>
        </w:rPr>
        <w:t>1.2.1.1.1</w:t>
      </w:r>
      <w:r>
        <w:rPr>
          <w:rFonts w:hint="eastAsia" w:ascii="宋体" w:hAnsi="宋体" w:cs="宋体"/>
          <w:kern w:val="0"/>
          <w:sz w:val="24"/>
          <w:szCs w:val="24"/>
          <w:highlight w:val="none"/>
        </w:rPr>
        <w:t>投标文件</w:t>
      </w:r>
      <w:r>
        <w:rPr>
          <w:rFonts w:hint="eastAsia" w:ascii="宋体" w:hAnsi="宋体"/>
          <w:spacing w:val="4"/>
          <w:sz w:val="24"/>
          <w:szCs w:val="24"/>
          <w:highlight w:val="none"/>
        </w:rPr>
        <w:t>是否按照招标文件要求的格式编写；</w:t>
      </w:r>
    </w:p>
    <w:p w14:paraId="3364BA1B">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1.2.1.1.2</w:t>
      </w:r>
      <w:r>
        <w:rPr>
          <w:rFonts w:hint="eastAsia" w:ascii="宋体" w:hAnsi="宋体" w:cs="宋体"/>
          <w:kern w:val="0"/>
          <w:sz w:val="24"/>
          <w:szCs w:val="24"/>
          <w:highlight w:val="none"/>
        </w:rPr>
        <w:t>投标文件</w:t>
      </w:r>
      <w:r>
        <w:rPr>
          <w:rFonts w:hint="eastAsia" w:ascii="宋体" w:hAnsi="宋体"/>
          <w:spacing w:val="4"/>
          <w:sz w:val="24"/>
          <w:szCs w:val="24"/>
          <w:highlight w:val="none"/>
        </w:rPr>
        <w:t xml:space="preserve">内容是否有重大缺漏项。 </w:t>
      </w:r>
    </w:p>
    <w:p w14:paraId="043BE600">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1）是否按招标文件要求完整报价、无缺漏项；</w:t>
      </w:r>
    </w:p>
    <w:p w14:paraId="1A3DF476">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2）投标文件构成是否完整，即是否按招标文件要求提供了完整的投标</w:t>
      </w:r>
    </w:p>
    <w:p w14:paraId="1CBF8189">
      <w:pPr>
        <w:spacing w:line="360" w:lineRule="auto"/>
        <w:rPr>
          <w:rFonts w:ascii="宋体" w:hAnsi="宋体"/>
          <w:spacing w:val="4"/>
          <w:sz w:val="24"/>
          <w:szCs w:val="24"/>
          <w:highlight w:val="none"/>
        </w:rPr>
      </w:pPr>
      <w:r>
        <w:rPr>
          <w:rFonts w:hint="eastAsia" w:ascii="宋体" w:hAnsi="宋体"/>
          <w:spacing w:val="4"/>
          <w:sz w:val="24"/>
          <w:szCs w:val="24"/>
          <w:highlight w:val="none"/>
        </w:rPr>
        <w:t>文件。</w:t>
      </w:r>
    </w:p>
    <w:p w14:paraId="22A8AF64">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w:t>
      </w:r>
      <w:r>
        <w:rPr>
          <w:rFonts w:hint="eastAsia" w:ascii="宋体" w:hAnsi="宋体" w:cs="宋体"/>
          <w:kern w:val="0"/>
          <w:sz w:val="24"/>
          <w:szCs w:val="24"/>
          <w:highlight w:val="none"/>
        </w:rPr>
        <w:t>投标文件</w:t>
      </w:r>
      <w:r>
        <w:rPr>
          <w:rFonts w:hint="eastAsia" w:ascii="宋体" w:hAnsi="宋体"/>
          <w:spacing w:val="4"/>
          <w:sz w:val="24"/>
          <w:szCs w:val="24"/>
          <w:highlight w:val="none"/>
        </w:rPr>
        <w:t>的有效性审查。</w:t>
      </w:r>
    </w:p>
    <w:p w14:paraId="4C24A437">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1.2.1.2.1</w:t>
      </w:r>
      <w:r>
        <w:rPr>
          <w:rFonts w:hint="eastAsia" w:ascii="宋体" w:hAnsi="宋体" w:cs="宋体"/>
          <w:kern w:val="0"/>
          <w:sz w:val="24"/>
          <w:szCs w:val="24"/>
          <w:highlight w:val="none"/>
        </w:rPr>
        <w:t>投标文件</w:t>
      </w:r>
      <w:r>
        <w:rPr>
          <w:rFonts w:hint="eastAsia" w:ascii="宋体" w:hAnsi="宋体"/>
          <w:spacing w:val="4"/>
          <w:sz w:val="24"/>
          <w:szCs w:val="24"/>
          <w:highlight w:val="none"/>
        </w:rPr>
        <w:t>的签署、加盖印章是否有效；提供的各种证明文件、数据、资料是否有效。</w:t>
      </w:r>
    </w:p>
    <w:p w14:paraId="4A9635D6">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w:t>
      </w:r>
      <w:r>
        <w:rPr>
          <w:rFonts w:hint="eastAsia" w:ascii="宋体" w:hAnsi="宋体" w:cs="宋体"/>
          <w:kern w:val="0"/>
          <w:sz w:val="24"/>
          <w:szCs w:val="24"/>
          <w:highlight w:val="none"/>
        </w:rPr>
        <w:t>投标文件</w:t>
      </w:r>
      <w:r>
        <w:rPr>
          <w:rFonts w:hint="eastAsia" w:ascii="宋体" w:hAnsi="宋体"/>
          <w:spacing w:val="4"/>
          <w:sz w:val="24"/>
          <w:szCs w:val="24"/>
          <w:highlight w:val="none"/>
        </w:rPr>
        <w:t>的响应性审查。</w:t>
      </w:r>
    </w:p>
    <w:p w14:paraId="04576294">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1.2.1.3.1</w:t>
      </w:r>
      <w:r>
        <w:rPr>
          <w:rFonts w:hint="eastAsia" w:ascii="宋体" w:hAnsi="宋体" w:cs="宋体"/>
          <w:kern w:val="0"/>
          <w:sz w:val="24"/>
          <w:szCs w:val="24"/>
          <w:highlight w:val="none"/>
        </w:rPr>
        <w:t>投标</w:t>
      </w:r>
      <w:r>
        <w:rPr>
          <w:rFonts w:hint="eastAsia" w:ascii="宋体" w:hAnsi="宋体"/>
          <w:spacing w:val="4"/>
          <w:sz w:val="24"/>
          <w:szCs w:val="24"/>
          <w:highlight w:val="none"/>
        </w:rPr>
        <w:t>报价是否超过采购预算；是否存在异常低价，涉嫌不正当竞争；</w:t>
      </w:r>
    </w:p>
    <w:p w14:paraId="58DB1E9B">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1.2.1.3.2投标报价有效期是否符合招标文件的要求；</w:t>
      </w:r>
    </w:p>
    <w:p w14:paraId="7B08C690">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1.2.1.3.3</w:t>
      </w:r>
      <w:r>
        <w:rPr>
          <w:rFonts w:hint="eastAsia" w:ascii="宋体" w:hAnsi="宋体" w:cs="宋体"/>
          <w:kern w:val="0"/>
          <w:sz w:val="24"/>
          <w:szCs w:val="24"/>
          <w:highlight w:val="none"/>
        </w:rPr>
        <w:t>投标文件</w:t>
      </w:r>
      <w:r>
        <w:rPr>
          <w:rFonts w:hint="eastAsia" w:ascii="宋体" w:hAnsi="宋体"/>
          <w:spacing w:val="4"/>
          <w:sz w:val="24"/>
          <w:szCs w:val="24"/>
          <w:highlight w:val="none"/>
        </w:rPr>
        <w:t>内容是否符合国家法律法规，没有重大偏离；</w:t>
      </w:r>
    </w:p>
    <w:p w14:paraId="7C122A5E">
      <w:pPr>
        <w:spacing w:line="360" w:lineRule="auto"/>
        <w:ind w:left="975" w:leftChars="228" w:hanging="496" w:hangingChars="200"/>
        <w:rPr>
          <w:rFonts w:ascii="宋体" w:hAnsi="宋体"/>
          <w:spacing w:val="4"/>
          <w:sz w:val="24"/>
          <w:szCs w:val="24"/>
          <w:highlight w:val="none"/>
        </w:rPr>
      </w:pPr>
      <w:r>
        <w:rPr>
          <w:rFonts w:hint="eastAsia" w:ascii="宋体" w:hAnsi="宋体"/>
          <w:spacing w:val="4"/>
          <w:sz w:val="24"/>
          <w:szCs w:val="24"/>
          <w:highlight w:val="none"/>
        </w:rPr>
        <w:t>1.2.1.3.4对招标文件中规定的要求是否做出了实质性响应。</w:t>
      </w:r>
    </w:p>
    <w:p w14:paraId="212FDC12">
      <w:pPr>
        <w:spacing w:line="360" w:lineRule="auto"/>
        <w:ind w:left="959" w:leftChars="228" w:hanging="480" w:hangingChars="200"/>
        <w:rPr>
          <w:rFonts w:ascii="宋体" w:hAnsi="宋体" w:cs="宋体"/>
          <w:kern w:val="0"/>
          <w:sz w:val="24"/>
          <w:szCs w:val="24"/>
          <w:highlight w:val="none"/>
        </w:rPr>
      </w:pPr>
      <w:r>
        <w:rPr>
          <w:rFonts w:hint="eastAsia" w:ascii="宋体" w:hAnsi="宋体" w:cs="宋体"/>
          <w:kern w:val="0"/>
          <w:sz w:val="24"/>
          <w:szCs w:val="24"/>
          <w:highlight w:val="none"/>
        </w:rPr>
        <w:t>1.3评委会对异常低价的审查：</w:t>
      </w:r>
    </w:p>
    <w:p w14:paraId="4AB6D664">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w:t>
      </w:r>
    </w:p>
    <w:p w14:paraId="02F5F4E2">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 政府采购评审中出现下列情形之一的，评审委员会应当启动异常低价投标(响应)审查程序：</w:t>
      </w:r>
    </w:p>
    <w:p w14:paraId="39E82AEB">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1.3.1.1 投标(响应)报价低于全部通过符合性审查供应商投标(响应)报价平均值50%的，即 投标(响应)报价&lt;全部通过符合性审查供应商投标(响应)报价平均值×50%;</w:t>
      </w:r>
    </w:p>
    <w:p w14:paraId="2E3A6054">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1.3.1.2 投标(响应)报价低于通过符合性审查的次低报价供应商投标(响应)报价50%的，即</w:t>
      </w:r>
    </w:p>
    <w:p w14:paraId="382828BE">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投标(响应)报价&lt;通过符合性审查的次低报价供应商投标(响应)报价×50%;</w:t>
      </w:r>
    </w:p>
    <w:p w14:paraId="7BB1EE24">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1.3.1.3 投标(响应)报价低于采购项目最高限价45%的，即投标(响应)报价&lt;采购项目最高 限价×45%;</w:t>
      </w:r>
    </w:p>
    <w:p w14:paraId="214A5237">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1.3.1.4 评审委员会基于专业判断，认为供应商报价过低，有可能影响产品质量或者不能诚信 履约的其他情形。</w:t>
      </w:r>
    </w:p>
    <w:p w14:paraId="7DFF2955">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w:t>
      </w:r>
    </w:p>
    <w:p w14:paraId="5D65DCDE">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67953B4A">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2、相同品牌产品投标的处理：</w:t>
      </w:r>
    </w:p>
    <w:p w14:paraId="526F059B">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21239CB0">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4683477E">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2.3非单一产品采购项目，在第六章“招标内容一览表”中载明核心产品，核心产品允许有多个，不同供应商提供了任意一个相同品牌的核心产品，即视为提供相同品牌的供应商，按以上规定处理。</w:t>
      </w:r>
    </w:p>
    <w:p w14:paraId="0090DD97">
      <w:pPr>
        <w:spacing w:line="360" w:lineRule="auto"/>
        <w:ind w:left="1103" w:leftChars="171" w:hanging="744" w:hangingChars="300"/>
        <w:rPr>
          <w:rFonts w:ascii="宋体" w:hAnsi="宋体"/>
          <w:spacing w:val="4"/>
          <w:sz w:val="24"/>
          <w:highlight w:val="none"/>
        </w:rPr>
      </w:pPr>
      <w:r>
        <w:rPr>
          <w:rFonts w:hint="eastAsia" w:ascii="宋体" w:hAnsi="宋体"/>
          <w:spacing w:val="4"/>
          <w:sz w:val="24"/>
          <w:highlight w:val="none"/>
        </w:rPr>
        <w:t>3、澄清有关问题：</w:t>
      </w:r>
    </w:p>
    <w:p w14:paraId="24AA1C5C">
      <w:pPr>
        <w:spacing w:line="360" w:lineRule="auto"/>
        <w:ind w:left="992" w:leftChars="177" w:hanging="620" w:hangingChars="250"/>
        <w:rPr>
          <w:rFonts w:ascii="宋体" w:hAnsi="宋体" w:cs="宋体"/>
          <w:kern w:val="0"/>
          <w:sz w:val="24"/>
          <w:szCs w:val="24"/>
          <w:highlight w:val="none"/>
        </w:rPr>
      </w:pPr>
      <w:r>
        <w:rPr>
          <w:rFonts w:hint="eastAsia" w:ascii="宋体" w:hAnsi="宋体"/>
          <w:spacing w:val="4"/>
          <w:sz w:val="24"/>
          <w:highlight w:val="none"/>
        </w:rPr>
        <w:t>3.1</w:t>
      </w:r>
      <w:r>
        <w:rPr>
          <w:rFonts w:hint="eastAsia" w:ascii="宋体" w:hAnsi="宋体" w:cs="宋体"/>
          <w:kern w:val="0"/>
          <w:sz w:val="24"/>
          <w:szCs w:val="24"/>
          <w:highlight w:val="none"/>
        </w:rPr>
        <w:t>对于投标文件中含义不明确、同类问题表述不一致或者有明显文字和计算错</w:t>
      </w:r>
    </w:p>
    <w:p w14:paraId="22D8DA57">
      <w:pPr>
        <w:spacing w:line="360" w:lineRule="auto"/>
        <w:rPr>
          <w:rFonts w:ascii="宋体" w:hAnsi="宋体" w:cs="宋体"/>
          <w:kern w:val="0"/>
          <w:sz w:val="24"/>
          <w:szCs w:val="24"/>
          <w:highlight w:val="none"/>
        </w:rPr>
      </w:pPr>
      <w:r>
        <w:rPr>
          <w:rFonts w:hint="eastAsia" w:ascii="宋体" w:hAnsi="宋体" w:cs="宋体"/>
          <w:kern w:val="0"/>
          <w:sz w:val="24"/>
          <w:szCs w:val="24"/>
          <w:highlight w:val="none"/>
        </w:rPr>
        <w:t>误的内容，评标委员会以书面形式要求投标人做出必要的澄清、说明或者补正。投标人的澄清、说明或者补正应当采用书面形式，由法定代表人或其授权的代表签署全名。投标人的澄清、说明或者补正不得超出投标文件的范围或者改变投标文件的实质性内容。</w:t>
      </w:r>
    </w:p>
    <w:p w14:paraId="6037D173">
      <w:pPr>
        <w:spacing w:line="360" w:lineRule="auto"/>
        <w:ind w:firstLine="372" w:firstLineChars="150"/>
        <w:rPr>
          <w:rFonts w:ascii="宋体" w:hAnsi="宋体" w:cs="宋体"/>
          <w:kern w:val="0"/>
          <w:sz w:val="24"/>
          <w:szCs w:val="24"/>
          <w:highlight w:val="none"/>
        </w:rPr>
      </w:pPr>
      <w:r>
        <w:rPr>
          <w:rFonts w:hint="eastAsia" w:ascii="宋体" w:hAnsi="宋体"/>
          <w:spacing w:val="4"/>
          <w:sz w:val="24"/>
          <w:highlight w:val="none"/>
        </w:rPr>
        <w:t>3.2</w:t>
      </w:r>
      <w:r>
        <w:rPr>
          <w:rFonts w:hint="eastAsia" w:ascii="宋体" w:hAnsi="宋体" w:cs="宋体"/>
          <w:kern w:val="0"/>
          <w:sz w:val="24"/>
          <w:szCs w:val="24"/>
          <w:highlight w:val="none"/>
        </w:rPr>
        <w:t>投标文件报价出现前后不一致的，按照下列规定修正：</w:t>
      </w:r>
    </w:p>
    <w:p w14:paraId="0BAFE110">
      <w:pPr>
        <w:spacing w:line="360" w:lineRule="auto"/>
        <w:ind w:left="-107" w:leftChars="-51" w:firstLine="496" w:firstLineChars="200"/>
        <w:rPr>
          <w:rFonts w:ascii="宋体" w:hAnsi="宋体"/>
          <w:spacing w:val="4"/>
          <w:sz w:val="24"/>
          <w:highlight w:val="none"/>
        </w:rPr>
      </w:pPr>
      <w:r>
        <w:rPr>
          <w:rFonts w:hint="eastAsia" w:ascii="宋体" w:hAnsi="宋体"/>
          <w:spacing w:val="4"/>
          <w:sz w:val="24"/>
          <w:highlight w:val="none"/>
        </w:rPr>
        <w:t>3.2.1投标文件中开标一览表（报价表）内容与投标文件中相应内容不一致的，</w:t>
      </w:r>
    </w:p>
    <w:p w14:paraId="08E5DA93">
      <w:pPr>
        <w:spacing w:line="360" w:lineRule="auto"/>
        <w:ind w:left="-107" w:leftChars="-51"/>
        <w:rPr>
          <w:rFonts w:ascii="宋体" w:hAnsi="宋体"/>
          <w:spacing w:val="4"/>
          <w:sz w:val="24"/>
          <w:highlight w:val="none"/>
        </w:rPr>
      </w:pPr>
      <w:r>
        <w:rPr>
          <w:rFonts w:hint="eastAsia" w:ascii="宋体" w:hAnsi="宋体"/>
          <w:spacing w:val="4"/>
          <w:sz w:val="24"/>
          <w:highlight w:val="none"/>
        </w:rPr>
        <w:t>以开标一览表（报价表）为准；</w:t>
      </w:r>
    </w:p>
    <w:p w14:paraId="12C067F8">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3.2.2大写金额和小写金额不一致的，以大写金额为准；</w:t>
      </w:r>
    </w:p>
    <w:p w14:paraId="4B594EF6">
      <w:pPr>
        <w:spacing w:line="360" w:lineRule="auto"/>
        <w:ind w:left="1267" w:leftChars="249" w:hanging="744" w:hangingChars="300"/>
        <w:rPr>
          <w:rFonts w:ascii="宋体" w:hAnsi="宋体"/>
          <w:spacing w:val="4"/>
          <w:sz w:val="24"/>
          <w:highlight w:val="none"/>
        </w:rPr>
      </w:pPr>
      <w:r>
        <w:rPr>
          <w:rFonts w:hint="eastAsia" w:ascii="宋体" w:hAnsi="宋体"/>
          <w:spacing w:val="4"/>
          <w:sz w:val="24"/>
          <w:highlight w:val="none"/>
        </w:rPr>
        <w:t>3.2.3单价金额小数点或者百分比有明显错位的，以开标一览表的总价为准，</w:t>
      </w:r>
    </w:p>
    <w:p w14:paraId="4E9D1F24">
      <w:pPr>
        <w:spacing w:line="360" w:lineRule="auto"/>
        <w:rPr>
          <w:rFonts w:ascii="宋体" w:hAnsi="宋体"/>
          <w:spacing w:val="4"/>
          <w:sz w:val="24"/>
          <w:highlight w:val="none"/>
        </w:rPr>
      </w:pPr>
      <w:r>
        <w:rPr>
          <w:rFonts w:hint="eastAsia" w:ascii="宋体" w:hAnsi="宋体"/>
          <w:spacing w:val="4"/>
          <w:sz w:val="24"/>
          <w:highlight w:val="none"/>
        </w:rPr>
        <w:t>并修改单价；</w:t>
      </w:r>
    </w:p>
    <w:p w14:paraId="6D6E6E56">
      <w:pPr>
        <w:spacing w:line="360" w:lineRule="auto"/>
        <w:ind w:left="523" w:leftChars="249"/>
        <w:rPr>
          <w:rFonts w:ascii="宋体" w:hAnsi="宋体"/>
          <w:spacing w:val="4"/>
          <w:sz w:val="24"/>
          <w:highlight w:val="none"/>
        </w:rPr>
      </w:pPr>
      <w:r>
        <w:rPr>
          <w:rFonts w:hint="eastAsia" w:ascii="宋体" w:hAnsi="宋体"/>
          <w:spacing w:val="4"/>
          <w:sz w:val="24"/>
          <w:highlight w:val="none"/>
        </w:rPr>
        <w:t>3.2.4总价金额与按单价汇总金额不一致的，以单价金额计算结果为准。</w:t>
      </w:r>
    </w:p>
    <w:p w14:paraId="793F1FD7">
      <w:pPr>
        <w:spacing w:line="360" w:lineRule="auto"/>
        <w:ind w:left="523" w:leftChars="249"/>
        <w:rPr>
          <w:rFonts w:ascii="宋体" w:hAnsi="宋体" w:cs="宋体"/>
          <w:kern w:val="0"/>
          <w:sz w:val="24"/>
          <w:szCs w:val="24"/>
          <w:highlight w:val="none"/>
        </w:rPr>
      </w:pPr>
      <w:r>
        <w:rPr>
          <w:rFonts w:hint="eastAsia" w:ascii="宋体" w:hAnsi="宋体" w:cs="宋体"/>
          <w:kern w:val="0"/>
          <w:sz w:val="24"/>
          <w:szCs w:val="24"/>
          <w:highlight w:val="none"/>
        </w:rPr>
        <w:t>3.2.5同时出现两种以上不一致的，按照前款规定的顺序修正。修正后的报价</w:t>
      </w:r>
    </w:p>
    <w:p w14:paraId="73F90DAF">
      <w:pPr>
        <w:spacing w:line="360" w:lineRule="auto"/>
        <w:rPr>
          <w:rFonts w:ascii="宋体" w:hAnsi="宋体"/>
          <w:spacing w:val="4"/>
          <w:sz w:val="24"/>
          <w:highlight w:val="none"/>
        </w:rPr>
      </w:pPr>
      <w:r>
        <w:rPr>
          <w:rFonts w:hint="eastAsia" w:ascii="宋体" w:hAnsi="宋体" w:cs="宋体"/>
          <w:kern w:val="0"/>
          <w:sz w:val="24"/>
          <w:szCs w:val="24"/>
          <w:highlight w:val="none"/>
        </w:rPr>
        <w:t>经投标人书面确认后产生约束力，投标人不确认的，其投标无效。</w:t>
      </w:r>
    </w:p>
    <w:p w14:paraId="32D857B3">
      <w:pPr>
        <w:spacing w:line="360" w:lineRule="auto"/>
        <w:ind w:firstLine="248" w:firstLineChars="100"/>
        <w:rPr>
          <w:sz w:val="24"/>
          <w:szCs w:val="24"/>
          <w:highlight w:val="none"/>
        </w:rPr>
      </w:pPr>
      <w:r>
        <w:rPr>
          <w:rFonts w:hint="eastAsia" w:ascii="宋体" w:hAnsi="宋体"/>
          <w:spacing w:val="4"/>
          <w:sz w:val="24"/>
          <w:highlight w:val="none"/>
        </w:rPr>
        <w:t>4、评标价的确定：投标文件经审查合格的</w:t>
      </w:r>
      <w:r>
        <w:rPr>
          <w:rFonts w:hint="eastAsia"/>
          <w:sz w:val="24"/>
          <w:szCs w:val="24"/>
          <w:highlight w:val="none"/>
        </w:rPr>
        <w:t>，为有效投标。对于所有有效投标按照以下规则进行评标价的确定。</w:t>
      </w:r>
    </w:p>
    <w:p w14:paraId="7B0E2D5E">
      <w:pPr>
        <w:spacing w:line="360" w:lineRule="auto"/>
        <w:ind w:left="960" w:hanging="960" w:hangingChars="400"/>
        <w:rPr>
          <w:rFonts w:ascii="宋体" w:hAnsi="宋体"/>
          <w:spacing w:val="4"/>
          <w:sz w:val="24"/>
          <w:highlight w:val="none"/>
        </w:rPr>
      </w:pPr>
      <w:r>
        <w:rPr>
          <w:rFonts w:hint="eastAsia"/>
          <w:sz w:val="24"/>
          <w:szCs w:val="24"/>
          <w:highlight w:val="none"/>
        </w:rPr>
        <w:t xml:space="preserve">    </w:t>
      </w:r>
      <w:r>
        <w:rPr>
          <w:rFonts w:hint="eastAsia" w:ascii="宋体" w:hAnsi="宋体"/>
          <w:spacing w:val="4"/>
          <w:sz w:val="24"/>
          <w:highlight w:val="none"/>
        </w:rPr>
        <w:t>4.1对于不需要进行政策性价格优惠调整的，其评标价为按照以上3.2条修</w:t>
      </w:r>
    </w:p>
    <w:p w14:paraId="5B221432">
      <w:pPr>
        <w:spacing w:line="360" w:lineRule="auto"/>
        <w:ind w:left="992" w:hanging="992" w:hangingChars="400"/>
        <w:rPr>
          <w:rFonts w:ascii="宋体" w:hAnsi="宋体"/>
          <w:spacing w:val="4"/>
          <w:sz w:val="24"/>
          <w:highlight w:val="none"/>
        </w:rPr>
      </w:pPr>
      <w:r>
        <w:rPr>
          <w:rFonts w:hint="eastAsia" w:ascii="宋体" w:hAnsi="宋体"/>
          <w:spacing w:val="4"/>
          <w:sz w:val="24"/>
          <w:highlight w:val="none"/>
        </w:rPr>
        <w:t>正后的投标总价。</w:t>
      </w:r>
    </w:p>
    <w:p w14:paraId="39ABCD5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4.2对于符合政策性优惠的，其评标价按照以下规则进行计算调整。</w:t>
      </w:r>
    </w:p>
    <w:p w14:paraId="7E4DCD8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4.2.1符合财库〔2020〕46号文件规定的小微企业</w:t>
      </w:r>
      <w:r>
        <w:rPr>
          <w:rFonts w:hint="eastAsia" w:ascii="宋体" w:hAnsi="宋体"/>
          <w:sz w:val="24"/>
          <w:szCs w:val="24"/>
          <w:highlight w:val="none"/>
        </w:rPr>
        <w:t>单位</w:t>
      </w:r>
      <w:r>
        <w:rPr>
          <w:rFonts w:hint="eastAsia" w:ascii="宋体" w:hAnsi="宋体"/>
          <w:spacing w:val="4"/>
          <w:sz w:val="24"/>
          <w:highlight w:val="none"/>
        </w:rPr>
        <w:t>的评标价计算规则：</w:t>
      </w:r>
    </w:p>
    <w:p w14:paraId="0D8751FD">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4.2.1.1对符合规定的小型和微型企业（非联合体投标）报价给予10%的扣除，用扣除后的价格参加评审。</w:t>
      </w:r>
    </w:p>
    <w:p w14:paraId="77FD7089">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69A91EC8">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4.2.1.2对于联合协议或者分包意向协议约定小微企业的合同份额占到合同总金额30%以上的（须在联合协议或分包意向协议中明确小微企业的合同份额，否则评标时不予给予价格扣除），对联合体或者大中型企业的报价给予4%的扣除，用扣除后的价格参加评审。</w:t>
      </w:r>
    </w:p>
    <w:p w14:paraId="7436BB8B">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6D3ABF41">
      <w:pPr>
        <w:spacing w:line="360" w:lineRule="auto"/>
        <w:ind w:firstLine="495"/>
        <w:rPr>
          <w:rFonts w:ascii="宋体" w:hAnsi="宋体"/>
          <w:spacing w:val="4"/>
          <w:sz w:val="24"/>
          <w:highlight w:val="none"/>
        </w:rPr>
      </w:pPr>
      <w:r>
        <w:rPr>
          <w:rFonts w:hint="eastAsia" w:ascii="宋体" w:hAnsi="宋体"/>
          <w:spacing w:val="4"/>
          <w:sz w:val="24"/>
          <w:highlight w:val="none"/>
        </w:rPr>
        <w:t>4.2.1.3确认为小微企业（含小型、微型企业，下同）投标的，应当同时符合以下条件：</w:t>
      </w:r>
    </w:p>
    <w:p w14:paraId="4C8BC472">
      <w:pPr>
        <w:spacing w:line="360" w:lineRule="auto"/>
        <w:ind w:left="1" w:firstLine="520" w:firstLineChars="210"/>
        <w:rPr>
          <w:rFonts w:ascii="宋体" w:hAnsi="宋体"/>
          <w:spacing w:val="4"/>
          <w:sz w:val="24"/>
          <w:highlight w:val="none"/>
        </w:rPr>
      </w:pPr>
      <w:r>
        <w:rPr>
          <w:rFonts w:hint="eastAsia" w:ascii="宋体" w:hAnsi="宋体"/>
          <w:spacing w:val="4"/>
          <w:sz w:val="24"/>
          <w:highlight w:val="none"/>
        </w:rPr>
        <w:t>4.2.1.3.1符合国务院有关部门根据企业从业人员、营业收入、资产总额等指标制定的中小企业划型标准（工信部联企业〔2011〕300号）；</w:t>
      </w:r>
    </w:p>
    <w:p w14:paraId="2E0F6ECB">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4.2.1.3.2在货物采购项目中，货物由中小企业制造，即货物由中小企业生产且使用该中小企业商号或者注册商标； </w:t>
      </w:r>
    </w:p>
    <w:p w14:paraId="21088AC3">
      <w:pPr>
        <w:spacing w:line="360" w:lineRule="auto"/>
        <w:ind w:left="1143" w:leftChars="249" w:hanging="620" w:hangingChars="250"/>
        <w:rPr>
          <w:rFonts w:ascii="宋体" w:hAnsi="宋体"/>
          <w:spacing w:val="4"/>
          <w:sz w:val="24"/>
          <w:highlight w:val="none"/>
        </w:rPr>
      </w:pPr>
      <w:r>
        <w:rPr>
          <w:rFonts w:hint="eastAsia" w:ascii="宋体" w:hAnsi="宋体"/>
          <w:spacing w:val="4"/>
          <w:sz w:val="24"/>
          <w:highlight w:val="none"/>
        </w:rPr>
        <w:t>4.2.1.3.3投标时须</w:t>
      </w:r>
      <w:r>
        <w:rPr>
          <w:rFonts w:hint="eastAsia" w:ascii="宋体" w:hAnsi="宋体"/>
          <w:sz w:val="24"/>
          <w:szCs w:val="24"/>
          <w:highlight w:val="none"/>
        </w:rPr>
        <w:t>提供按照</w:t>
      </w:r>
      <w:r>
        <w:rPr>
          <w:rFonts w:hint="eastAsia" w:ascii="宋体" w:hAnsi="宋体"/>
          <w:spacing w:val="4"/>
          <w:sz w:val="24"/>
          <w:highlight w:val="none"/>
        </w:rPr>
        <w:t>（财库〔2020〕46号）文件附件格式填写的</w:t>
      </w:r>
    </w:p>
    <w:p w14:paraId="60E766F7">
      <w:pPr>
        <w:spacing w:line="360" w:lineRule="auto"/>
        <w:ind w:left="1123" w:leftChars="249" w:hanging="600" w:hangingChars="250"/>
        <w:rPr>
          <w:rFonts w:ascii="宋体" w:hAnsi="宋体"/>
          <w:sz w:val="24"/>
          <w:szCs w:val="24"/>
          <w:highlight w:val="none"/>
        </w:rPr>
      </w:pPr>
      <w:r>
        <w:rPr>
          <w:rFonts w:hint="eastAsia" w:ascii="宋体" w:hAnsi="宋体"/>
          <w:sz w:val="24"/>
          <w:szCs w:val="24"/>
          <w:highlight w:val="none"/>
        </w:rPr>
        <w:t>《中小企业声明函（货物）》。</w:t>
      </w:r>
    </w:p>
    <w:p w14:paraId="31022014">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4.2.2符合（财库〔</w:t>
      </w:r>
      <w:r>
        <w:rPr>
          <w:rFonts w:ascii="宋体" w:hAnsi="宋体"/>
          <w:spacing w:val="4"/>
          <w:sz w:val="24"/>
          <w:highlight w:val="none"/>
        </w:rPr>
        <w:t>201</w:t>
      </w:r>
      <w:r>
        <w:rPr>
          <w:rFonts w:hint="eastAsia" w:ascii="宋体" w:hAnsi="宋体"/>
          <w:spacing w:val="4"/>
          <w:sz w:val="24"/>
          <w:highlight w:val="none"/>
        </w:rPr>
        <w:t>7〕141号）文件规定的残疾人福利性单位的评标价计算规则：</w:t>
      </w:r>
    </w:p>
    <w:p w14:paraId="1C5155E0">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4.2.2.1在政府采购活动中，残疾人福利性单位视同小型、微型企业，享受预留份额、评审中价格扣除等促进中小企业发展的政府采购政策。向残疾人福利性单位采购的金额，计入面向中小企业采购的统计数据。报价给予10%的扣除，用扣除后的价格参加评审。</w:t>
      </w:r>
    </w:p>
    <w:p w14:paraId="25226538">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0DBC470E">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4.2.2.2对于联合协议或者分包意向协议约定残疾人福利性单位的合同份额占到合同总金额30%以上的（须在联合协议或分包意向协议中明确残疾人福利性单位的合同份额，否则评标时不予给予价格扣除），对联合体或者大中型企业的报价给予4%的扣除，用扣除后的价格参加评审。</w:t>
      </w:r>
    </w:p>
    <w:p w14:paraId="523806DC">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4E45435B">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4.2.2.3确认为残疾人福利性单位投标的，应当同时符合以下条件：</w:t>
      </w:r>
    </w:p>
    <w:p w14:paraId="5992C228">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4.2.2.3.1符合（财库〔</w:t>
      </w:r>
      <w:r>
        <w:rPr>
          <w:rFonts w:ascii="宋体" w:hAnsi="宋体"/>
          <w:spacing w:val="4"/>
          <w:sz w:val="24"/>
          <w:highlight w:val="none"/>
        </w:rPr>
        <w:t>201</w:t>
      </w:r>
      <w:r>
        <w:rPr>
          <w:rFonts w:hint="eastAsia" w:ascii="宋体" w:hAnsi="宋体"/>
          <w:spacing w:val="4"/>
          <w:sz w:val="24"/>
          <w:highlight w:val="none"/>
        </w:rPr>
        <w:t>7〕141号）文件相关规定。</w:t>
      </w:r>
    </w:p>
    <w:p w14:paraId="691ACCBA">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4.2.2.3.2投标</w:t>
      </w:r>
      <w:r>
        <w:rPr>
          <w:rFonts w:ascii="宋体" w:hAnsi="宋体"/>
          <w:spacing w:val="4"/>
          <w:sz w:val="24"/>
          <w:highlight w:val="none"/>
        </w:rPr>
        <w:t>时</w:t>
      </w:r>
      <w:r>
        <w:rPr>
          <w:rFonts w:hint="eastAsia" w:ascii="宋体" w:hAnsi="宋体"/>
          <w:spacing w:val="4"/>
          <w:sz w:val="24"/>
          <w:highlight w:val="none"/>
        </w:rPr>
        <w:t>提供本单位制造的货物、承担的工程或者服务（以下简称产品），或者提供其他残疾人福利性单位制造的货物（不包括使用非残疾人福利性单位注册商标的货物）。</w:t>
      </w:r>
    </w:p>
    <w:p w14:paraId="49B5B648">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4.2.2.3.3投标人须提供《残疾人福利性单位声明函》。</w:t>
      </w:r>
    </w:p>
    <w:p w14:paraId="49CBF654">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4.2.3符合（财库〔</w:t>
      </w:r>
      <w:r>
        <w:rPr>
          <w:rFonts w:ascii="宋体" w:hAnsi="宋体"/>
          <w:spacing w:val="4"/>
          <w:sz w:val="24"/>
          <w:highlight w:val="none"/>
        </w:rPr>
        <w:t>2014</w:t>
      </w:r>
      <w:r>
        <w:rPr>
          <w:rFonts w:hint="eastAsia" w:ascii="宋体" w:hAnsi="宋体"/>
          <w:spacing w:val="4"/>
          <w:sz w:val="24"/>
          <w:highlight w:val="none"/>
        </w:rPr>
        <w:t>〕</w:t>
      </w:r>
      <w:r>
        <w:rPr>
          <w:rFonts w:ascii="宋体" w:hAnsi="宋体"/>
          <w:spacing w:val="4"/>
          <w:sz w:val="24"/>
          <w:highlight w:val="none"/>
        </w:rPr>
        <w:t>68</w:t>
      </w:r>
      <w:r>
        <w:rPr>
          <w:rFonts w:hint="eastAsia" w:ascii="宋体" w:hAnsi="宋体"/>
          <w:spacing w:val="4"/>
          <w:sz w:val="24"/>
          <w:highlight w:val="none"/>
        </w:rPr>
        <w:t>号）文件规定的监狱企业的评标价计算规则：</w:t>
      </w:r>
    </w:p>
    <w:p w14:paraId="05AF1A3C">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4.2.3.1在政府采购活动中，监狱企业视同小型、微型企业，享受预留份额、评审中价格扣除等政府采购促进中小企业发展的政府采购政策。向监狱企业采购的金额，计入面向中小企业采购的统计数据。报价给予10%）的扣除，用扣除后的价格参加评审。</w:t>
      </w:r>
    </w:p>
    <w:p w14:paraId="716FD6D3">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5DFEEF4E">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4.2.3.2对于联合协议或者分包意向协议约定监狱企业的合同份额占到合同总金额30%以上的（须在联合协议或分包意向协议中明确监狱企业的合同份额，否则评标时不予给予价格扣除），对联合体或者大中型企业的报价给予4%的扣除，用扣除后的价格参加评审。</w:t>
      </w:r>
    </w:p>
    <w:p w14:paraId="6485CF47">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55BA5E31">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4.2.3.3确认为监狱企业投标的，应当同时符合以下条件：</w:t>
      </w:r>
    </w:p>
    <w:p w14:paraId="5B772959">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4.2.3.3.1符合（财库〔</w:t>
      </w:r>
      <w:r>
        <w:rPr>
          <w:rFonts w:ascii="宋体" w:hAnsi="宋体"/>
          <w:spacing w:val="4"/>
          <w:sz w:val="24"/>
          <w:highlight w:val="none"/>
        </w:rPr>
        <w:t>2014</w:t>
      </w:r>
      <w:r>
        <w:rPr>
          <w:rFonts w:hint="eastAsia" w:ascii="宋体" w:hAnsi="宋体"/>
          <w:spacing w:val="4"/>
          <w:sz w:val="24"/>
          <w:highlight w:val="none"/>
        </w:rPr>
        <w:t>〕68号）文件相关规定。</w:t>
      </w:r>
    </w:p>
    <w:p w14:paraId="256EFF20">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4.2.3.3.2投标</w:t>
      </w:r>
      <w:r>
        <w:rPr>
          <w:rFonts w:ascii="宋体" w:hAnsi="宋体"/>
          <w:spacing w:val="4"/>
          <w:sz w:val="24"/>
          <w:highlight w:val="none"/>
        </w:rPr>
        <w:t>时</w:t>
      </w:r>
      <w:r>
        <w:rPr>
          <w:rFonts w:hint="eastAsia" w:ascii="宋体" w:hAnsi="宋体"/>
          <w:spacing w:val="4"/>
          <w:sz w:val="24"/>
          <w:highlight w:val="none"/>
        </w:rPr>
        <w:t>提供本单位生产的货物，或者提供其他监狱企业生产的货物。</w:t>
      </w:r>
    </w:p>
    <w:p w14:paraId="049B1EBA">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4.2.3.3.3投标人须提供由省级以上监狱管理局、戒毒管理局（含新疆生产建设兵团）出具的属于监狱企业的证明文件。</w:t>
      </w:r>
    </w:p>
    <w:p w14:paraId="16B96B08">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 符合（国办发〔2025〕34号）文件规定的本国产品标准的评标价计算规则：</w:t>
      </w:r>
    </w:p>
    <w:p w14:paraId="705F511A">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4.2.4.1</w:t>
      </w:r>
      <w:r>
        <w:rPr>
          <w:rFonts w:ascii="宋体" w:hAnsi="宋体"/>
          <w:spacing w:val="4"/>
          <w:sz w:val="24"/>
          <w:highlight w:val="none"/>
        </w:rPr>
        <w:t>对于仅有本国产品参与竞争的政府采购项目，本国产品不享受价格扣除评审优惠。</w:t>
      </w:r>
    </w:p>
    <w:p w14:paraId="19610A04">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4.2.4.2</w:t>
      </w:r>
      <w:r>
        <w:rPr>
          <w:rFonts w:ascii="宋体" w:hAnsi="宋体"/>
          <w:spacing w:val="4"/>
          <w:sz w:val="24"/>
          <w:highlight w:val="none"/>
        </w:rPr>
        <w:t>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14:paraId="42D44122">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w:t>
      </w:r>
      <w:r>
        <w:rPr>
          <w:rFonts w:ascii="宋体" w:hAnsi="宋体"/>
          <w:spacing w:val="4"/>
          <w:sz w:val="24"/>
          <w:highlight w:val="none"/>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100A3128">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4.2.4.3对于仅有本国产品参与本项目竞争的，本国产品不享受价格扣除评审优惠。</w:t>
      </w:r>
    </w:p>
    <w:p w14:paraId="7D9FAA61">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4.3评标价的计算：</w:t>
      </w:r>
    </w:p>
    <w:p w14:paraId="7CCABE7B">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4.3.1投标人为非联合体的情况：</w:t>
      </w:r>
    </w:p>
    <w:p w14:paraId="50F7DDB9">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小型企业，其评标价=投标报价*（1-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5F4AE63A">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微型企业，其评标价=投标报价*（1-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02FCE187">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监狱企业，其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39E6EEC4">
      <w:pPr>
        <w:spacing w:line="360" w:lineRule="auto"/>
        <w:ind w:left="523" w:leftChars="249" w:firstLine="480" w:firstLineChars="200"/>
        <w:rPr>
          <w:rFonts w:ascii="宋体" w:hAnsi="宋体"/>
          <w:spacing w:val="4"/>
          <w:sz w:val="24"/>
          <w:szCs w:val="24"/>
          <w:highlight w:val="none"/>
        </w:rPr>
      </w:pPr>
      <w:r>
        <w:rPr>
          <w:rFonts w:hint="eastAsia" w:ascii="宋体" w:hAnsi="宋体"/>
          <w:sz w:val="24"/>
          <w:szCs w:val="24"/>
          <w:highlight w:val="none"/>
        </w:rPr>
        <w:t>残疾人福利性单位</w:t>
      </w:r>
      <w:r>
        <w:rPr>
          <w:rFonts w:hint="eastAsia" w:ascii="宋体" w:hAnsi="宋体"/>
          <w:spacing w:val="4"/>
          <w:sz w:val="24"/>
          <w:szCs w:val="24"/>
          <w:highlight w:val="none"/>
        </w:rPr>
        <w:t>，其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372E9EC6">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符合上述四类企业之一且符合</w:t>
      </w:r>
      <w:r>
        <w:rPr>
          <w:rFonts w:hint="eastAsia" w:ascii="宋体" w:hAnsi="宋体"/>
          <w:spacing w:val="4"/>
          <w:sz w:val="24"/>
          <w:highlight w:val="none"/>
        </w:rPr>
        <w:t>国办发〔2025〕34号）文件规定的，其评标价=投标报价*[1-（10%+20%）]</w:t>
      </w:r>
    </w:p>
    <w:p w14:paraId="73D2A445">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4.3.2投标人为联合体且联合体协议中</w:t>
      </w:r>
      <w:r>
        <w:rPr>
          <w:rFonts w:hint="eastAsia" w:ascii="宋体" w:hAnsi="宋体"/>
          <w:spacing w:val="4"/>
          <w:sz w:val="24"/>
          <w:highlight w:val="none"/>
        </w:rPr>
        <w:t>或分包意向协议</w:t>
      </w:r>
      <w:r>
        <w:rPr>
          <w:rFonts w:hint="eastAsia" w:ascii="宋体" w:hAnsi="宋体" w:cs="宋体"/>
          <w:spacing w:val="4"/>
          <w:sz w:val="24"/>
          <w:szCs w:val="24"/>
          <w:highlight w:val="none"/>
        </w:rPr>
        <w:t>约定小型、微型企业的协议合同金额占到联合体协议合同总金额30％以上的，按照以下规则进行评审价计算：</w:t>
      </w:r>
    </w:p>
    <w:p w14:paraId="3408A18F">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与小型企业联合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7DE26A0B">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与微型企业联合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2CB14702">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与监狱企业联合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p>
    <w:p w14:paraId="709C2C84">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与</w:t>
      </w:r>
      <w:r>
        <w:rPr>
          <w:rFonts w:hint="eastAsia" w:ascii="宋体" w:hAnsi="宋体"/>
          <w:sz w:val="24"/>
          <w:szCs w:val="24"/>
          <w:highlight w:val="none"/>
        </w:rPr>
        <w:t>残疾人福利性单位</w:t>
      </w:r>
      <w:r>
        <w:rPr>
          <w:rFonts w:hint="eastAsia" w:ascii="宋体" w:hAnsi="宋体"/>
          <w:spacing w:val="4"/>
          <w:sz w:val="24"/>
          <w:szCs w:val="24"/>
          <w:highlight w:val="none"/>
        </w:rPr>
        <w:t>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r>
        <w:rPr>
          <w:rFonts w:hint="eastAsia" w:ascii="宋体" w:hAnsi="宋体" w:cs="宋体"/>
          <w:spacing w:val="4"/>
          <w:sz w:val="24"/>
          <w:szCs w:val="24"/>
          <w:highlight w:val="none"/>
        </w:rPr>
        <w:t>。</w:t>
      </w:r>
    </w:p>
    <w:p w14:paraId="030DB8F0">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符合上述四类型之一且符合</w:t>
      </w:r>
      <w:r>
        <w:rPr>
          <w:rFonts w:hint="eastAsia" w:ascii="宋体" w:hAnsi="宋体"/>
          <w:spacing w:val="4"/>
          <w:sz w:val="24"/>
          <w:highlight w:val="none"/>
        </w:rPr>
        <w:t>国办发〔2025〕34号）文件规定的，其评标价=投标报价*[1-（4%+20%）]</w:t>
      </w:r>
    </w:p>
    <w:p w14:paraId="3883B663">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4.4对于不享受以上政策性优惠价格调整的，其评标价=投标报价。</w:t>
      </w:r>
    </w:p>
    <w:p w14:paraId="4D868D6C">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5、符合政府采购政策的投标产品的优先采购规则</w:t>
      </w:r>
    </w:p>
    <w:p w14:paraId="25889153">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5.1符合节能产品文件规定的加分规则：</w:t>
      </w:r>
    </w:p>
    <w:p w14:paraId="15FE775C">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投标货物涉及提供的所有投标产品进入“节能产品政府采购品目清单”（相关证书的颁发机构应来自《参与实施政府采购节能产品认证机构名录》）的予以加分，具体评审标准及分值见《评审因素量化赋分表》；（不是所有投标产品的不享受此项优惠）。</w:t>
      </w:r>
    </w:p>
    <w:p w14:paraId="02C9AB18">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说明：本款所称“所有投标产品”指纳入“节能产品政府采购品目清单”中所涉及的所有产品。</w:t>
      </w:r>
    </w:p>
    <w:p w14:paraId="1FBEDC6E">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5.2符合环境标志产品文件规定的加分规则：</w:t>
      </w:r>
    </w:p>
    <w:p w14:paraId="44325150">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投标货物涉及提供的所有投标产品进入“环境标志产品政府采购品目清单”（相关证书的颁发机构应来自《参与实施政府采购环境标志产品认证机构名录》）的予以加分，具体评审标准及分值见《评审因素量化赋分表》；（不是所有投标产品的不享受此项优惠）。    </w:t>
      </w:r>
    </w:p>
    <w:p w14:paraId="084919B3">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说明：本款所称“所有投标产品”指纳入“环境标志产品政府采购品目清单”中所涉及的所有产品。 </w:t>
      </w:r>
    </w:p>
    <w:p w14:paraId="30AF8063">
      <w:pPr>
        <w:spacing w:line="360" w:lineRule="auto"/>
        <w:ind w:left="523" w:leftChars="249"/>
        <w:rPr>
          <w:sz w:val="24"/>
          <w:szCs w:val="24"/>
          <w:highlight w:val="none"/>
        </w:rPr>
      </w:pPr>
      <w:r>
        <w:rPr>
          <w:rFonts w:hint="eastAsia"/>
          <w:sz w:val="24"/>
          <w:szCs w:val="24"/>
          <w:highlight w:val="none"/>
        </w:rPr>
        <w:t>6、比较与评价：</w:t>
      </w:r>
    </w:p>
    <w:p w14:paraId="7F7539E9">
      <w:pPr>
        <w:spacing w:line="360" w:lineRule="auto"/>
        <w:ind w:firstLine="480" w:firstLineChars="200"/>
        <w:rPr>
          <w:sz w:val="24"/>
          <w:szCs w:val="24"/>
          <w:highlight w:val="none"/>
        </w:rPr>
      </w:pPr>
      <w:r>
        <w:rPr>
          <w:rFonts w:hint="eastAsia"/>
          <w:sz w:val="24"/>
          <w:szCs w:val="24"/>
          <w:highlight w:val="none"/>
        </w:rPr>
        <w:t xml:space="preserve">6.1评委会各成员按照《评审因素量化赋分表》规定的内容，独立进行综合比较、评价打分。 </w:t>
      </w:r>
    </w:p>
    <w:p w14:paraId="57E45413">
      <w:pPr>
        <w:spacing w:line="360" w:lineRule="auto"/>
        <w:ind w:left="525" w:leftChars="250"/>
        <w:rPr>
          <w:rFonts w:ascii="宋体" w:hAnsi="宋体"/>
          <w:spacing w:val="4"/>
          <w:sz w:val="24"/>
          <w:highlight w:val="none"/>
        </w:rPr>
      </w:pPr>
      <w:r>
        <w:rPr>
          <w:rFonts w:hint="eastAsia" w:ascii="宋体" w:hAnsi="宋体"/>
          <w:spacing w:val="4"/>
          <w:sz w:val="24"/>
          <w:highlight w:val="none"/>
        </w:rPr>
        <w:t>7、推荐中标候选人名单：</w:t>
      </w:r>
    </w:p>
    <w:p w14:paraId="209EEAB1">
      <w:pPr>
        <w:spacing w:line="360" w:lineRule="auto"/>
        <w:ind w:left="992" w:leftChars="236" w:hanging="496" w:hangingChars="200"/>
        <w:rPr>
          <w:sz w:val="24"/>
          <w:szCs w:val="24"/>
          <w:highlight w:val="none"/>
        </w:rPr>
      </w:pPr>
      <w:r>
        <w:rPr>
          <w:rFonts w:hint="eastAsia" w:ascii="宋体" w:hAnsi="宋体"/>
          <w:spacing w:val="4"/>
          <w:sz w:val="24"/>
          <w:highlight w:val="none"/>
        </w:rPr>
        <w:t>7.1</w:t>
      </w:r>
      <w:r>
        <w:rPr>
          <w:rFonts w:hint="eastAsia"/>
          <w:sz w:val="24"/>
          <w:szCs w:val="24"/>
          <w:highlight w:val="none"/>
        </w:rPr>
        <w:t>汇总全体评委对每个投标人的赋分，计算出每个投标人的综合得分，按各</w:t>
      </w:r>
    </w:p>
    <w:p w14:paraId="1169C7EB">
      <w:pPr>
        <w:spacing w:line="360" w:lineRule="auto"/>
        <w:rPr>
          <w:rFonts w:ascii="宋体" w:hAnsi="宋体"/>
          <w:spacing w:val="4"/>
          <w:sz w:val="24"/>
          <w:highlight w:val="none"/>
        </w:rPr>
      </w:pPr>
      <w:r>
        <w:rPr>
          <w:rFonts w:hint="eastAsia"/>
          <w:sz w:val="24"/>
          <w:szCs w:val="24"/>
          <w:highlight w:val="none"/>
        </w:rPr>
        <w:t>包得分</w:t>
      </w:r>
      <w:r>
        <w:rPr>
          <w:rFonts w:hint="eastAsia" w:ascii="宋体" w:hAnsi="宋体"/>
          <w:spacing w:val="4"/>
          <w:sz w:val="24"/>
          <w:highlight w:val="none"/>
        </w:rPr>
        <w:t>从高到低顺序排列，推荐前3名为中标候选人。</w:t>
      </w:r>
    </w:p>
    <w:p w14:paraId="4661576D">
      <w:pPr>
        <w:spacing w:line="360" w:lineRule="auto"/>
        <w:ind w:left="992" w:leftChars="236" w:hanging="496" w:hangingChars="200"/>
        <w:rPr>
          <w:rFonts w:ascii="宋体" w:hAnsi="宋体"/>
          <w:spacing w:val="4"/>
          <w:sz w:val="24"/>
          <w:highlight w:val="none"/>
        </w:rPr>
      </w:pPr>
      <w:r>
        <w:rPr>
          <w:rFonts w:hint="eastAsia" w:ascii="宋体" w:hAnsi="宋体"/>
          <w:spacing w:val="4"/>
          <w:sz w:val="24"/>
          <w:highlight w:val="none"/>
        </w:rPr>
        <w:t>7.2</w:t>
      </w:r>
      <w:r>
        <w:rPr>
          <w:rFonts w:hint="eastAsia" w:ascii="宋体" w:hAnsi="宋体" w:cs="宋体"/>
          <w:kern w:val="0"/>
          <w:sz w:val="24"/>
          <w:szCs w:val="24"/>
          <w:highlight w:val="none"/>
        </w:rPr>
        <w:t>得分相同的，按投标报价由低到高顺序排列。得分且投标报价相同的并列。</w:t>
      </w:r>
    </w:p>
    <w:p w14:paraId="53F4AA4D">
      <w:pPr>
        <w:spacing w:line="360" w:lineRule="auto"/>
        <w:jc w:val="center"/>
        <w:rPr>
          <w:rFonts w:hAnsi="宋体"/>
          <w:b/>
          <w:sz w:val="32"/>
          <w:szCs w:val="32"/>
          <w:highlight w:val="none"/>
        </w:rPr>
      </w:pPr>
      <w:r>
        <w:rPr>
          <w:highlight w:val="none"/>
        </w:rPr>
        <w:br w:type="page"/>
      </w:r>
      <w:r>
        <w:rPr>
          <w:rFonts w:hint="eastAsia" w:hAnsi="宋体"/>
          <w:b/>
          <w:sz w:val="32"/>
          <w:szCs w:val="32"/>
          <w:highlight w:val="none"/>
        </w:rPr>
        <w:t>评审因素量化赋分表</w:t>
      </w:r>
    </w:p>
    <w:tbl>
      <w:tblPr>
        <w:tblStyle w:val="22"/>
        <w:tblW w:w="5590" w:type="pct"/>
        <w:tblInd w:w="-4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
        <w:gridCol w:w="835"/>
        <w:gridCol w:w="7954"/>
        <w:gridCol w:w="818"/>
      </w:tblGrid>
      <w:tr w14:paraId="5978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300" w:type="pct"/>
            <w:noWrap w:val="0"/>
            <w:vAlign w:val="center"/>
          </w:tcPr>
          <w:p w14:paraId="3EFCA5D9">
            <w:pPr>
              <w:pStyle w:val="13"/>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类别</w:t>
            </w:r>
          </w:p>
        </w:tc>
        <w:tc>
          <w:tcPr>
            <w:tcW w:w="408" w:type="pct"/>
            <w:noWrap w:val="0"/>
            <w:vAlign w:val="center"/>
          </w:tcPr>
          <w:p w14:paraId="53F187A3">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评审要素及分值</w:t>
            </w:r>
          </w:p>
        </w:tc>
        <w:tc>
          <w:tcPr>
            <w:tcW w:w="3891" w:type="pct"/>
            <w:noWrap w:val="0"/>
            <w:vAlign w:val="center"/>
          </w:tcPr>
          <w:p w14:paraId="743B9208">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赋分标准</w:t>
            </w:r>
          </w:p>
        </w:tc>
        <w:tc>
          <w:tcPr>
            <w:tcW w:w="400" w:type="pct"/>
            <w:noWrap w:val="0"/>
            <w:vAlign w:val="center"/>
          </w:tcPr>
          <w:p w14:paraId="272DED1E">
            <w:pPr>
              <w:shd w:val="clear" w:color="auto" w:fill="auto"/>
              <w:spacing w:line="240" w:lineRule="auto"/>
              <w:jc w:val="center"/>
              <w:rPr>
                <w:rFonts w:hint="default"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主观/客观</w:t>
            </w:r>
          </w:p>
        </w:tc>
      </w:tr>
      <w:tr w14:paraId="6B0F0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1" w:hRule="atLeast"/>
        </w:trPr>
        <w:tc>
          <w:tcPr>
            <w:tcW w:w="300" w:type="pct"/>
            <w:noWrap w:val="0"/>
            <w:vAlign w:val="center"/>
          </w:tcPr>
          <w:p w14:paraId="4A76B04C">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1ABC78B5">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408" w:type="pct"/>
            <w:noWrap w:val="0"/>
            <w:vAlign w:val="center"/>
          </w:tcPr>
          <w:p w14:paraId="6AB28546">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635F4104">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3891" w:type="pct"/>
            <w:noWrap w:val="0"/>
            <w:vAlign w:val="center"/>
          </w:tcPr>
          <w:p w14:paraId="14DB97F3">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1.最低评标价为评标基准价，得30分。</w:t>
            </w:r>
          </w:p>
          <w:p w14:paraId="45D2AA89">
            <w:pPr>
              <w:widowControl/>
              <w:shd w:val="clear" w:color="auto" w:fill="auto"/>
              <w:spacing w:line="240" w:lineRule="auto"/>
              <w:ind w:hanging="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2.按（评标基准价/评标价×30）的公式计算价格得分。</w:t>
            </w:r>
          </w:p>
        </w:tc>
        <w:tc>
          <w:tcPr>
            <w:tcW w:w="400" w:type="pct"/>
            <w:noWrap w:val="0"/>
            <w:vAlign w:val="center"/>
          </w:tcPr>
          <w:p w14:paraId="0FCDD684">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67F7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atLeast"/>
        </w:trPr>
        <w:tc>
          <w:tcPr>
            <w:tcW w:w="300" w:type="pct"/>
            <w:vMerge w:val="restart"/>
            <w:noWrap w:val="0"/>
            <w:vAlign w:val="center"/>
          </w:tcPr>
          <w:p w14:paraId="5A16527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010AC565">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w:t>
            </w:r>
          </w:p>
          <w:p w14:paraId="7EA5AD98">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w:t>
            </w:r>
            <w:r>
              <w:rPr>
                <w:rFonts w:hint="eastAsia" w:ascii="宋体" w:hAnsi="宋体" w:eastAsia="宋体" w:cs="宋体"/>
                <w:color w:val="auto"/>
                <w:sz w:val="21"/>
                <w:szCs w:val="21"/>
                <w:highlight w:val="none"/>
              </w:rPr>
              <w:t>分</w:t>
            </w:r>
          </w:p>
          <w:p w14:paraId="57BF6152">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25796A1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投标产品技术参数的响应程度</w:t>
            </w:r>
          </w:p>
          <w:p w14:paraId="2D20951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分</w:t>
            </w:r>
          </w:p>
        </w:tc>
        <w:tc>
          <w:tcPr>
            <w:tcW w:w="3891" w:type="pct"/>
            <w:noWrap w:val="0"/>
            <w:vAlign w:val="center"/>
          </w:tcPr>
          <w:p w14:paraId="33D2390D">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投标产品技术参数清楚、明确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满足或优于招标文件要求，</w:t>
            </w:r>
            <w:r>
              <w:rPr>
                <w:rFonts w:hint="eastAsia" w:ascii="宋体" w:hAnsi="宋体" w:eastAsia="宋体" w:cs="宋体"/>
                <w:color w:val="auto"/>
                <w:sz w:val="21"/>
                <w:szCs w:val="21"/>
                <w:highlight w:val="none"/>
                <w:lang w:val="en-US" w:eastAsia="zh-CN"/>
              </w:rPr>
              <w:t>得20分；</w:t>
            </w:r>
            <w:r>
              <w:rPr>
                <w:rFonts w:hint="eastAsia" w:ascii="宋体" w:hAnsi="宋体" w:eastAsia="宋体" w:cs="宋体"/>
                <w:color w:val="auto"/>
                <w:sz w:val="21"/>
                <w:szCs w:val="21"/>
                <w:highlight w:val="none"/>
              </w:rPr>
              <w:t>每负偏离一项扣</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不计负分。</w:t>
            </w:r>
          </w:p>
        </w:tc>
        <w:tc>
          <w:tcPr>
            <w:tcW w:w="400" w:type="pct"/>
            <w:noWrap w:val="0"/>
            <w:vAlign w:val="center"/>
          </w:tcPr>
          <w:p w14:paraId="6EC84A0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75F1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0" w:hRule="atLeast"/>
        </w:trPr>
        <w:tc>
          <w:tcPr>
            <w:tcW w:w="300" w:type="pct"/>
            <w:vMerge w:val="continue"/>
            <w:noWrap w:val="0"/>
            <w:vAlign w:val="center"/>
          </w:tcPr>
          <w:p w14:paraId="2CF61660">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6F1B84BF">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供货方案</w:t>
            </w:r>
          </w:p>
          <w:p w14:paraId="770F1B46">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3891" w:type="pct"/>
            <w:noWrap w:val="0"/>
            <w:vAlign w:val="center"/>
          </w:tcPr>
          <w:p w14:paraId="75EF20C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投标人针对本项目提供供货方案，需充分结合项目实际情况，满足采购需求，内容完整、具体、可行，并能够保证项目周期要求。</w:t>
            </w:r>
          </w:p>
          <w:p w14:paraId="5D90A7AE">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1、评审内容：</w:t>
            </w:r>
          </w:p>
          <w:p w14:paraId="3827F458">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①供货组织安排，包括仓储、运输、交付方式等；</w:t>
            </w:r>
          </w:p>
          <w:p w14:paraId="719EEE43">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②供货计划、时间安排及保障措施；</w:t>
            </w:r>
          </w:p>
          <w:p w14:paraId="25501C54">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③货源稳定性及可靠性保障措施、供货安全保障措施。</w:t>
            </w:r>
          </w:p>
          <w:p w14:paraId="1738173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20521A4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32D345D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2BEDC2E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631BFBF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3、赋分标准：每一项评审内容满足每项评审标准的得1分，最多得3分。每一项内容相对每一项评审标准存在一处漏洞或缺陷扣0.1-0.3分，扣完为止。未提供相关评审内容的，该项得0分。</w:t>
            </w:r>
          </w:p>
          <w:p w14:paraId="76779CE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说明：内容存在漏洞或缺陷是指出现下列任一种情形：</w:t>
            </w:r>
          </w:p>
          <w:p w14:paraId="0C4AEBC4">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1）套用其他项目方案，或非专门针对本项目或不适用项目特性；</w:t>
            </w:r>
          </w:p>
          <w:p w14:paraId="108A470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2）方案表述不完整或缺少关键节点；</w:t>
            </w:r>
          </w:p>
          <w:p w14:paraId="77B2C4C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3）方案欠缺科学性、合理性或可行性；</w:t>
            </w:r>
          </w:p>
          <w:p w14:paraId="0BC8AE0E">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4）方案表述前后矛盾、无连贯性或内容存在逻辑漏洞、常识性错误；</w:t>
            </w:r>
          </w:p>
          <w:p w14:paraId="19BD293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5）方案所涉及的规范及标准错误；</w:t>
            </w:r>
          </w:p>
          <w:p w14:paraId="7B4CD6D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6）不利于项目实施的其他情形。</w:t>
            </w:r>
          </w:p>
        </w:tc>
        <w:tc>
          <w:tcPr>
            <w:tcW w:w="400" w:type="pct"/>
            <w:noWrap w:val="0"/>
            <w:vAlign w:val="center"/>
          </w:tcPr>
          <w:p w14:paraId="60EC53C3">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6DED0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90" w:hRule="atLeast"/>
        </w:trPr>
        <w:tc>
          <w:tcPr>
            <w:tcW w:w="300" w:type="pct"/>
            <w:vMerge w:val="continue"/>
            <w:noWrap w:val="0"/>
            <w:vAlign w:val="center"/>
          </w:tcPr>
          <w:p w14:paraId="54E41BD2">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3F5D9AFA">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选型方案</w:t>
            </w:r>
          </w:p>
          <w:p w14:paraId="2EB65D36">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9分</w:t>
            </w:r>
          </w:p>
        </w:tc>
        <w:tc>
          <w:tcPr>
            <w:tcW w:w="3891" w:type="pct"/>
            <w:noWrap w:val="0"/>
            <w:vAlign w:val="center"/>
          </w:tcPr>
          <w:p w14:paraId="247F3A85">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的产品选型及配置方案，要求选型合理描述详细、完整，先进、可靠性高。</w:t>
            </w:r>
          </w:p>
          <w:p w14:paraId="1038F53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评审内容及赋分标准：</w:t>
            </w:r>
          </w:p>
          <w:p w14:paraId="06097331">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1、产品性能：</w:t>
            </w:r>
          </w:p>
          <w:p w14:paraId="6DF3754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p>
          <w:p w14:paraId="0D695C4A">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投标产品技术成熟度高、工艺先进，产品技术生命周期处于成长、成熟阶段。</w:t>
            </w:r>
          </w:p>
          <w:p w14:paraId="7F795343">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-2.5分。未提供相关评审内容的，该项得0分。</w:t>
            </w:r>
          </w:p>
          <w:p w14:paraId="6DA13016">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5CFD8D9A">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技术成熟度低或技术不够先进；</w:t>
            </w:r>
          </w:p>
          <w:p w14:paraId="03AB9D4B">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产品技术生命周期处于导入或衰退阶段；</w:t>
            </w:r>
          </w:p>
          <w:p w14:paraId="0A8B487B">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78E74697">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欠缺</w:t>
            </w:r>
            <w:r>
              <w:rPr>
                <w:rFonts w:hint="eastAsia" w:ascii="宋体" w:hAnsi="宋体" w:eastAsia="宋体" w:cs="宋体"/>
                <w:color w:val="auto"/>
                <w:sz w:val="21"/>
                <w:szCs w:val="21"/>
                <w:highlight w:val="none"/>
                <w:lang w:eastAsia="zh-CN"/>
              </w:rPr>
              <w:t>科学</w:t>
            </w:r>
            <w:r>
              <w:rPr>
                <w:rFonts w:hint="eastAsia" w:ascii="宋体" w:hAnsi="宋体" w:eastAsia="宋体" w:cs="宋体"/>
                <w:color w:val="auto"/>
                <w:sz w:val="21"/>
                <w:szCs w:val="21"/>
                <w:highlight w:val="none"/>
                <w:lang w:val="en-US" w:eastAsia="zh-CN"/>
              </w:rPr>
              <w:t>性、</w:t>
            </w:r>
            <w:r>
              <w:rPr>
                <w:rFonts w:hint="eastAsia" w:ascii="宋体" w:hAnsi="宋体" w:eastAsia="宋体" w:cs="宋体"/>
                <w:color w:val="auto"/>
                <w:sz w:val="21"/>
                <w:szCs w:val="21"/>
                <w:highlight w:val="none"/>
                <w:lang w:eastAsia="zh-CN"/>
              </w:rPr>
              <w:t>合理性</w:t>
            </w:r>
            <w:r>
              <w:rPr>
                <w:rFonts w:hint="eastAsia" w:ascii="宋体" w:hAnsi="宋体" w:eastAsia="宋体" w:cs="宋体"/>
                <w:color w:val="auto"/>
                <w:sz w:val="21"/>
                <w:szCs w:val="21"/>
                <w:highlight w:val="none"/>
                <w:lang w:val="en-US" w:eastAsia="zh-CN"/>
              </w:rPr>
              <w:t>或可靠度不高；</w:t>
            </w:r>
          </w:p>
          <w:p w14:paraId="79DF97A5">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其他不完善或不满足要求的情形。</w:t>
            </w:r>
          </w:p>
          <w:p w14:paraId="7C0370A1">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2、整体配置水平：</w:t>
            </w:r>
          </w:p>
          <w:p w14:paraId="1473152B">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210" w:leftChars="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①评审标准：整体水平高、无缺漏。</w:t>
            </w:r>
          </w:p>
          <w:p w14:paraId="477384E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.5分。未提供相关评审内容的，该项得0分。</w:t>
            </w:r>
          </w:p>
          <w:p w14:paraId="6BEC87C6">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35E9BD1F">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1）存在缺漏项或不满足项；</w:t>
            </w:r>
          </w:p>
          <w:p w14:paraId="13B5B68A">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415BB1C2">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3）关键部件选型欠缺</w:t>
            </w:r>
            <w:r>
              <w:rPr>
                <w:rFonts w:hint="eastAsia" w:ascii="宋体" w:hAnsi="宋体" w:eastAsia="宋体" w:cs="宋体"/>
                <w:color w:val="auto"/>
                <w:sz w:val="21"/>
                <w:szCs w:val="21"/>
                <w:highlight w:val="none"/>
                <w:lang w:eastAsia="zh-CN"/>
              </w:rPr>
              <w:t>合理</w:t>
            </w:r>
            <w:r>
              <w:rPr>
                <w:rFonts w:hint="eastAsia" w:ascii="宋体" w:hAnsi="宋体" w:eastAsia="宋体" w:cs="宋体"/>
                <w:color w:val="auto"/>
                <w:sz w:val="21"/>
                <w:szCs w:val="21"/>
                <w:highlight w:val="none"/>
                <w:lang w:val="en-US" w:eastAsia="zh-CN"/>
              </w:rPr>
              <w:t>性、匹配度或可靠度不高；</w:t>
            </w:r>
          </w:p>
          <w:p w14:paraId="494685F1">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4）其他不完善或不满足要求的情形。</w:t>
            </w:r>
          </w:p>
          <w:p w14:paraId="4EC79361">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3、产品</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w:t>
            </w:r>
          </w:p>
          <w:p w14:paraId="355DE495">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齐全、完善，满足采购要求</w:t>
            </w:r>
            <w:r>
              <w:rPr>
                <w:rFonts w:hint="eastAsia" w:ascii="宋体" w:hAnsi="宋体" w:cs="宋体"/>
                <w:color w:val="auto"/>
                <w:sz w:val="21"/>
                <w:szCs w:val="21"/>
                <w:highlight w:val="none"/>
                <w:lang w:val="en-US" w:eastAsia="zh-CN"/>
              </w:rPr>
              <w:t>。</w:t>
            </w:r>
          </w:p>
          <w:p w14:paraId="5BA940A4">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分；每有一项功能缺失或负偏离的扣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.5分，3项及以上</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缺失或偏离或未提供相关评审内容的，得0分。</w:t>
            </w:r>
          </w:p>
        </w:tc>
        <w:tc>
          <w:tcPr>
            <w:tcW w:w="400" w:type="pct"/>
            <w:noWrap w:val="0"/>
            <w:vAlign w:val="center"/>
          </w:tcPr>
          <w:p w14:paraId="3C06617C">
            <w:pPr>
              <w:pStyle w:val="43"/>
              <w:keepNext w:val="0"/>
              <w:keepLines w:val="0"/>
              <w:pageBreakBefore w:val="0"/>
              <w:widowControl/>
              <w:kinsoku/>
              <w:overflowPunct/>
              <w:topLinePunct w:val="0"/>
              <w:autoSpaceDE/>
              <w:autoSpaceDN/>
              <w:bidi w:val="0"/>
              <w:adjustRightInd/>
              <w:snapToGrid/>
              <w:spacing w:line="216"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5555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2" w:hRule="atLeast"/>
        </w:trPr>
        <w:tc>
          <w:tcPr>
            <w:tcW w:w="300" w:type="pct"/>
            <w:vMerge w:val="continue"/>
            <w:noWrap w:val="0"/>
            <w:vAlign w:val="center"/>
          </w:tcPr>
          <w:p w14:paraId="1DCC973D">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00330272">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产品质量保障</w:t>
            </w:r>
            <w:r>
              <w:rPr>
                <w:rFonts w:hint="eastAsia" w:ascii="宋体" w:hAnsi="宋体" w:eastAsia="宋体" w:cs="宋体"/>
                <w:color w:val="auto"/>
                <w:sz w:val="21"/>
                <w:szCs w:val="21"/>
                <w:highlight w:val="none"/>
                <w:lang w:eastAsia="zh-CN"/>
              </w:rPr>
              <w:t>措施</w:t>
            </w:r>
          </w:p>
          <w:p w14:paraId="290B95FB">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3891" w:type="pct"/>
            <w:noWrap w:val="0"/>
            <w:vAlign w:val="center"/>
          </w:tcPr>
          <w:p w14:paraId="4710EEA0">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提供产品质量</w:t>
            </w:r>
            <w:r>
              <w:rPr>
                <w:rFonts w:hint="eastAsia" w:ascii="宋体" w:hAnsi="宋体" w:eastAsia="宋体" w:cs="宋体"/>
                <w:color w:val="auto"/>
                <w:sz w:val="21"/>
                <w:szCs w:val="21"/>
                <w:highlight w:val="none"/>
                <w:lang w:eastAsia="zh-CN"/>
              </w:rPr>
              <w:t>保证措施，</w:t>
            </w:r>
            <w:r>
              <w:rPr>
                <w:rFonts w:hint="eastAsia" w:ascii="宋体" w:hAnsi="宋体" w:eastAsia="宋体" w:cs="宋体"/>
                <w:color w:val="auto"/>
                <w:sz w:val="21"/>
                <w:szCs w:val="21"/>
                <w:highlight w:val="none"/>
                <w:lang w:val="en-US" w:eastAsia="zh-CN"/>
              </w:rPr>
              <w:t>内容需结合前述实施方案，并考虑结合</w:t>
            </w:r>
            <w:r>
              <w:rPr>
                <w:rFonts w:hint="eastAsia" w:ascii="宋体" w:hAnsi="宋体" w:eastAsia="宋体" w:cs="宋体"/>
                <w:color w:val="auto"/>
                <w:sz w:val="21"/>
                <w:szCs w:val="21"/>
                <w:highlight w:val="none"/>
              </w:rPr>
              <w:t>项目实际，</w:t>
            </w:r>
            <w:r>
              <w:rPr>
                <w:rFonts w:hint="eastAsia" w:ascii="宋体" w:hAnsi="宋体" w:eastAsia="宋体" w:cs="宋体"/>
                <w:color w:val="auto"/>
                <w:sz w:val="21"/>
                <w:szCs w:val="21"/>
                <w:highlight w:val="none"/>
                <w:lang w:val="en-US" w:eastAsia="zh-CN"/>
              </w:rPr>
              <w:t>能够切实保证服务质量</w:t>
            </w:r>
          </w:p>
          <w:p w14:paraId="48F53106">
            <w:pPr>
              <w:pStyle w:val="43"/>
              <w:numPr>
                <w:ilvl w:val="0"/>
                <w:numId w:val="11"/>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评审内容</w:t>
            </w:r>
            <w:r>
              <w:rPr>
                <w:rFonts w:hint="eastAsia" w:ascii="宋体" w:hAnsi="宋体" w:eastAsia="宋体" w:cs="宋体"/>
                <w:color w:val="auto"/>
                <w:sz w:val="21"/>
                <w:szCs w:val="21"/>
                <w:highlight w:val="none"/>
              </w:rPr>
              <w:t>:</w:t>
            </w:r>
          </w:p>
          <w:p w14:paraId="25907765">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质量控制目标</w:t>
            </w:r>
            <w:r>
              <w:rPr>
                <w:rFonts w:hint="eastAsia" w:ascii="宋体" w:hAnsi="宋体" w:cs="宋体"/>
                <w:color w:val="auto"/>
                <w:sz w:val="21"/>
                <w:szCs w:val="21"/>
                <w:highlight w:val="none"/>
                <w:lang w:val="en-US" w:eastAsia="zh-CN"/>
              </w:rPr>
              <w:t>、措施及安全承诺</w:t>
            </w:r>
            <w:r>
              <w:rPr>
                <w:rFonts w:hint="eastAsia" w:ascii="宋体" w:hAnsi="宋体" w:eastAsia="宋体" w:cs="宋体"/>
                <w:color w:val="auto"/>
                <w:sz w:val="21"/>
                <w:szCs w:val="21"/>
                <w:highlight w:val="none"/>
              </w:rPr>
              <w:t>；</w:t>
            </w:r>
          </w:p>
          <w:p w14:paraId="0329C007">
            <w:pPr>
              <w:pStyle w:val="43"/>
              <w:numPr>
                <w:ilvl w:val="0"/>
                <w:numId w:val="0"/>
              </w:numP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lang w:val="en-US" w:eastAsia="zh-CN"/>
              </w:rPr>
              <w:t>质量管理标准及规范、体系制度。</w:t>
            </w:r>
          </w:p>
          <w:p w14:paraId="3071ABA4">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191A640D">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69EFCF63">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r>
              <w:rPr>
                <w:rFonts w:hint="eastAsia" w:ascii="宋体" w:hAnsi="宋体" w:cs="宋体"/>
                <w:color w:val="auto"/>
                <w:sz w:val="21"/>
                <w:szCs w:val="21"/>
                <w:highlight w:val="none"/>
                <w:lang w:val="en-US" w:eastAsia="zh-CN"/>
              </w:rPr>
              <w:t>；</w:t>
            </w:r>
          </w:p>
          <w:p w14:paraId="48D0EE15">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4FD2DA55">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2.5</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0.1-0.8</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71A4F841">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4E196C7F">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074AEEB9">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4BE93F9F">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4935FB06">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4）其他不合理、不完善的情形</w:t>
            </w:r>
            <w:r>
              <w:rPr>
                <w:rFonts w:hint="eastAsia" w:ascii="宋体" w:hAnsi="宋体" w:eastAsia="宋体" w:cs="宋体"/>
                <w:color w:val="auto"/>
                <w:sz w:val="21"/>
                <w:szCs w:val="21"/>
                <w:highlight w:val="none"/>
              </w:rPr>
              <w:t>。</w:t>
            </w:r>
          </w:p>
        </w:tc>
        <w:tc>
          <w:tcPr>
            <w:tcW w:w="400" w:type="pct"/>
            <w:noWrap w:val="0"/>
            <w:vAlign w:val="center"/>
          </w:tcPr>
          <w:p w14:paraId="3924A85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30DD2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45750104">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3139A6A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p w14:paraId="38B20DDF">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tc>
        <w:tc>
          <w:tcPr>
            <w:tcW w:w="3891" w:type="pct"/>
            <w:noWrap w:val="0"/>
            <w:vAlign w:val="center"/>
          </w:tcPr>
          <w:p w14:paraId="2375A94D">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lang w:eastAsia="zh-CN"/>
              </w:rPr>
              <w:t>针对本项目</w:t>
            </w:r>
            <w:r>
              <w:rPr>
                <w:rFonts w:hint="eastAsia" w:ascii="宋体" w:hAnsi="宋体" w:eastAsia="宋体" w:cs="宋体"/>
                <w:color w:val="auto"/>
                <w:sz w:val="21"/>
                <w:szCs w:val="21"/>
                <w:highlight w:val="none"/>
              </w:rPr>
              <w:t>提供完善的售后服务方案。</w:t>
            </w:r>
          </w:p>
          <w:p w14:paraId="288661E7">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Hans"/>
              </w:rPr>
              <w:t>、</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内容：</w:t>
            </w:r>
          </w:p>
          <w:p w14:paraId="6EAB5E77">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①售后服务</w:t>
            </w:r>
            <w:r>
              <w:rPr>
                <w:rFonts w:hint="eastAsia" w:ascii="宋体" w:hAnsi="宋体" w:eastAsia="宋体" w:cs="宋体"/>
                <w:color w:val="auto"/>
                <w:sz w:val="21"/>
                <w:szCs w:val="21"/>
                <w:highlight w:val="none"/>
                <w:lang w:val="en-US" w:eastAsia="zh-CN"/>
              </w:rPr>
              <w:t>计划及保障措施</w:t>
            </w:r>
            <w:r>
              <w:rPr>
                <w:rFonts w:hint="eastAsia" w:ascii="宋体" w:hAnsi="宋体" w:eastAsia="宋体" w:cs="宋体"/>
                <w:color w:val="auto"/>
                <w:sz w:val="21"/>
                <w:szCs w:val="21"/>
                <w:highlight w:val="none"/>
                <w:lang w:eastAsia="zh-CN"/>
              </w:rPr>
              <w:t>；</w:t>
            </w:r>
          </w:p>
          <w:p w14:paraId="0D69445B">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售后</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机构；</w:t>
            </w:r>
          </w:p>
          <w:p w14:paraId="6EAA29D8">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响应</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解决问题</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时限</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相关服务承诺。</w:t>
            </w:r>
          </w:p>
          <w:p w14:paraId="4E91A12D">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72D15C85">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623469C6">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732A1F43">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3B73E5AA">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0.1-0.3</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205BED50">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43A1935C">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3C27EED0">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1F55CCCB">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5BE13C6D">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4）其他不合理、或不完善的情形</w:t>
            </w:r>
            <w:r>
              <w:rPr>
                <w:rFonts w:hint="eastAsia" w:ascii="宋体" w:hAnsi="宋体" w:eastAsia="宋体" w:cs="宋体"/>
                <w:color w:val="auto"/>
                <w:sz w:val="21"/>
                <w:szCs w:val="21"/>
                <w:highlight w:val="none"/>
              </w:rPr>
              <w:t>。</w:t>
            </w:r>
          </w:p>
        </w:tc>
        <w:tc>
          <w:tcPr>
            <w:tcW w:w="400" w:type="pct"/>
            <w:noWrap w:val="0"/>
            <w:vAlign w:val="center"/>
          </w:tcPr>
          <w:p w14:paraId="6546F8C0">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45B8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300" w:type="pct"/>
            <w:vMerge w:val="continue"/>
            <w:noWrap w:val="0"/>
            <w:vAlign w:val="center"/>
          </w:tcPr>
          <w:p w14:paraId="5C68B54E">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0C75EBD9">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产品合法来源渠道证明</w:t>
            </w:r>
          </w:p>
          <w:p w14:paraId="7FA9F320">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891" w:type="pct"/>
            <w:noWrap w:val="0"/>
            <w:vAlign w:val="center"/>
          </w:tcPr>
          <w:p w14:paraId="3D5A022C">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提供所有投标产品合法来源渠道证明（包括但不限于销售协议、代理协议、原厂授权等）得10分；提供了部分投标产品合法来源渠道证明（包括但不限于销售协议、代理协议、原厂授权等）得5分；未提供的不得分。</w:t>
            </w:r>
          </w:p>
        </w:tc>
        <w:tc>
          <w:tcPr>
            <w:tcW w:w="400" w:type="pct"/>
            <w:noWrap w:val="0"/>
            <w:vAlign w:val="center"/>
          </w:tcPr>
          <w:p w14:paraId="4784B931">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6600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300" w:type="pct"/>
            <w:vMerge w:val="continue"/>
            <w:noWrap w:val="0"/>
            <w:vAlign w:val="center"/>
          </w:tcPr>
          <w:p w14:paraId="0F8240B3">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72AD8F84">
            <w:pPr>
              <w:pStyle w:val="14"/>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p w14:paraId="7E60DB78">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10分</w:t>
            </w:r>
          </w:p>
        </w:tc>
        <w:tc>
          <w:tcPr>
            <w:tcW w:w="3891" w:type="pct"/>
            <w:noWrap w:val="0"/>
            <w:vAlign w:val="center"/>
          </w:tcPr>
          <w:p w14:paraId="223889F2">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202</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年1月1日至今，投标人承担过的同类项目业绩（以合同复印件为准），每有一项得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分，最多得10分。</w:t>
            </w:r>
          </w:p>
        </w:tc>
        <w:tc>
          <w:tcPr>
            <w:tcW w:w="400" w:type="pct"/>
            <w:noWrap w:val="0"/>
            <w:vAlign w:val="center"/>
          </w:tcPr>
          <w:p w14:paraId="4CC75C64">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0DD25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trPr>
        <w:tc>
          <w:tcPr>
            <w:tcW w:w="300" w:type="pct"/>
            <w:vMerge w:val="continue"/>
            <w:noWrap w:val="0"/>
            <w:vAlign w:val="center"/>
          </w:tcPr>
          <w:p w14:paraId="035A94B0">
            <w:pPr>
              <w:shd w:val="clear" w:color="auto" w:fill="auto"/>
              <w:spacing w:line="240" w:lineRule="auto"/>
              <w:jc w:val="center"/>
              <w:rPr>
                <w:rFonts w:hint="eastAsia" w:ascii="宋体" w:hAnsi="宋体" w:eastAsia="宋体" w:cs="宋体"/>
                <w:color w:val="auto"/>
                <w:sz w:val="21"/>
                <w:szCs w:val="21"/>
                <w:highlight w:val="none"/>
              </w:rPr>
            </w:pPr>
          </w:p>
        </w:tc>
        <w:tc>
          <w:tcPr>
            <w:tcW w:w="408" w:type="pct"/>
            <w:noWrap w:val="0"/>
            <w:vAlign w:val="center"/>
          </w:tcPr>
          <w:p w14:paraId="1E199335">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商务条款</w:t>
            </w:r>
          </w:p>
          <w:p w14:paraId="78D3CF41">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w:t>
            </w:r>
          </w:p>
        </w:tc>
        <w:tc>
          <w:tcPr>
            <w:tcW w:w="3891" w:type="pct"/>
            <w:noWrap w:val="0"/>
            <w:vAlign w:val="center"/>
          </w:tcPr>
          <w:p w14:paraId="05CD33B6">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评标委员会根据投标人对招标文件中商务条款的偏差进行评价。无偏离得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分；每有1项负偏离扣1分，最低得0分。</w:t>
            </w:r>
          </w:p>
        </w:tc>
        <w:tc>
          <w:tcPr>
            <w:tcW w:w="400" w:type="pct"/>
            <w:noWrap w:val="0"/>
            <w:vAlign w:val="center"/>
          </w:tcPr>
          <w:p w14:paraId="789EE51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bl>
    <w:p w14:paraId="6216E332">
      <w:pPr>
        <w:ind w:firstLine="420" w:firstLineChars="200"/>
        <w:rPr>
          <w:i/>
          <w:iCs/>
          <w:color w:val="FF00FF"/>
          <w:highlight w:val="none"/>
        </w:rPr>
      </w:pPr>
    </w:p>
    <w:p w14:paraId="21363D93">
      <w:pPr>
        <w:rPr>
          <w:rFonts w:hAnsi="宋体"/>
          <w:b/>
          <w:sz w:val="32"/>
          <w:szCs w:val="32"/>
          <w:highlight w:val="none"/>
        </w:rPr>
      </w:pPr>
      <w:r>
        <w:rPr>
          <w:rFonts w:hint="eastAsia" w:hAnsi="宋体"/>
          <w:b/>
          <w:sz w:val="32"/>
          <w:szCs w:val="32"/>
          <w:highlight w:val="none"/>
        </w:rPr>
        <w:br w:type="page"/>
      </w:r>
    </w:p>
    <w:p w14:paraId="7B8480D3">
      <w:pPr>
        <w:spacing w:before="240" w:line="360" w:lineRule="auto"/>
        <w:ind w:left="1"/>
        <w:jc w:val="center"/>
        <w:rPr>
          <w:highlight w:val="none"/>
        </w:rPr>
      </w:pPr>
    </w:p>
    <w:p w14:paraId="7FFEF84B">
      <w:pPr>
        <w:spacing w:line="360" w:lineRule="auto"/>
        <w:ind w:firstLine="883" w:firstLineChars="200"/>
        <w:jc w:val="center"/>
        <w:outlineLvl w:val="0"/>
        <w:rPr>
          <w:rFonts w:ascii="宋体" w:hAnsi="宋体"/>
          <w:b/>
          <w:bCs/>
          <w:sz w:val="44"/>
          <w:szCs w:val="44"/>
          <w:highlight w:val="none"/>
        </w:rPr>
      </w:pPr>
      <w:bookmarkStart w:id="9" w:name="_Toc158"/>
      <w:r>
        <w:rPr>
          <w:rFonts w:hint="eastAsia" w:ascii="宋体" w:hAnsi="宋体"/>
          <w:b/>
          <w:sz w:val="44"/>
          <w:szCs w:val="44"/>
          <w:highlight w:val="none"/>
        </w:rPr>
        <w:t>第六章 投标文件格式</w:t>
      </w:r>
      <w:bookmarkEnd w:id="9"/>
    </w:p>
    <w:p w14:paraId="4CB0482E">
      <w:pPr>
        <w:jc w:val="center"/>
        <w:rPr>
          <w:rFonts w:ascii="宋体" w:hAnsi="宋体"/>
          <w:b/>
          <w:sz w:val="44"/>
          <w:szCs w:val="44"/>
          <w:highlight w:val="none"/>
        </w:rPr>
      </w:pPr>
      <w:r>
        <w:rPr>
          <w:rFonts w:ascii="幼圆" w:eastAsia="幼圆"/>
          <w:b/>
          <w:sz w:val="44"/>
          <w:szCs w:val="44"/>
          <w:highlight w:val="none"/>
        </w:rPr>
        <w:br w:type="page"/>
      </w:r>
      <w:bookmarkStart w:id="10" w:name="OLE_LINK13"/>
      <w:bookmarkStart w:id="11" w:name="OLE_LINK14"/>
      <w:r>
        <w:rPr>
          <w:rFonts w:hint="eastAsia" w:ascii="宋体" w:hAnsi="宋体"/>
          <w:b/>
          <w:sz w:val="44"/>
          <w:szCs w:val="44"/>
          <w:highlight w:val="none"/>
        </w:rPr>
        <w:t>政府采购货物项目</w:t>
      </w:r>
    </w:p>
    <w:p w14:paraId="05FA00E5">
      <w:pPr>
        <w:jc w:val="center"/>
        <w:rPr>
          <w:rFonts w:ascii="宋体" w:hAnsi="宋体"/>
          <w:b/>
          <w:sz w:val="36"/>
          <w:szCs w:val="36"/>
          <w:highlight w:val="none"/>
        </w:rPr>
      </w:pPr>
    </w:p>
    <w:p w14:paraId="022694A7">
      <w:pPr>
        <w:jc w:val="center"/>
        <w:rPr>
          <w:rFonts w:ascii="宋体" w:hAnsi="宋体"/>
          <w:b/>
          <w:sz w:val="44"/>
          <w:szCs w:val="44"/>
          <w:highlight w:val="none"/>
        </w:rPr>
      </w:pPr>
    </w:p>
    <w:p w14:paraId="62E5B052">
      <w:pPr>
        <w:jc w:val="center"/>
        <w:rPr>
          <w:rFonts w:ascii="宋体" w:hAnsi="宋体"/>
          <w:b/>
          <w:sz w:val="36"/>
          <w:szCs w:val="36"/>
          <w:highlight w:val="none"/>
        </w:rPr>
      </w:pPr>
    </w:p>
    <w:p w14:paraId="0CB18E55">
      <w:pPr>
        <w:jc w:val="center"/>
        <w:rPr>
          <w:rFonts w:ascii="宋体" w:hAnsi="宋体"/>
          <w:b/>
          <w:sz w:val="84"/>
          <w:szCs w:val="84"/>
          <w:highlight w:val="none"/>
        </w:rPr>
      </w:pPr>
      <w:r>
        <w:rPr>
          <w:rFonts w:hint="eastAsia" w:ascii="宋体" w:hAnsi="宋体"/>
          <w:b/>
          <w:sz w:val="84"/>
          <w:szCs w:val="84"/>
          <w:highlight w:val="none"/>
        </w:rPr>
        <w:t>投 标 文 件</w:t>
      </w:r>
    </w:p>
    <w:p w14:paraId="2A5BC323">
      <w:pPr>
        <w:jc w:val="center"/>
        <w:rPr>
          <w:rFonts w:ascii="方正大标宋简体" w:eastAsia="方正大标宋简体"/>
          <w:b/>
          <w:sz w:val="36"/>
          <w:szCs w:val="36"/>
          <w:highlight w:val="none"/>
        </w:rPr>
      </w:pPr>
    </w:p>
    <w:p w14:paraId="47D867D7">
      <w:pPr>
        <w:jc w:val="center"/>
        <w:rPr>
          <w:rFonts w:ascii="宋体" w:hAnsi="宋体" w:cs="宋体"/>
          <w:b/>
          <w:sz w:val="36"/>
          <w:szCs w:val="36"/>
          <w:highlight w:val="none"/>
        </w:rPr>
      </w:pPr>
      <w:r>
        <w:rPr>
          <w:rFonts w:hint="eastAsia" w:ascii="宋体" w:hAnsi="宋体" w:cs="宋体"/>
          <w:b/>
          <w:sz w:val="36"/>
          <w:szCs w:val="36"/>
          <w:highlight w:val="none"/>
        </w:rPr>
        <w:t>（资格部分）</w:t>
      </w:r>
    </w:p>
    <w:p w14:paraId="44C50DB3">
      <w:pPr>
        <w:rPr>
          <w:rFonts w:ascii="方正大标宋简体" w:eastAsia="方正大标宋简体"/>
          <w:b/>
          <w:sz w:val="36"/>
          <w:szCs w:val="36"/>
          <w:highlight w:val="none"/>
        </w:rPr>
      </w:pPr>
    </w:p>
    <w:p w14:paraId="7389B068">
      <w:pPr>
        <w:jc w:val="center"/>
        <w:rPr>
          <w:rFonts w:ascii="方正大标宋简体" w:eastAsia="方正大标宋简体"/>
          <w:sz w:val="36"/>
          <w:szCs w:val="36"/>
          <w:highlight w:val="none"/>
        </w:rPr>
      </w:pPr>
    </w:p>
    <w:p w14:paraId="76F9903C">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24FF0C2A">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6DB4E351">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第7包：</w:t>
      </w:r>
    </w:p>
    <w:p w14:paraId="32336835">
      <w:pPr>
        <w:pStyle w:val="21"/>
        <w:ind w:firstLine="1120" w:firstLineChars="400"/>
        <w:rPr>
          <w:highlight w:val="none"/>
        </w:rPr>
      </w:pPr>
    </w:p>
    <w:p w14:paraId="5BD5B3B6">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p>
    <w:p w14:paraId="583E40C0">
      <w:pPr>
        <w:spacing w:line="360" w:lineRule="auto"/>
        <w:ind w:left="1080"/>
        <w:rPr>
          <w:rFonts w:ascii="方正大标宋简体" w:eastAsia="方正大标宋简体"/>
          <w:sz w:val="44"/>
          <w:szCs w:val="44"/>
          <w:highlight w:val="none"/>
        </w:rPr>
      </w:pPr>
      <w:r>
        <w:rPr>
          <w:rFonts w:hint="eastAsia" w:ascii="方正大标宋简体" w:eastAsia="方正大标宋简体"/>
          <w:sz w:val="28"/>
          <w:szCs w:val="28"/>
          <w:highlight w:val="none"/>
        </w:rPr>
        <w:t xml:space="preserve">    </w:t>
      </w:r>
    </w:p>
    <w:p w14:paraId="792CDD80">
      <w:pPr>
        <w:jc w:val="center"/>
        <w:rPr>
          <w:rFonts w:ascii="宋体" w:hAnsi="宋体"/>
          <w:b/>
          <w:sz w:val="30"/>
          <w:szCs w:val="30"/>
          <w:highlight w:val="none"/>
        </w:rPr>
      </w:pPr>
    </w:p>
    <w:p w14:paraId="4C8299DC">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335FC387">
      <w:pPr>
        <w:rPr>
          <w:rFonts w:ascii="宋体" w:hAnsi="宋体"/>
          <w:b/>
          <w:sz w:val="30"/>
          <w:szCs w:val="30"/>
          <w:highlight w:val="none"/>
        </w:rPr>
      </w:pPr>
    </w:p>
    <w:p w14:paraId="1D293448">
      <w:pPr>
        <w:ind w:firstLine="1795" w:firstLineChars="596"/>
        <w:rPr>
          <w:rFonts w:ascii="宋体" w:hAnsi="宋体"/>
          <w:b/>
          <w:sz w:val="30"/>
          <w:szCs w:val="30"/>
          <w:highlight w:val="none"/>
        </w:rPr>
      </w:pPr>
      <w:r>
        <w:rPr>
          <w:rFonts w:hint="eastAsia" w:ascii="宋体" w:hAnsi="宋体"/>
          <w:b/>
          <w:sz w:val="30"/>
          <w:szCs w:val="30"/>
          <w:highlight w:val="none"/>
        </w:rPr>
        <w:t>日期：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7A44BF5E">
      <w:pPr>
        <w:spacing w:line="360" w:lineRule="auto"/>
        <w:ind w:left="1524"/>
        <w:rPr>
          <w:rFonts w:ascii="宋体" w:hAnsi="宋体"/>
          <w:sz w:val="24"/>
          <w:szCs w:val="24"/>
          <w:highlight w:val="none"/>
        </w:rPr>
      </w:pPr>
    </w:p>
    <w:p w14:paraId="49B1FEC3">
      <w:pPr>
        <w:spacing w:line="500" w:lineRule="exact"/>
        <w:jc w:val="center"/>
        <w:rPr>
          <w:rFonts w:ascii="宋体" w:hAnsi="宋体"/>
          <w:b/>
          <w:bCs/>
          <w:spacing w:val="4"/>
          <w:sz w:val="36"/>
          <w:szCs w:val="36"/>
          <w:highlight w:val="none"/>
        </w:rPr>
      </w:pPr>
      <w:r>
        <w:rPr>
          <w:rFonts w:ascii="宋体" w:hAnsi="宋体"/>
          <w:b/>
          <w:bCs/>
          <w:spacing w:val="4"/>
          <w:sz w:val="36"/>
          <w:szCs w:val="36"/>
          <w:highlight w:val="none"/>
        </w:rPr>
        <w:br w:type="page"/>
      </w:r>
    </w:p>
    <w:p w14:paraId="32493ABE">
      <w:pPr>
        <w:spacing w:line="500" w:lineRule="exact"/>
        <w:jc w:val="center"/>
        <w:rPr>
          <w:rFonts w:ascii="宋体" w:hAnsi="宋体"/>
          <w:b/>
          <w:bCs/>
          <w:spacing w:val="4"/>
          <w:sz w:val="36"/>
          <w:szCs w:val="36"/>
          <w:highlight w:val="none"/>
        </w:rPr>
      </w:pPr>
    </w:p>
    <w:p w14:paraId="1D4CA5B3">
      <w:pPr>
        <w:spacing w:line="500" w:lineRule="exact"/>
        <w:jc w:val="center"/>
        <w:rPr>
          <w:rFonts w:ascii="宋体" w:hAnsi="宋体"/>
          <w:b/>
          <w:bCs/>
          <w:spacing w:val="4"/>
          <w:sz w:val="36"/>
          <w:szCs w:val="36"/>
          <w:highlight w:val="none"/>
        </w:rPr>
      </w:pPr>
      <w:r>
        <w:rPr>
          <w:rFonts w:hint="eastAsia" w:ascii="宋体" w:hAnsi="宋体"/>
          <w:b/>
          <w:bCs/>
          <w:spacing w:val="4"/>
          <w:sz w:val="36"/>
          <w:szCs w:val="36"/>
          <w:highlight w:val="none"/>
        </w:rPr>
        <w:t>目 录</w:t>
      </w:r>
    </w:p>
    <w:p w14:paraId="155A34CC">
      <w:pPr>
        <w:spacing w:line="500" w:lineRule="exact"/>
        <w:jc w:val="center"/>
        <w:rPr>
          <w:rFonts w:ascii="宋体" w:hAnsi="宋体"/>
          <w:b/>
          <w:bCs/>
          <w:spacing w:val="4"/>
          <w:sz w:val="30"/>
          <w:szCs w:val="30"/>
          <w:highlight w:val="none"/>
        </w:rPr>
      </w:pPr>
    </w:p>
    <w:p w14:paraId="1D7C24E8">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（一）法定代表人（单位负责人）证明书</w:t>
      </w:r>
    </w:p>
    <w:p w14:paraId="21BBC1FD">
      <w:pPr>
        <w:spacing w:line="480" w:lineRule="auto"/>
        <w:ind w:firstLine="1488" w:firstLineChars="600"/>
        <w:rPr>
          <w:rFonts w:ascii="宋体" w:hAnsi="宋体"/>
          <w:spacing w:val="4"/>
          <w:sz w:val="24"/>
          <w:szCs w:val="24"/>
          <w:highlight w:val="none"/>
        </w:rPr>
      </w:pPr>
      <w:r>
        <w:rPr>
          <w:rFonts w:hint="eastAsia" w:ascii="宋体" w:hAnsi="宋体"/>
          <w:spacing w:val="4"/>
          <w:sz w:val="24"/>
          <w:szCs w:val="24"/>
          <w:highlight w:val="none"/>
        </w:rPr>
        <w:t>法定代表人（单位负责人）授权书</w:t>
      </w: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76FB67E8">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（二）陕西省政府采购供应商拒绝政府采购领域商业贿赂承诺书</w:t>
      </w:r>
    </w:p>
    <w:p w14:paraId="461AC0D6">
      <w:pPr>
        <w:spacing w:line="480" w:lineRule="auto"/>
        <w:ind w:left="1240"/>
        <w:rPr>
          <w:rFonts w:ascii="宋体" w:hAnsi="宋体"/>
          <w:sz w:val="32"/>
          <w:highlight w:val="none"/>
        </w:rPr>
      </w:pPr>
      <w:r>
        <w:rPr>
          <w:rFonts w:hint="eastAsia" w:ascii="宋体" w:hAnsi="宋体"/>
          <w:spacing w:val="4"/>
          <w:sz w:val="24"/>
          <w:szCs w:val="24"/>
          <w:highlight w:val="none"/>
        </w:rPr>
        <w:t>（三）资格证明文件</w:t>
      </w:r>
    </w:p>
    <w:p w14:paraId="41558681">
      <w:pPr>
        <w:spacing w:line="440" w:lineRule="exact"/>
        <w:jc w:val="center"/>
        <w:rPr>
          <w:rFonts w:ascii="宋体" w:hAnsi="宋体"/>
          <w:spacing w:val="4"/>
          <w:sz w:val="24"/>
          <w:highlight w:val="none"/>
        </w:rPr>
      </w:pPr>
      <w:r>
        <w:rPr>
          <w:rFonts w:hint="eastAsia" w:ascii="宋体" w:hAnsi="宋体"/>
          <w:sz w:val="28"/>
          <w:highlight w:val="none"/>
        </w:rPr>
        <w:br w:type="page"/>
      </w:r>
      <w:r>
        <w:rPr>
          <w:rFonts w:ascii="宋体" w:hAnsi="宋体"/>
          <w:spacing w:val="4"/>
          <w:sz w:val="24"/>
          <w:highlight w:val="none"/>
        </w:rPr>
        <w:t xml:space="preserve"> </w:t>
      </w:r>
    </w:p>
    <w:p w14:paraId="01786F18">
      <w:pPr>
        <w:spacing w:line="440" w:lineRule="exact"/>
        <w:ind w:left="420"/>
        <w:jc w:val="center"/>
        <w:rPr>
          <w:rFonts w:ascii="宋体" w:hAnsi="宋体" w:cs="宋体"/>
          <w:b/>
          <w:spacing w:val="4"/>
          <w:sz w:val="36"/>
          <w:szCs w:val="36"/>
          <w:highlight w:val="none"/>
        </w:rPr>
      </w:pPr>
      <w:r>
        <w:rPr>
          <w:rFonts w:hint="eastAsia" w:ascii="宋体" w:hAnsi="宋体" w:cs="宋体"/>
          <w:b/>
          <w:spacing w:val="4"/>
          <w:sz w:val="36"/>
          <w:szCs w:val="36"/>
          <w:highlight w:val="none"/>
        </w:rPr>
        <w:t>一、法定代表人（单位负责人）证明书</w:t>
      </w:r>
    </w:p>
    <w:p w14:paraId="5C847151">
      <w:pPr>
        <w:spacing w:line="440" w:lineRule="exact"/>
        <w:ind w:left="420"/>
        <w:jc w:val="center"/>
        <w:rPr>
          <w:rFonts w:ascii="宋体" w:hAnsi="宋体" w:cs="宋体"/>
          <w:b/>
          <w:spacing w:val="4"/>
          <w:sz w:val="36"/>
          <w:szCs w:val="36"/>
          <w:highlight w:val="none"/>
        </w:rPr>
      </w:pPr>
    </w:p>
    <w:p w14:paraId="0A84A68E">
      <w:pPr>
        <w:spacing w:line="440" w:lineRule="exact"/>
        <w:rPr>
          <w:rFonts w:ascii="宋体" w:hAnsi="宋体" w:cs="宋体"/>
          <w:sz w:val="24"/>
          <w:szCs w:val="24"/>
          <w:highlight w:val="none"/>
        </w:rPr>
      </w:pPr>
    </w:p>
    <w:p w14:paraId="06328552">
      <w:pPr>
        <w:spacing w:line="48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5A55FE95">
      <w:pPr>
        <w:spacing w:line="480" w:lineRule="auto"/>
        <w:rPr>
          <w:rFonts w:ascii="宋体" w:hAnsi="宋体" w:cs="宋体"/>
          <w:sz w:val="24"/>
          <w:szCs w:val="24"/>
          <w:highlight w:val="none"/>
        </w:rPr>
      </w:pPr>
      <w:r>
        <w:rPr>
          <w:rFonts w:hint="eastAsia" w:ascii="宋体" w:hAnsi="宋体" w:cs="宋体"/>
          <w:sz w:val="24"/>
          <w:szCs w:val="24"/>
          <w:highlight w:val="none"/>
        </w:rPr>
        <w:t>单位性质：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4702068B">
      <w:pPr>
        <w:spacing w:line="480" w:lineRule="auto"/>
        <w:rPr>
          <w:rFonts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sz w:val="24"/>
          <w:szCs w:val="24"/>
          <w:highlight w:val="none"/>
          <w:u w:val="single"/>
        </w:rPr>
        <w:t xml:space="preserve">                                   </w:t>
      </w:r>
    </w:p>
    <w:p w14:paraId="4445AE53">
      <w:pPr>
        <w:spacing w:line="480" w:lineRule="auto"/>
        <w:rPr>
          <w:rFonts w:ascii="宋体" w:hAnsi="宋体" w:cs="宋体"/>
          <w:sz w:val="24"/>
          <w:szCs w:val="24"/>
          <w:highlight w:val="none"/>
        </w:rPr>
      </w:pPr>
      <w:r>
        <w:rPr>
          <w:rFonts w:hint="eastAsia" w:ascii="宋体" w:hAnsi="宋体" w:cs="宋体"/>
          <w:sz w:val="24"/>
          <w:szCs w:val="24"/>
          <w:highlight w:val="none"/>
        </w:rPr>
        <w:t>成立时间：</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237DB62B">
      <w:pPr>
        <w:spacing w:line="480" w:lineRule="auto"/>
        <w:rPr>
          <w:rFonts w:ascii="宋体" w:hAnsi="宋体" w:cs="宋体"/>
          <w:sz w:val="24"/>
          <w:szCs w:val="24"/>
          <w:highlight w:val="none"/>
        </w:rPr>
      </w:pPr>
      <w:r>
        <w:rPr>
          <w:rFonts w:hint="eastAsia" w:ascii="宋体" w:hAnsi="宋体" w:cs="宋体"/>
          <w:sz w:val="24"/>
          <w:szCs w:val="24"/>
          <w:highlight w:val="none"/>
        </w:rPr>
        <w:t>经营期限：</w:t>
      </w:r>
      <w:r>
        <w:rPr>
          <w:rFonts w:hint="eastAsia" w:ascii="宋体" w:hAnsi="宋体" w:cs="宋体"/>
          <w:sz w:val="24"/>
          <w:szCs w:val="24"/>
          <w:highlight w:val="none"/>
          <w:u w:val="single"/>
        </w:rPr>
        <w:t xml:space="preserve">                               </w:t>
      </w:r>
    </w:p>
    <w:p w14:paraId="352ECA52">
      <w:pPr>
        <w:spacing w:line="480" w:lineRule="auto"/>
        <w:rPr>
          <w:rFonts w:ascii="宋体" w:hAnsi="宋体" w:cs="宋体"/>
          <w:sz w:val="24"/>
          <w:szCs w:val="24"/>
          <w:highlight w:val="none"/>
        </w:rPr>
      </w:pPr>
      <w:r>
        <w:rPr>
          <w:rFonts w:hint="eastAsia" w:ascii="宋体" w:hAnsi="宋体" w:cs="宋体"/>
          <w:sz w:val="24"/>
          <w:szCs w:val="24"/>
          <w:highlight w:val="none"/>
        </w:rPr>
        <w:t>姓名：</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性别：</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年龄：</w:t>
      </w:r>
      <w:r>
        <w:rPr>
          <w:rFonts w:hint="eastAsia" w:ascii="宋体" w:hAnsi="宋体" w:cs="宋体"/>
          <w:sz w:val="24"/>
          <w:szCs w:val="24"/>
          <w:highlight w:val="none"/>
          <w:u w:val="single"/>
        </w:rPr>
        <w:t xml:space="preserve">        </w:t>
      </w:r>
      <w:r>
        <w:rPr>
          <w:rFonts w:hint="eastAsia" w:ascii="宋体" w:hAnsi="宋体" w:cs="宋体"/>
          <w:sz w:val="24"/>
          <w:szCs w:val="24"/>
          <w:highlight w:val="none"/>
        </w:rPr>
        <w:t>职务：</w:t>
      </w:r>
      <w:r>
        <w:rPr>
          <w:rFonts w:hint="eastAsia" w:ascii="宋体" w:hAnsi="宋体" w:cs="宋体"/>
          <w:sz w:val="24"/>
          <w:szCs w:val="24"/>
          <w:highlight w:val="none"/>
          <w:u w:val="single"/>
        </w:rPr>
        <w:t xml:space="preserve">        </w:t>
      </w:r>
    </w:p>
    <w:p w14:paraId="785C1326">
      <w:pPr>
        <w:spacing w:line="480" w:lineRule="auto"/>
        <w:rPr>
          <w:rFonts w:ascii="宋体" w:hAnsi="宋体" w:cs="宋体"/>
          <w:sz w:val="24"/>
          <w:szCs w:val="24"/>
          <w:highlight w:val="none"/>
        </w:rPr>
      </w:pPr>
      <w:r>
        <w:rPr>
          <w:rFonts w:hint="eastAsia" w:ascii="宋体" w:hAnsi="宋体" w:cs="宋体"/>
          <w:sz w:val="24"/>
          <w:szCs w:val="24"/>
          <w:highlight w:val="none"/>
        </w:rPr>
        <w:t>系</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（投标人名称）的法定代表人。</w:t>
      </w:r>
    </w:p>
    <w:p w14:paraId="49411FE6">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特此证明。</w:t>
      </w:r>
    </w:p>
    <w:p w14:paraId="75D238EB">
      <w:pPr>
        <w:pStyle w:val="8"/>
        <w:spacing w:line="480" w:lineRule="auto"/>
        <w:ind w:firstLine="480" w:firstLineChars="200"/>
        <w:rPr>
          <w:rFonts w:ascii="宋体" w:hAnsi="宋体" w:cs="宋体"/>
          <w:szCs w:val="24"/>
          <w:highlight w:val="none"/>
        </w:rPr>
      </w:pPr>
      <w:r>
        <w:rPr>
          <w:rFonts w:hint="eastAsia" w:ascii="宋体" w:hAnsi="宋体" w:cs="宋体"/>
          <w:szCs w:val="24"/>
          <w:highlight w:val="none"/>
        </w:rPr>
        <w:t>附：法定代表人（单位负责人）身份证复印件</w:t>
      </w:r>
    </w:p>
    <w:p w14:paraId="6B58D23A">
      <w:pPr>
        <w:spacing w:line="440" w:lineRule="exact"/>
        <w:ind w:firstLine="480" w:firstLineChars="200"/>
        <w:rPr>
          <w:rFonts w:ascii="宋体" w:hAnsi="宋体" w:cs="宋体"/>
          <w:sz w:val="24"/>
          <w:szCs w:val="24"/>
          <w:highlight w:val="none"/>
        </w:rPr>
      </w:pPr>
    </w:p>
    <w:p w14:paraId="64D216EA">
      <w:pPr>
        <w:pStyle w:val="14"/>
        <w:rPr>
          <w:rFonts w:ascii="宋体" w:hAnsi="宋体" w:cs="宋体"/>
          <w:sz w:val="24"/>
          <w:szCs w:val="24"/>
          <w:highlight w:val="none"/>
        </w:rPr>
      </w:pPr>
    </w:p>
    <w:p w14:paraId="2599D33F">
      <w:pPr>
        <w:rPr>
          <w:rFonts w:ascii="宋体" w:hAnsi="宋体" w:cs="宋体"/>
          <w:sz w:val="24"/>
          <w:szCs w:val="24"/>
          <w:highlight w:val="none"/>
        </w:rPr>
      </w:pPr>
    </w:p>
    <w:p w14:paraId="0DB2C88E">
      <w:pPr>
        <w:pStyle w:val="14"/>
        <w:rPr>
          <w:highlight w:val="none"/>
        </w:rPr>
      </w:pPr>
    </w:p>
    <w:p w14:paraId="2222898E">
      <w:pPr>
        <w:spacing w:line="440" w:lineRule="exact"/>
        <w:rPr>
          <w:rFonts w:ascii="宋体" w:hAnsi="宋体" w:cs="宋体"/>
          <w:sz w:val="24"/>
          <w:szCs w:val="24"/>
          <w:highlight w:val="none"/>
        </w:rPr>
      </w:pPr>
    </w:p>
    <w:p w14:paraId="5900B7BC">
      <w:pPr>
        <w:spacing w:line="440" w:lineRule="exact"/>
        <w:rPr>
          <w:rFonts w:ascii="宋体" w:hAnsi="宋体" w:cs="宋体"/>
          <w:sz w:val="24"/>
          <w:szCs w:val="24"/>
          <w:highlight w:val="none"/>
        </w:rPr>
      </w:pPr>
      <w:r>
        <w:rPr>
          <w:rFonts w:hint="eastAsia" w:ascii="宋体" w:hAnsi="宋体" w:cs="宋体"/>
          <w:sz w:val="24"/>
          <w:szCs w:val="24"/>
          <w:highlight w:val="none"/>
        </w:rPr>
        <w:t xml:space="preserve">                          投标人：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15156CFE">
      <w:pPr>
        <w:spacing w:line="440" w:lineRule="exact"/>
        <w:jc w:val="center"/>
        <w:rPr>
          <w:rFonts w:ascii="宋体" w:hAnsi="宋体" w:cs="宋体"/>
          <w:b/>
          <w:spacing w:val="4"/>
          <w:sz w:val="36"/>
          <w:szCs w:val="36"/>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日        </w:t>
      </w:r>
    </w:p>
    <w:p w14:paraId="578B3ADD">
      <w:pPr>
        <w:spacing w:line="440" w:lineRule="exact"/>
        <w:jc w:val="center"/>
        <w:rPr>
          <w:rFonts w:ascii="宋体" w:hAnsi="宋体"/>
          <w:b/>
          <w:spacing w:val="4"/>
          <w:sz w:val="36"/>
          <w:szCs w:val="36"/>
          <w:highlight w:val="none"/>
        </w:rPr>
      </w:pPr>
      <w:r>
        <w:rPr>
          <w:rFonts w:hint="eastAsia" w:ascii="宋体" w:hAnsi="宋体" w:cs="宋体"/>
          <w:b/>
          <w:spacing w:val="4"/>
          <w:sz w:val="36"/>
          <w:szCs w:val="36"/>
          <w:highlight w:val="none"/>
        </w:rPr>
        <w:br w:type="page"/>
      </w:r>
      <w:r>
        <w:rPr>
          <w:rFonts w:hint="eastAsia" w:ascii="宋体" w:hAnsi="宋体" w:cs="宋体"/>
          <w:b/>
          <w:spacing w:val="4"/>
          <w:sz w:val="36"/>
          <w:szCs w:val="36"/>
          <w:highlight w:val="none"/>
        </w:rPr>
        <w:t>法定代表人（单位负责人）</w:t>
      </w:r>
      <w:r>
        <w:rPr>
          <w:rFonts w:hint="eastAsia" w:ascii="宋体" w:hAnsi="宋体"/>
          <w:b/>
          <w:spacing w:val="4"/>
          <w:sz w:val="36"/>
          <w:szCs w:val="36"/>
          <w:highlight w:val="none"/>
        </w:rPr>
        <w:t>授权书</w:t>
      </w:r>
    </w:p>
    <w:p w14:paraId="693DCE22">
      <w:pPr>
        <w:spacing w:line="440" w:lineRule="exact"/>
        <w:jc w:val="center"/>
        <w:rPr>
          <w:rFonts w:ascii="宋体" w:hAnsi="宋体"/>
          <w:b/>
          <w:spacing w:val="4"/>
          <w:sz w:val="36"/>
          <w:szCs w:val="36"/>
          <w:highlight w:val="none"/>
        </w:rPr>
      </w:pP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06D3C4AC">
      <w:pPr>
        <w:spacing w:line="440" w:lineRule="exact"/>
        <w:ind w:left="-359" w:leftChars="-171" w:firstLine="496" w:firstLineChars="200"/>
        <w:jc w:val="center"/>
        <w:rPr>
          <w:rFonts w:ascii="宋体" w:hAnsi="宋体"/>
          <w:b/>
          <w:bCs/>
          <w:spacing w:val="4"/>
          <w:sz w:val="24"/>
          <w:szCs w:val="32"/>
          <w:highlight w:val="none"/>
        </w:rPr>
      </w:pPr>
      <w:r>
        <w:rPr>
          <w:rFonts w:hint="eastAsia" w:ascii="宋体" w:hAnsi="宋体"/>
          <w:spacing w:val="4"/>
          <w:sz w:val="24"/>
          <w:highlight w:val="none"/>
        </w:rPr>
        <w:t xml:space="preserve">      </w:t>
      </w:r>
      <w:r>
        <w:rPr>
          <w:rFonts w:hint="eastAsia" w:ascii="宋体" w:hAnsi="宋体"/>
          <w:spacing w:val="4"/>
          <w:sz w:val="24"/>
          <w:szCs w:val="32"/>
          <w:highlight w:val="none"/>
        </w:rPr>
        <w:t xml:space="preserve"> </w:t>
      </w:r>
    </w:p>
    <w:p w14:paraId="2D0021C1">
      <w:pPr>
        <w:spacing w:line="440" w:lineRule="exact"/>
        <w:jc w:val="left"/>
        <w:rPr>
          <w:rFonts w:ascii="宋体" w:hAnsi="宋体"/>
          <w:spacing w:val="4"/>
          <w:sz w:val="24"/>
          <w:szCs w:val="30"/>
          <w:highlight w:val="none"/>
        </w:rPr>
      </w:pPr>
      <w:r>
        <w:rPr>
          <w:rFonts w:hint="eastAsia" w:ascii="宋体" w:hAnsi="宋体"/>
          <w:spacing w:val="4"/>
          <w:sz w:val="24"/>
          <w:szCs w:val="30"/>
          <w:highlight w:val="none"/>
        </w:rPr>
        <w:t>致：西北（陕西）国际招标有限公司</w:t>
      </w:r>
    </w:p>
    <w:p w14:paraId="1606B8E2">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u w:val="single"/>
        </w:rPr>
        <w:t xml:space="preserve">(投标人名称)     </w:t>
      </w:r>
      <w:r>
        <w:rPr>
          <w:rFonts w:hint="eastAsia" w:ascii="宋体" w:hAnsi="宋体"/>
          <w:spacing w:val="4"/>
          <w:sz w:val="24"/>
          <w:szCs w:val="30"/>
          <w:highlight w:val="none"/>
        </w:rPr>
        <w:t>按中华人民共和国法律于</w:t>
      </w:r>
      <w:r>
        <w:rPr>
          <w:rFonts w:hint="eastAsia" w:ascii="宋体" w:hAnsi="宋体"/>
          <w:spacing w:val="4"/>
          <w:sz w:val="24"/>
          <w:szCs w:val="30"/>
          <w:highlight w:val="none"/>
          <w:u w:val="single"/>
        </w:rPr>
        <w:t>（     年   月   日）</w:t>
      </w:r>
      <w:r>
        <w:rPr>
          <w:rFonts w:hint="eastAsia" w:ascii="宋体" w:hAnsi="宋体"/>
          <w:spacing w:val="4"/>
          <w:sz w:val="24"/>
          <w:szCs w:val="30"/>
          <w:highlight w:val="none"/>
        </w:rPr>
        <w:t>成立，现注册地址为</w:t>
      </w:r>
      <w:r>
        <w:rPr>
          <w:rFonts w:hint="eastAsia" w:ascii="宋体" w:hAnsi="宋体"/>
          <w:spacing w:val="4"/>
          <w:sz w:val="24"/>
          <w:szCs w:val="30"/>
          <w:highlight w:val="none"/>
          <w:u w:val="single"/>
        </w:rPr>
        <w:t xml:space="preserve">（ 填写完整的地址信息 ）      </w:t>
      </w:r>
      <w:r>
        <w:rPr>
          <w:rFonts w:hint="eastAsia" w:ascii="宋体" w:hAnsi="宋体"/>
          <w:spacing w:val="4"/>
          <w:sz w:val="24"/>
          <w:szCs w:val="30"/>
          <w:highlight w:val="none"/>
        </w:rPr>
        <w:t>，营业（办公）地址为</w:t>
      </w:r>
      <w:r>
        <w:rPr>
          <w:rFonts w:hint="eastAsia" w:ascii="宋体" w:hAnsi="宋体"/>
          <w:spacing w:val="4"/>
          <w:sz w:val="24"/>
          <w:szCs w:val="30"/>
          <w:highlight w:val="none"/>
          <w:u w:val="single"/>
        </w:rPr>
        <w:t>（填写完整的地址信息         ）</w:t>
      </w:r>
      <w:r>
        <w:rPr>
          <w:rFonts w:hint="eastAsia" w:ascii="宋体" w:hAnsi="宋体"/>
          <w:spacing w:val="4"/>
          <w:sz w:val="24"/>
          <w:szCs w:val="30"/>
          <w:highlight w:val="none"/>
        </w:rPr>
        <w:t>正式联系电话为</w:t>
      </w:r>
      <w:r>
        <w:rPr>
          <w:rFonts w:hint="eastAsia" w:ascii="宋体" w:hAnsi="宋体"/>
          <w:spacing w:val="4"/>
          <w:sz w:val="24"/>
          <w:szCs w:val="30"/>
          <w:highlight w:val="none"/>
          <w:u w:val="single"/>
        </w:rPr>
        <w:t>（               ）</w:t>
      </w:r>
      <w:r>
        <w:rPr>
          <w:rFonts w:hint="eastAsia" w:ascii="宋体" w:hAnsi="宋体"/>
          <w:spacing w:val="4"/>
          <w:sz w:val="24"/>
          <w:szCs w:val="30"/>
          <w:highlight w:val="none"/>
        </w:rPr>
        <w:t xml:space="preserve">。  </w:t>
      </w:r>
      <w:r>
        <w:rPr>
          <w:rFonts w:hint="eastAsia" w:ascii="宋体" w:hAnsi="宋体"/>
          <w:spacing w:val="4"/>
          <w:sz w:val="24"/>
          <w:szCs w:val="30"/>
          <w:highlight w:val="none"/>
          <w:u w:val="single"/>
        </w:rPr>
        <w:t xml:space="preserve">  (</w:t>
      </w:r>
      <w:r>
        <w:rPr>
          <w:rFonts w:hint="eastAsia" w:ascii="宋体" w:hAnsi="宋体" w:cs="宋体"/>
          <w:spacing w:val="4"/>
          <w:sz w:val="24"/>
          <w:szCs w:val="30"/>
          <w:highlight w:val="none"/>
          <w:u w:val="single"/>
        </w:rPr>
        <w:t>法定代表人（单位负责人</w:t>
      </w:r>
      <w:r>
        <w:rPr>
          <w:rFonts w:hint="eastAsia" w:ascii="宋体" w:hAnsi="宋体"/>
          <w:spacing w:val="4"/>
          <w:sz w:val="24"/>
          <w:szCs w:val="30"/>
          <w:highlight w:val="none"/>
          <w:u w:val="single"/>
        </w:rPr>
        <w:t>)</w:t>
      </w:r>
      <w:r>
        <w:rPr>
          <w:rFonts w:hint="eastAsia" w:ascii="宋体" w:hAnsi="宋体" w:cs="宋体"/>
          <w:spacing w:val="4"/>
          <w:sz w:val="24"/>
          <w:szCs w:val="30"/>
          <w:highlight w:val="none"/>
          <w:u w:val="single"/>
        </w:rPr>
        <w:t xml:space="preserve">姓名）      </w:t>
      </w:r>
      <w:r>
        <w:rPr>
          <w:rFonts w:hint="eastAsia" w:ascii="宋体" w:hAnsi="宋体"/>
          <w:spacing w:val="4"/>
          <w:sz w:val="24"/>
          <w:szCs w:val="30"/>
          <w:highlight w:val="none"/>
        </w:rPr>
        <w:t>特授权</w:t>
      </w:r>
      <w:r>
        <w:rPr>
          <w:rFonts w:hint="eastAsia" w:ascii="宋体" w:hAnsi="宋体"/>
          <w:spacing w:val="4"/>
          <w:sz w:val="24"/>
          <w:szCs w:val="30"/>
          <w:highlight w:val="none"/>
          <w:u w:val="single"/>
        </w:rPr>
        <w:t xml:space="preserve">（被授权人姓名）       </w:t>
      </w:r>
      <w:r>
        <w:rPr>
          <w:rFonts w:hint="eastAsia" w:ascii="宋体" w:hAnsi="宋体"/>
          <w:spacing w:val="4"/>
          <w:sz w:val="24"/>
          <w:szCs w:val="30"/>
          <w:highlight w:val="none"/>
        </w:rPr>
        <w:t>代表我公司全权办理针对本次政府采购</w:t>
      </w:r>
      <w:r>
        <w:rPr>
          <w:rFonts w:hint="eastAsia" w:ascii="宋体" w:hAnsi="宋体"/>
          <w:spacing w:val="4"/>
          <w:sz w:val="24"/>
          <w:highlight w:val="none"/>
        </w:rPr>
        <w:t xml:space="preserve"> </w:t>
      </w:r>
      <w:r>
        <w:rPr>
          <w:rFonts w:hint="eastAsia" w:ascii="宋体" w:hAnsi="宋体"/>
          <w:spacing w:val="4"/>
          <w:sz w:val="24"/>
          <w:szCs w:val="30"/>
          <w:highlight w:val="none"/>
          <w:u w:val="single"/>
        </w:rPr>
        <w:t xml:space="preserve">（招标项目名称和项目编号）      </w:t>
      </w:r>
      <w:r>
        <w:rPr>
          <w:rFonts w:hint="eastAsia" w:ascii="宋体" w:hAnsi="宋体"/>
          <w:spacing w:val="4"/>
          <w:sz w:val="24"/>
          <w:szCs w:val="30"/>
          <w:highlight w:val="none"/>
        </w:rPr>
        <w:t>项目的投标、谈判、签约等具体工作，并签署全部有关的文件、协议及合同。</w:t>
      </w:r>
    </w:p>
    <w:p w14:paraId="2F3068CF">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我公司对被授权人的签名负全部责任。</w:t>
      </w:r>
    </w:p>
    <w:p w14:paraId="3052103C">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本授权书于</w:t>
      </w:r>
      <w:r>
        <w:rPr>
          <w:rFonts w:hint="eastAsia" w:ascii="宋体" w:hAnsi="宋体"/>
          <w:spacing w:val="4"/>
          <w:sz w:val="24"/>
          <w:szCs w:val="30"/>
          <w:highlight w:val="none"/>
          <w:u w:val="single"/>
        </w:rPr>
        <w:t xml:space="preserve">      年   月   </w:t>
      </w:r>
      <w:r>
        <w:rPr>
          <w:rFonts w:hint="eastAsia" w:ascii="宋体" w:hAnsi="宋体"/>
          <w:spacing w:val="4"/>
          <w:sz w:val="24"/>
          <w:szCs w:val="30"/>
          <w:highlight w:val="none"/>
        </w:rPr>
        <w:t>日起签字生效，特此证明。</w:t>
      </w:r>
    </w:p>
    <w:p w14:paraId="157D0396">
      <w:pPr>
        <w:spacing w:line="440" w:lineRule="exact"/>
        <w:ind w:firstLine="496" w:firstLineChars="200"/>
        <w:jc w:val="left"/>
        <w:rPr>
          <w:rFonts w:ascii="宋体" w:hAnsi="宋体"/>
          <w:spacing w:val="4"/>
          <w:sz w:val="24"/>
          <w:szCs w:val="30"/>
          <w:highlight w:val="none"/>
        </w:rPr>
      </w:pPr>
    </w:p>
    <w:p w14:paraId="653C3603">
      <w:pPr>
        <w:spacing w:line="440" w:lineRule="exact"/>
        <w:ind w:firstLine="496" w:firstLineChars="200"/>
        <w:jc w:val="left"/>
        <w:rPr>
          <w:rFonts w:ascii="宋体" w:hAnsi="宋体"/>
          <w:spacing w:val="4"/>
          <w:sz w:val="24"/>
          <w:szCs w:val="30"/>
          <w:highlight w:val="none"/>
        </w:rPr>
      </w:pPr>
    </w:p>
    <w:p w14:paraId="726C5AC8">
      <w:pPr>
        <w:spacing w:line="440" w:lineRule="exact"/>
        <w:ind w:firstLine="496" w:firstLineChars="200"/>
        <w:jc w:val="left"/>
        <w:rPr>
          <w:rFonts w:ascii="宋体" w:hAnsi="宋体"/>
          <w:spacing w:val="4"/>
          <w:sz w:val="24"/>
          <w:szCs w:val="30"/>
          <w:highlight w:val="none"/>
        </w:rPr>
      </w:pPr>
    </w:p>
    <w:tbl>
      <w:tblPr>
        <w:tblStyle w:val="22"/>
        <w:tblW w:w="0" w:type="auto"/>
        <w:tblInd w:w="633" w:type="dxa"/>
        <w:tblLayout w:type="autofit"/>
        <w:tblCellMar>
          <w:top w:w="0" w:type="dxa"/>
          <w:left w:w="108" w:type="dxa"/>
          <w:bottom w:w="0" w:type="dxa"/>
          <w:right w:w="108" w:type="dxa"/>
        </w:tblCellMar>
      </w:tblPr>
      <w:tblGrid>
        <w:gridCol w:w="4045"/>
        <w:gridCol w:w="3844"/>
      </w:tblGrid>
      <w:tr w14:paraId="19DD9EB7">
        <w:tblPrEx>
          <w:tblCellMar>
            <w:top w:w="0" w:type="dxa"/>
            <w:left w:w="108" w:type="dxa"/>
            <w:bottom w:w="0" w:type="dxa"/>
            <w:right w:w="108" w:type="dxa"/>
          </w:tblCellMar>
        </w:tblPrEx>
        <w:trPr>
          <w:trHeight w:val="600" w:hRule="atLeast"/>
        </w:trPr>
        <w:tc>
          <w:tcPr>
            <w:tcW w:w="4045" w:type="dxa"/>
          </w:tcPr>
          <w:p w14:paraId="0B0586DD">
            <w:pPr>
              <w:spacing w:line="440" w:lineRule="exact"/>
              <w:jc w:val="left"/>
              <w:rPr>
                <w:rFonts w:ascii="宋体" w:hAnsi="宋体"/>
                <w:spacing w:val="4"/>
                <w:sz w:val="24"/>
                <w:highlight w:val="none"/>
              </w:rPr>
            </w:pPr>
            <w:r>
              <w:rPr>
                <w:rFonts w:hint="eastAsia" w:ascii="宋体" w:hAnsi="宋体"/>
                <w:spacing w:val="4"/>
                <w:sz w:val="24"/>
                <w:highlight w:val="none"/>
              </w:rPr>
              <w:t>被授权人签字：</w:t>
            </w:r>
          </w:p>
        </w:tc>
        <w:tc>
          <w:tcPr>
            <w:tcW w:w="3844" w:type="dxa"/>
          </w:tcPr>
          <w:p w14:paraId="20385C74">
            <w:pPr>
              <w:spacing w:line="440" w:lineRule="exact"/>
              <w:jc w:val="left"/>
              <w:rPr>
                <w:rFonts w:ascii="宋体" w:hAnsi="宋体"/>
                <w:spacing w:val="4"/>
                <w:sz w:val="24"/>
                <w:highlight w:val="non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hint="eastAsia" w:ascii="宋体" w:hAnsi="宋体"/>
                <w:spacing w:val="4"/>
                <w:sz w:val="24"/>
                <w:highlight w:val="none"/>
              </w:rPr>
              <w:t>：</w:t>
            </w:r>
          </w:p>
        </w:tc>
      </w:tr>
      <w:tr w14:paraId="7CFA91F1">
        <w:tblPrEx>
          <w:tblCellMar>
            <w:top w:w="0" w:type="dxa"/>
            <w:left w:w="108" w:type="dxa"/>
            <w:bottom w:w="0" w:type="dxa"/>
            <w:right w:w="108" w:type="dxa"/>
          </w:tblCellMar>
        </w:tblPrEx>
        <w:trPr>
          <w:trHeight w:val="600" w:hRule="atLeast"/>
        </w:trPr>
        <w:tc>
          <w:tcPr>
            <w:tcW w:w="4045" w:type="dxa"/>
          </w:tcPr>
          <w:p w14:paraId="0B202197">
            <w:pPr>
              <w:spacing w:line="440" w:lineRule="exact"/>
              <w:jc w:val="left"/>
              <w:rPr>
                <w:rFonts w:ascii="宋体" w:hAnsi="宋体"/>
                <w:spacing w:val="4"/>
                <w:sz w:val="24"/>
                <w:highlight w:val="none"/>
              </w:rPr>
            </w:pPr>
          </w:p>
        </w:tc>
        <w:tc>
          <w:tcPr>
            <w:tcW w:w="3844" w:type="dxa"/>
          </w:tcPr>
          <w:p w14:paraId="1F3DD201">
            <w:pPr>
              <w:spacing w:line="440" w:lineRule="exact"/>
              <w:jc w:val="left"/>
              <w:rPr>
                <w:rFonts w:ascii="宋体" w:hAnsi="宋体"/>
                <w:spacing w:val="4"/>
                <w:sz w:val="24"/>
                <w:highlight w:val="none"/>
              </w:rPr>
            </w:pPr>
          </w:p>
        </w:tc>
      </w:tr>
      <w:tr w14:paraId="39DC3C68">
        <w:tblPrEx>
          <w:tblCellMar>
            <w:top w:w="0" w:type="dxa"/>
            <w:left w:w="108" w:type="dxa"/>
            <w:bottom w:w="0" w:type="dxa"/>
            <w:right w:w="108" w:type="dxa"/>
          </w:tblCellMar>
        </w:tblPrEx>
        <w:trPr>
          <w:trHeight w:val="600" w:hRule="atLeast"/>
        </w:trPr>
        <w:tc>
          <w:tcPr>
            <w:tcW w:w="4045" w:type="dxa"/>
          </w:tcPr>
          <w:p w14:paraId="50025834">
            <w:pPr>
              <w:spacing w:line="440" w:lineRule="exact"/>
              <w:jc w:val="left"/>
              <w:rPr>
                <w:rFonts w:ascii="宋体" w:hAnsi="宋体"/>
                <w:spacing w:val="4"/>
                <w:sz w:val="24"/>
                <w:highlight w:val="none"/>
              </w:rPr>
            </w:pPr>
            <w:r>
              <w:rPr>
                <w:rFonts w:hint="eastAsia" w:ascii="宋体" w:hAnsi="宋体"/>
                <w:spacing w:val="4"/>
                <w:sz w:val="24"/>
                <w:highlight w:val="none"/>
              </w:rPr>
              <w:t>职务：</w:t>
            </w:r>
          </w:p>
        </w:tc>
        <w:tc>
          <w:tcPr>
            <w:tcW w:w="3844" w:type="dxa"/>
          </w:tcPr>
          <w:p w14:paraId="19FEE1BE">
            <w:pPr>
              <w:spacing w:line="440" w:lineRule="exact"/>
              <w:jc w:val="left"/>
              <w:rPr>
                <w:rFonts w:ascii="宋体" w:hAnsi="宋体"/>
                <w:spacing w:val="4"/>
                <w:sz w:val="24"/>
                <w:highlight w:val="none"/>
              </w:rPr>
            </w:pPr>
            <w:r>
              <w:rPr>
                <w:rFonts w:hint="eastAsia" w:ascii="宋体" w:hAnsi="宋体"/>
                <w:spacing w:val="4"/>
                <w:sz w:val="24"/>
                <w:highlight w:val="none"/>
              </w:rPr>
              <w:t>职务：</w:t>
            </w:r>
          </w:p>
        </w:tc>
      </w:tr>
      <w:tr w14:paraId="141359F7">
        <w:tblPrEx>
          <w:tblCellMar>
            <w:top w:w="0" w:type="dxa"/>
            <w:left w:w="108" w:type="dxa"/>
            <w:bottom w:w="0" w:type="dxa"/>
            <w:right w:w="108" w:type="dxa"/>
          </w:tblCellMar>
        </w:tblPrEx>
        <w:trPr>
          <w:trHeight w:val="600" w:hRule="atLeast"/>
        </w:trPr>
        <w:tc>
          <w:tcPr>
            <w:tcW w:w="4045" w:type="dxa"/>
          </w:tcPr>
          <w:p w14:paraId="682FF4B6">
            <w:pPr>
              <w:spacing w:line="440" w:lineRule="exact"/>
              <w:jc w:val="left"/>
              <w:rPr>
                <w:rFonts w:ascii="宋体" w:hAnsi="宋体"/>
                <w:spacing w:val="4"/>
                <w:sz w:val="24"/>
                <w:highlight w:val="none"/>
              </w:rPr>
            </w:pPr>
          </w:p>
        </w:tc>
        <w:tc>
          <w:tcPr>
            <w:tcW w:w="3844" w:type="dxa"/>
          </w:tcPr>
          <w:p w14:paraId="0806B605">
            <w:pPr>
              <w:spacing w:line="440" w:lineRule="exact"/>
              <w:jc w:val="left"/>
              <w:rPr>
                <w:rFonts w:ascii="宋体" w:hAnsi="宋体"/>
                <w:spacing w:val="4"/>
                <w:sz w:val="24"/>
                <w:highlight w:val="none"/>
              </w:rPr>
            </w:pPr>
          </w:p>
        </w:tc>
      </w:tr>
      <w:tr w14:paraId="22F53992">
        <w:tblPrEx>
          <w:tblCellMar>
            <w:top w:w="0" w:type="dxa"/>
            <w:left w:w="108" w:type="dxa"/>
            <w:bottom w:w="0" w:type="dxa"/>
            <w:right w:w="108" w:type="dxa"/>
          </w:tblCellMar>
        </w:tblPrEx>
        <w:trPr>
          <w:trHeight w:val="600" w:hRule="atLeast"/>
        </w:trPr>
        <w:tc>
          <w:tcPr>
            <w:tcW w:w="4045" w:type="dxa"/>
          </w:tcPr>
          <w:p w14:paraId="06B689F1">
            <w:pPr>
              <w:spacing w:line="440" w:lineRule="exact"/>
              <w:jc w:val="left"/>
              <w:rPr>
                <w:rFonts w:ascii="宋体" w:hAnsi="宋体"/>
                <w:spacing w:val="4"/>
                <w:sz w:val="24"/>
                <w:highlight w:val="none"/>
              </w:rPr>
            </w:pPr>
            <w:r>
              <w:rPr>
                <w:rFonts w:hint="eastAsia" w:ascii="宋体" w:hAnsi="宋体"/>
                <w:spacing w:val="4"/>
                <w:sz w:val="24"/>
                <w:highlight w:val="none"/>
              </w:rPr>
              <w:t>所在部门：</w:t>
            </w:r>
          </w:p>
        </w:tc>
        <w:tc>
          <w:tcPr>
            <w:tcW w:w="3844" w:type="dxa"/>
          </w:tcPr>
          <w:p w14:paraId="4AB9C0C8">
            <w:pPr>
              <w:spacing w:line="440" w:lineRule="exact"/>
              <w:jc w:val="left"/>
              <w:rPr>
                <w:rFonts w:ascii="宋体" w:hAnsi="宋体"/>
                <w:spacing w:val="4"/>
                <w:sz w:val="24"/>
                <w:highlight w:val="none"/>
              </w:rPr>
            </w:pPr>
          </w:p>
        </w:tc>
      </w:tr>
    </w:tbl>
    <w:p w14:paraId="0CD3F8A7">
      <w:pPr>
        <w:spacing w:line="440" w:lineRule="exact"/>
        <w:ind w:firstLine="496" w:firstLineChars="200"/>
        <w:jc w:val="left"/>
        <w:rPr>
          <w:rFonts w:ascii="宋体" w:hAnsi="宋体"/>
          <w:spacing w:val="4"/>
          <w:sz w:val="24"/>
          <w:highlight w:val="none"/>
        </w:rPr>
      </w:pPr>
    </w:p>
    <w:p w14:paraId="342E1E07">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投标人名称：</w:t>
      </w:r>
    </w:p>
    <w:p w14:paraId="38461D6F">
      <w:pPr>
        <w:spacing w:line="440" w:lineRule="exact"/>
        <w:ind w:firstLine="372" w:firstLineChars="150"/>
        <w:rPr>
          <w:rFonts w:ascii="宋体" w:hAnsi="宋体"/>
          <w:spacing w:val="4"/>
          <w:sz w:val="24"/>
          <w:highlight w:val="none"/>
        </w:rPr>
      </w:pPr>
    </w:p>
    <w:p w14:paraId="23A47241">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公章：</w:t>
      </w:r>
    </w:p>
    <w:p w14:paraId="6E52CF0C">
      <w:pPr>
        <w:spacing w:line="440" w:lineRule="exact"/>
        <w:ind w:firstLine="510"/>
        <w:rPr>
          <w:rFonts w:ascii="宋体" w:hAnsi="宋体"/>
          <w:spacing w:val="4"/>
          <w:sz w:val="24"/>
          <w:szCs w:val="30"/>
          <w:highlight w:val="none"/>
        </w:rPr>
      </w:pPr>
    </w:p>
    <w:p w14:paraId="51A122F3">
      <w:pPr>
        <w:spacing w:line="440" w:lineRule="exact"/>
        <w:ind w:firstLine="510"/>
        <w:rPr>
          <w:rFonts w:ascii="宋体" w:hAnsi="宋体"/>
          <w:color w:val="auto"/>
          <w:spacing w:val="4"/>
          <w:sz w:val="24"/>
          <w:szCs w:val="30"/>
          <w:highlight w:val="none"/>
        </w:rPr>
      </w:pPr>
      <w:r>
        <w:rPr>
          <w:rFonts w:hint="eastAsia" w:ascii="宋体" w:hAnsi="宋体"/>
          <w:spacing w:val="4"/>
          <w:sz w:val="24"/>
          <w:szCs w:val="30"/>
          <w:highlight w:val="none"/>
        </w:rPr>
        <w:t>附件：</w:t>
      </w:r>
      <w:r>
        <w:rPr>
          <w:rFonts w:hint="eastAsia" w:ascii="宋体" w:hAnsi="宋体" w:cs="宋体"/>
          <w:spacing w:val="4"/>
          <w:sz w:val="24"/>
          <w:highlight w:val="none"/>
        </w:rPr>
        <w:t>法定代表人（单位负责人）</w:t>
      </w:r>
      <w:r>
        <w:rPr>
          <w:rFonts w:hint="eastAsia" w:ascii="宋体" w:hAnsi="宋体"/>
          <w:spacing w:val="4"/>
          <w:sz w:val="24"/>
          <w:szCs w:val="30"/>
          <w:highlight w:val="none"/>
        </w:rPr>
        <w:t>、被授权人身份证复</w:t>
      </w:r>
      <w:r>
        <w:rPr>
          <w:rFonts w:hint="eastAsia" w:ascii="宋体" w:hAnsi="宋体"/>
          <w:color w:val="auto"/>
          <w:spacing w:val="4"/>
          <w:sz w:val="24"/>
          <w:szCs w:val="30"/>
          <w:highlight w:val="none"/>
        </w:rPr>
        <w:t>印件、</w:t>
      </w:r>
      <w:r>
        <w:rPr>
          <w:rFonts w:hint="eastAsia" w:ascii="宋体" w:hAnsi="宋体" w:cs="宋体"/>
          <w:b/>
          <w:bCs/>
          <w:color w:val="auto"/>
          <w:spacing w:val="4"/>
          <w:sz w:val="24"/>
          <w:szCs w:val="30"/>
          <w:highlight w:val="none"/>
        </w:rPr>
        <w:t>被授权人本单位证明（开标前6个月内任意一个月的社保缴纳证明）</w:t>
      </w:r>
    </w:p>
    <w:p w14:paraId="53A80A8F">
      <w:pPr>
        <w:spacing w:line="440" w:lineRule="exact"/>
        <w:ind w:firstLine="1125" w:firstLineChars="454"/>
        <w:rPr>
          <w:rFonts w:ascii="宋体" w:hAnsi="宋体"/>
          <w:spacing w:val="4"/>
          <w:sz w:val="24"/>
          <w:szCs w:val="30"/>
          <w:highlight w:val="none"/>
        </w:rPr>
      </w:pPr>
      <w:r>
        <w:rPr>
          <w:rFonts w:hint="eastAsia" w:ascii="宋体" w:hAnsi="宋体"/>
          <w:spacing w:val="4"/>
          <w:sz w:val="24"/>
          <w:szCs w:val="30"/>
          <w:highlight w:val="none"/>
        </w:rPr>
        <w:t>（必须印正反两面的完整信息）</w:t>
      </w:r>
    </w:p>
    <w:p w14:paraId="0DC1E41B">
      <w:pPr>
        <w:spacing w:line="440" w:lineRule="exact"/>
        <w:rPr>
          <w:rFonts w:ascii="宋体" w:hAnsi="宋体"/>
          <w:spacing w:val="4"/>
          <w:sz w:val="24"/>
          <w:szCs w:val="30"/>
          <w:highlight w:val="none"/>
          <w:u w:val="single"/>
        </w:rPr>
      </w:pPr>
      <w:r>
        <w:rPr>
          <w:rFonts w:hint="eastAsia" w:ascii="宋体" w:hAnsi="宋体"/>
          <w:spacing w:val="4"/>
          <w:sz w:val="24"/>
          <w:szCs w:val="30"/>
          <w:highlight w:val="none"/>
        </w:rPr>
        <w:t xml:space="preserve">    注：身份证信息不全的授权书无效。</w:t>
      </w:r>
    </w:p>
    <w:p w14:paraId="542EEA0C">
      <w:pPr>
        <w:jc w:val="center"/>
        <w:rPr>
          <w:rFonts w:ascii="宋体" w:hAnsi="宋体"/>
          <w:b/>
          <w:sz w:val="36"/>
          <w:szCs w:val="36"/>
          <w:highlight w:val="none"/>
        </w:rPr>
      </w:pPr>
      <w:r>
        <w:rPr>
          <w:rFonts w:ascii="宋体" w:hAnsi="宋体"/>
          <w:b/>
          <w:sz w:val="36"/>
          <w:szCs w:val="36"/>
          <w:highlight w:val="none"/>
        </w:rPr>
        <w:br w:type="page"/>
      </w:r>
      <w:r>
        <w:rPr>
          <w:rFonts w:hint="eastAsia" w:ascii="宋体" w:hAnsi="宋体"/>
          <w:b/>
          <w:sz w:val="36"/>
          <w:szCs w:val="36"/>
          <w:highlight w:val="none"/>
        </w:rPr>
        <w:t>二、</w:t>
      </w:r>
      <w:r>
        <w:rPr>
          <w:rFonts w:ascii="宋体" w:hAnsi="宋体"/>
          <w:b/>
          <w:sz w:val="36"/>
          <w:szCs w:val="36"/>
          <w:highlight w:val="none"/>
        </w:rPr>
        <w:t>陕西省政府采购供应商</w:t>
      </w:r>
    </w:p>
    <w:p w14:paraId="750F17D4">
      <w:pPr>
        <w:jc w:val="center"/>
        <w:rPr>
          <w:highlight w:val="none"/>
        </w:rPr>
      </w:pPr>
      <w:r>
        <w:rPr>
          <w:rFonts w:ascii="宋体" w:hAnsi="宋体"/>
          <w:b/>
          <w:sz w:val="36"/>
          <w:szCs w:val="36"/>
          <w:highlight w:val="none"/>
        </w:rPr>
        <w:t>拒绝政府采购领域商业贿赂承诺书</w:t>
      </w:r>
    </w:p>
    <w:p w14:paraId="073E6294">
      <w:pPr>
        <w:widowControl/>
        <w:spacing w:line="408" w:lineRule="auto"/>
        <w:ind w:left="239" w:leftChars="114" w:firstLine="470" w:firstLineChars="196"/>
        <w:jc w:val="left"/>
        <w:rPr>
          <w:rFonts w:ascii="宋体" w:hAnsi="宋体" w:cs="宋体"/>
          <w:kern w:val="0"/>
          <w:sz w:val="24"/>
          <w:highlight w:val="none"/>
        </w:rPr>
      </w:pPr>
    </w:p>
    <w:p w14:paraId="25FD0F1E">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为响应党中央、国务院关于治理政府采购领域商业贿赂行为的号召，我公司在此庄严承诺：</w:t>
      </w:r>
    </w:p>
    <w:p w14:paraId="4295BF72">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1、在参与政府采购活动中遵纪守法、诚信经营、公平竞标。</w:t>
      </w:r>
    </w:p>
    <w:p w14:paraId="50032FCF">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2、不向政府采购人、采购代理机构和政府采购评审专家进行任何形式的商业贿赂以谋取交易机会。</w:t>
      </w:r>
    </w:p>
    <w:p w14:paraId="442C31B6">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3、不向政府采购代理机构和采购人提供虚假资质文件或采用虚假应标方式参与政府采购市场竞争并谋取中标、成交。</w:t>
      </w:r>
    </w:p>
    <w:p w14:paraId="2581E0E1">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4、不采取“围标、陪标”等商业欺诈手段获得政府采购定单。</w:t>
      </w:r>
    </w:p>
    <w:p w14:paraId="00D5AF3E">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5、不采取不正当手段诋毁、排挤其他供应商。</w:t>
      </w:r>
    </w:p>
    <w:p w14:paraId="2F14C508">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6、不在提供商品和服务时“偷梁换柱、以次充好”损害采购人的合法权益。</w:t>
      </w:r>
    </w:p>
    <w:p w14:paraId="187696A7">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7、不与采购人、采购代理机构政府采购评审专家或其它供应商恶意串通，进行质疑和投诉，维护政府采购市场秩序。</w:t>
      </w:r>
    </w:p>
    <w:p w14:paraId="0F3A15BF">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8、尊重和接受政府采购监督管理部门的监督和政府采购代理机构招标采购要求，承担因违约行为给采购人造成的损失。</w:t>
      </w:r>
    </w:p>
    <w:p w14:paraId="4C7317DB">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9、不发生其他有悖于政府采购公开、公平、公正和诚信原则的行为。</w:t>
      </w:r>
    </w:p>
    <w:p w14:paraId="3D6C369E">
      <w:pPr>
        <w:pStyle w:val="21"/>
        <w:ind w:firstLine="560"/>
        <w:rPr>
          <w:highlight w:val="none"/>
        </w:rPr>
      </w:pPr>
    </w:p>
    <w:p w14:paraId="5021ADEB">
      <w:pPr>
        <w:spacing w:line="360" w:lineRule="auto"/>
        <w:rPr>
          <w:rFonts w:ascii="宋体" w:hAnsi="宋体" w:cs="宋体"/>
          <w:kern w:val="0"/>
          <w:sz w:val="24"/>
          <w:highlight w:val="none"/>
        </w:rPr>
      </w:pPr>
      <w:r>
        <w:rPr>
          <w:rFonts w:hint="eastAsia" w:ascii="宋体" w:hAnsi="宋体" w:cs="宋体"/>
          <w:kern w:val="0"/>
          <w:sz w:val="24"/>
          <w:highlight w:val="none"/>
        </w:rPr>
        <w:t>投标人名称：</w:t>
      </w:r>
    </w:p>
    <w:p w14:paraId="22767BFE">
      <w:pPr>
        <w:spacing w:line="360" w:lineRule="auto"/>
        <w:rPr>
          <w:rFonts w:ascii="宋体" w:hAnsi="宋体" w:cs="宋体"/>
          <w:kern w:val="0"/>
          <w:sz w:val="24"/>
          <w:highlight w:val="none"/>
        </w:rPr>
      </w:pPr>
    </w:p>
    <w:p w14:paraId="6B61398F">
      <w:pPr>
        <w:spacing w:line="360" w:lineRule="auto"/>
        <w:rPr>
          <w:rFonts w:ascii="宋体" w:hAnsi="宋体" w:cs="宋体"/>
          <w:kern w:val="0"/>
          <w:sz w:val="24"/>
          <w:highlight w:val="none"/>
        </w:rPr>
      </w:pPr>
      <w:r>
        <w:rPr>
          <w:rFonts w:hint="eastAsia" w:ascii="宋体" w:hAnsi="宋体" w:cs="宋体"/>
          <w:kern w:val="0"/>
          <w:sz w:val="24"/>
          <w:highlight w:val="none"/>
        </w:rPr>
        <w:t>公</w:t>
      </w:r>
      <w:r>
        <w:rPr>
          <w:rFonts w:ascii="宋体" w:hAnsi="宋体" w:cs="宋体"/>
          <w:kern w:val="0"/>
          <w:sz w:val="24"/>
          <w:highlight w:val="none"/>
        </w:rPr>
        <w:t>章</w:t>
      </w:r>
      <w:r>
        <w:rPr>
          <w:rFonts w:hint="eastAsia" w:ascii="宋体" w:hAnsi="宋体" w:cs="宋体"/>
          <w:kern w:val="0"/>
          <w:sz w:val="24"/>
          <w:highlight w:val="none"/>
        </w:rPr>
        <w:t>：</w:t>
      </w:r>
    </w:p>
    <w:p w14:paraId="6356A36A">
      <w:pPr>
        <w:spacing w:line="360" w:lineRule="auto"/>
        <w:rPr>
          <w:rFonts w:ascii="宋体" w:hAnsi="宋体" w:cs="宋体"/>
          <w:spacing w:val="4"/>
          <w:sz w:val="24"/>
          <w:highlight w:val="none"/>
        </w:rPr>
      </w:pPr>
    </w:p>
    <w:p w14:paraId="591CF47E">
      <w:pPr>
        <w:spacing w:line="360" w:lineRule="auto"/>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ascii="宋体" w:hAnsi="宋体" w:cs="宋体"/>
          <w:kern w:val="0"/>
          <w:sz w:val="24"/>
          <w:highlight w:val="none"/>
        </w:rPr>
        <w:t>：</w:t>
      </w:r>
    </w:p>
    <w:p w14:paraId="41E7A984">
      <w:pPr>
        <w:spacing w:line="360" w:lineRule="auto"/>
        <w:ind w:left="1"/>
        <w:jc w:val="center"/>
        <w:rPr>
          <w:rFonts w:ascii="宋体" w:hAnsi="宋体"/>
          <w:b/>
          <w:sz w:val="36"/>
          <w:szCs w:val="36"/>
          <w:highlight w:val="none"/>
        </w:rPr>
      </w:pPr>
      <w:r>
        <w:rPr>
          <w:rFonts w:ascii="宋体" w:hAnsi="宋体" w:cs="宋体"/>
          <w:kern w:val="0"/>
          <w:sz w:val="24"/>
          <w:highlight w:val="none"/>
        </w:rPr>
        <w:br w:type="page"/>
      </w:r>
      <w:r>
        <w:rPr>
          <w:rFonts w:hint="eastAsia" w:ascii="宋体" w:hAnsi="宋体"/>
          <w:b/>
          <w:sz w:val="36"/>
          <w:szCs w:val="36"/>
          <w:highlight w:val="none"/>
        </w:rPr>
        <w:t xml:space="preserve">三、资格证明文件 </w:t>
      </w:r>
    </w:p>
    <w:p w14:paraId="212EF2CF">
      <w:pPr>
        <w:spacing w:line="440" w:lineRule="exact"/>
        <w:rPr>
          <w:rFonts w:ascii="宋体" w:hAnsi="宋体" w:cs="宋体"/>
          <w:b/>
          <w:bCs/>
          <w:sz w:val="24"/>
          <w:highlight w:val="none"/>
        </w:rPr>
      </w:pPr>
      <w:r>
        <w:rPr>
          <w:rFonts w:hint="eastAsia" w:ascii="宋体" w:hAnsi="宋体" w:cs="宋体"/>
          <w:b/>
          <w:bCs/>
          <w:sz w:val="24"/>
          <w:highlight w:val="none"/>
        </w:rPr>
        <w:t>（一）具有独立承担民事责任的能力。</w:t>
      </w:r>
    </w:p>
    <w:p w14:paraId="40B4D8BB">
      <w:pPr>
        <w:spacing w:line="440" w:lineRule="exact"/>
        <w:ind w:firstLine="480" w:firstLineChars="200"/>
        <w:rPr>
          <w:rFonts w:ascii="宋体" w:hAnsi="宋体" w:cs="宋体"/>
          <w:sz w:val="24"/>
          <w:highlight w:val="none"/>
        </w:rPr>
      </w:pPr>
      <w:r>
        <w:rPr>
          <w:rFonts w:hint="eastAsia" w:ascii="宋体" w:hAnsi="宋体" w:cs="宋体"/>
          <w:sz w:val="24"/>
          <w:highlight w:val="none"/>
        </w:rPr>
        <w:t>提供注册登记凭证（营业执照、其他组织经营的合法凭证，自然人的提供身份证明文件）。</w:t>
      </w:r>
    </w:p>
    <w:p w14:paraId="59454449">
      <w:pPr>
        <w:spacing w:line="440" w:lineRule="exact"/>
        <w:ind w:left="361" w:hanging="361" w:hangingChars="150"/>
        <w:rPr>
          <w:rFonts w:ascii="宋体" w:hAnsi="宋体" w:cs="宋体"/>
          <w:b/>
          <w:bCs/>
          <w:sz w:val="24"/>
          <w:highlight w:val="none"/>
        </w:rPr>
      </w:pPr>
      <w:r>
        <w:rPr>
          <w:rFonts w:hint="eastAsia" w:ascii="宋体" w:hAnsi="宋体" w:cs="宋体"/>
          <w:b/>
          <w:bCs/>
          <w:sz w:val="24"/>
          <w:highlight w:val="none"/>
        </w:rPr>
        <w:t>（二）具有良好的商业信誉和健全的财务会计制度。</w:t>
      </w:r>
    </w:p>
    <w:p w14:paraId="5AEF0F92">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提供202</w:t>
      </w:r>
      <w:r>
        <w:rPr>
          <w:rFonts w:hint="eastAsia" w:ascii="宋体" w:hAnsi="宋体" w:cs="宋体"/>
          <w:sz w:val="24"/>
          <w:highlight w:val="none"/>
          <w:lang w:val="en-US" w:eastAsia="zh-CN"/>
        </w:rPr>
        <w:t>4</w:t>
      </w:r>
      <w:r>
        <w:rPr>
          <w:rFonts w:hint="eastAsia" w:ascii="宋体" w:hAnsi="宋体" w:cs="宋体"/>
          <w:sz w:val="24"/>
          <w:highlight w:val="none"/>
        </w:rPr>
        <w:t>年度或202</w:t>
      </w:r>
      <w:r>
        <w:rPr>
          <w:rFonts w:hint="eastAsia" w:ascii="宋体" w:hAnsi="宋体" w:cs="宋体"/>
          <w:sz w:val="24"/>
          <w:highlight w:val="none"/>
          <w:lang w:val="en-US" w:eastAsia="zh-CN"/>
        </w:rPr>
        <w:t>5</w:t>
      </w:r>
      <w:r>
        <w:rPr>
          <w:rFonts w:hint="eastAsia" w:ascii="宋体" w:hAnsi="宋体" w:cs="宋体"/>
          <w:sz w:val="24"/>
          <w:highlight w:val="none"/>
        </w:rPr>
        <w:t>年</w:t>
      </w:r>
      <w:bookmarkStart w:id="17" w:name="_GoBack"/>
      <w:bookmarkEnd w:id="17"/>
      <w:r>
        <w:rPr>
          <w:rFonts w:hint="eastAsia" w:ascii="宋体" w:hAnsi="宋体" w:cs="宋体"/>
          <w:sz w:val="24"/>
          <w:highlight w:val="none"/>
        </w:rPr>
        <w:t>度经审计的财务报告（包括四表一注，即资产负债表、利润表、现金流量表、所有者权益变动表及其附注）；事业法人提供部门决算报告；</w:t>
      </w:r>
    </w:p>
    <w:p w14:paraId="32DF9486">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/或在开标日期前六个月内其基本开户银行出具的资信证明（附《基本存款账户信息》或《银行开户许可证》复印件）；</w:t>
      </w:r>
    </w:p>
    <w:p w14:paraId="4D259280">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/或财政部门认可的政府采购专业担保机构出具的投标担保函；</w:t>
      </w:r>
    </w:p>
    <w:p w14:paraId="3B237527">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/或表明具有良好的商业信誉和健全的财务会计制度的诚信声明；</w:t>
      </w:r>
    </w:p>
    <w:p w14:paraId="42343833">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以上四种形式的资料提供任何一种即可。</w:t>
      </w:r>
    </w:p>
    <w:p w14:paraId="17BAEA24">
      <w:pPr>
        <w:spacing w:line="440" w:lineRule="exact"/>
        <w:rPr>
          <w:rFonts w:ascii="宋体" w:hAnsi="宋体" w:cs="宋体"/>
          <w:b/>
          <w:bCs/>
          <w:sz w:val="24"/>
          <w:highlight w:val="none"/>
        </w:rPr>
      </w:pPr>
      <w:r>
        <w:rPr>
          <w:rFonts w:hint="eastAsia" w:ascii="宋体" w:hAnsi="宋体" w:cs="宋体"/>
          <w:b/>
          <w:bCs/>
          <w:sz w:val="24"/>
          <w:highlight w:val="none"/>
        </w:rPr>
        <w:t>（三）具有履行合同所必需的设备和专业技术能力。</w:t>
      </w:r>
    </w:p>
    <w:p w14:paraId="1C022DF2">
      <w:pPr>
        <w:spacing w:line="440" w:lineRule="exact"/>
        <w:ind w:firstLine="480" w:firstLineChars="200"/>
        <w:rPr>
          <w:rFonts w:ascii="宋体" w:hAnsi="宋体" w:cs="宋体"/>
          <w:sz w:val="24"/>
          <w:highlight w:val="none"/>
        </w:rPr>
      </w:pPr>
      <w:r>
        <w:rPr>
          <w:rFonts w:hint="eastAsia" w:ascii="宋体" w:hAnsi="宋体" w:cs="宋体"/>
          <w:sz w:val="24"/>
          <w:highlight w:val="none"/>
        </w:rPr>
        <w:t>提供声明文件。</w:t>
      </w:r>
    </w:p>
    <w:p w14:paraId="51C60A9A">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（四）具有依法缴纳税收的良好记录。</w:t>
      </w:r>
    </w:p>
    <w:p w14:paraId="155DADB6">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5A4C38D7">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/或具有依法缴纳税收的诚信声明；</w:t>
      </w:r>
    </w:p>
    <w:p w14:paraId="533F2C55">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22792F1A">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（五）具有依法缴纳社会保障资金的良好记录。</w:t>
      </w:r>
    </w:p>
    <w:p w14:paraId="19D416A0">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提供缴费所属日期为投标截止时间前12个月内任意一个月（投标截止时间当月不计入）的缴费凭据或社保机关出具的缴费证明/在法规范围内不需提供的应出具书面说明和证明文件；</w:t>
      </w:r>
    </w:p>
    <w:p w14:paraId="40CE8919">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/或具有依法缴纳社会保障资金的缴纳记录的诚信声明；</w:t>
      </w:r>
    </w:p>
    <w:p w14:paraId="027E3A69">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0189D352">
      <w:pPr>
        <w:spacing w:line="440" w:lineRule="exact"/>
        <w:ind w:left="-315" w:leftChars="-150" w:firstLine="241" w:firstLineChars="100"/>
        <w:rPr>
          <w:rFonts w:ascii="宋体" w:hAnsi="宋体"/>
          <w:b/>
          <w:bCs/>
          <w:sz w:val="24"/>
          <w:szCs w:val="24"/>
          <w:highlight w:val="none"/>
        </w:rPr>
      </w:pPr>
      <w:r>
        <w:rPr>
          <w:rFonts w:hint="eastAsia" w:ascii="宋体" w:hAnsi="宋体" w:cs="宋体"/>
          <w:b/>
          <w:bCs/>
          <w:sz w:val="24"/>
          <w:highlight w:val="none"/>
        </w:rPr>
        <w:t>（六）参加政府采购活动前3年内在经营活动中没有重大违法记录的书面声明。</w:t>
      </w:r>
    </w:p>
    <w:p w14:paraId="4B6AE8B9">
      <w:pPr>
        <w:spacing w:line="440" w:lineRule="exact"/>
        <w:ind w:left="-315" w:leftChars="-150" w:firstLine="241" w:firstLineChars="100"/>
        <w:rPr>
          <w:rFonts w:hint="eastAsia" w:ascii="宋体" w:hAnsi="宋体" w:eastAsia="宋体" w:cs="宋体"/>
          <w:b/>
          <w:bCs/>
          <w:sz w:val="24"/>
          <w:highlight w:val="none"/>
          <w:lang w:eastAsia="zh-CN"/>
        </w:rPr>
      </w:pPr>
      <w:r>
        <w:rPr>
          <w:rFonts w:hint="eastAsia" w:ascii="宋体" w:hAnsi="宋体" w:cs="宋体"/>
          <w:b/>
          <w:bCs/>
          <w:sz w:val="24"/>
          <w:highlight w:val="none"/>
        </w:rPr>
        <w:t>（七）纳入医疗器械管理的，投标人须具有与本次招标货物相符的医疗器械经营资质</w:t>
      </w:r>
      <w:r>
        <w:rPr>
          <w:rFonts w:hint="eastAsia" w:ascii="宋体" w:hAnsi="宋体" w:cs="宋体"/>
          <w:b/>
          <w:bCs/>
          <w:sz w:val="24"/>
          <w:highlight w:val="none"/>
          <w:lang w:eastAsia="zh-CN"/>
        </w:rPr>
        <w:t>。</w:t>
      </w:r>
    </w:p>
    <w:p w14:paraId="3C1ABF9A">
      <w:pPr>
        <w:spacing w:line="360" w:lineRule="auto"/>
        <w:ind w:left="1" w:firstLine="482" w:firstLineChars="200"/>
        <w:rPr>
          <w:rFonts w:ascii="宋体" w:hAnsi="宋体" w:cs="宋体"/>
          <w:b/>
          <w:bCs/>
          <w:sz w:val="24"/>
          <w:highlight w:val="none"/>
        </w:rPr>
      </w:pPr>
      <w:r>
        <w:rPr>
          <w:rFonts w:hint="eastAsia" w:ascii="宋体" w:hAnsi="宋体" w:cs="宋体"/>
          <w:b/>
          <w:bCs/>
          <w:sz w:val="24"/>
          <w:highlight w:val="none"/>
        </w:rPr>
        <w:t>注:以上资格证明文件投标人必须完全提供并加盖投标人公章，一项不合格即按照无效投标处理。　</w:t>
      </w:r>
    </w:p>
    <w:p w14:paraId="41380183">
      <w:pPr>
        <w:spacing w:line="360" w:lineRule="auto"/>
        <w:ind w:left="1"/>
        <w:rPr>
          <w:rFonts w:ascii="宋体" w:hAnsi="宋体"/>
          <w:b/>
          <w:sz w:val="36"/>
          <w:szCs w:val="36"/>
          <w:highlight w:val="none"/>
        </w:rPr>
      </w:pPr>
      <w:r>
        <w:rPr>
          <w:rFonts w:hint="eastAsia" w:ascii="宋体" w:hAnsi="宋体" w:cs="宋体"/>
          <w:b/>
          <w:bCs/>
          <w:sz w:val="24"/>
          <w:highlight w:val="none"/>
        </w:rPr>
        <w:br w:type="page"/>
      </w:r>
      <w:r>
        <w:rPr>
          <w:rFonts w:hint="eastAsia" w:ascii="宋体" w:hAnsi="宋体"/>
          <w:b/>
          <w:sz w:val="30"/>
          <w:szCs w:val="30"/>
          <w:highlight w:val="none"/>
        </w:rPr>
        <w:t>附件1：</w:t>
      </w:r>
      <w:r>
        <w:rPr>
          <w:rFonts w:hint="eastAsia" w:ascii="宋体" w:hAnsi="宋体"/>
          <w:b/>
          <w:sz w:val="36"/>
          <w:szCs w:val="36"/>
          <w:highlight w:val="none"/>
        </w:rPr>
        <w:t xml:space="preserve"> </w:t>
      </w:r>
    </w:p>
    <w:p w14:paraId="7DC09485">
      <w:pPr>
        <w:spacing w:line="360" w:lineRule="auto"/>
        <w:ind w:left="1"/>
        <w:jc w:val="center"/>
        <w:rPr>
          <w:rFonts w:ascii="宋体" w:hAnsi="宋体"/>
          <w:b/>
          <w:sz w:val="36"/>
          <w:szCs w:val="36"/>
          <w:highlight w:val="none"/>
        </w:rPr>
      </w:pPr>
    </w:p>
    <w:p w14:paraId="13C3D5A6">
      <w:pPr>
        <w:spacing w:line="360" w:lineRule="auto"/>
        <w:ind w:left="1"/>
        <w:jc w:val="center"/>
        <w:rPr>
          <w:rFonts w:ascii="宋体" w:hAnsi="宋体"/>
          <w:b/>
          <w:sz w:val="36"/>
          <w:szCs w:val="36"/>
          <w:highlight w:val="none"/>
        </w:rPr>
      </w:pPr>
      <w:r>
        <w:rPr>
          <w:rFonts w:hint="eastAsia" w:ascii="宋体" w:hAnsi="宋体"/>
          <w:b/>
          <w:sz w:val="36"/>
          <w:szCs w:val="36"/>
          <w:highlight w:val="none"/>
        </w:rPr>
        <w:t>供应商无重大违法记录的书面声明格式</w:t>
      </w:r>
    </w:p>
    <w:p w14:paraId="2DDBEF5E">
      <w:pPr>
        <w:spacing w:line="360" w:lineRule="auto"/>
        <w:rPr>
          <w:rFonts w:ascii="宋体"/>
          <w:b/>
          <w:spacing w:val="4"/>
          <w:sz w:val="30"/>
          <w:szCs w:val="30"/>
          <w:highlight w:val="none"/>
          <w:u w:val="single"/>
        </w:rPr>
      </w:pPr>
    </w:p>
    <w:p w14:paraId="35832B3B">
      <w:pPr>
        <w:spacing w:line="480" w:lineRule="auto"/>
        <w:jc w:val="left"/>
        <w:rPr>
          <w:rFonts w:ascii="宋体"/>
          <w:spacing w:val="4"/>
          <w:sz w:val="24"/>
          <w:szCs w:val="24"/>
          <w:highlight w:val="none"/>
          <w:u w:val="single"/>
        </w:rPr>
      </w:pPr>
      <w:r>
        <w:rPr>
          <w:rFonts w:hint="eastAsia" w:ascii="宋体" w:hAnsi="宋体"/>
          <w:spacing w:val="4"/>
          <w:sz w:val="24"/>
          <w:szCs w:val="24"/>
          <w:highlight w:val="none"/>
          <w:u w:val="single"/>
        </w:rPr>
        <w:t xml:space="preserve">致：（采购人名称）、（采购代理机构名称）     </w:t>
      </w:r>
    </w:p>
    <w:p w14:paraId="6BAB60F2">
      <w:pPr>
        <w:spacing w:line="480" w:lineRule="auto"/>
        <w:ind w:firstLine="496" w:firstLineChars="200"/>
        <w:jc w:val="left"/>
        <w:rPr>
          <w:rFonts w:ascii="宋体"/>
          <w:spacing w:val="4"/>
          <w:sz w:val="24"/>
          <w:szCs w:val="24"/>
          <w:highlight w:val="none"/>
          <w:u w:val="single"/>
        </w:rPr>
      </w:pPr>
      <w:r>
        <w:rPr>
          <w:rFonts w:hint="eastAsia" w:ascii="宋体"/>
          <w:spacing w:val="4"/>
          <w:sz w:val="24"/>
          <w:szCs w:val="24"/>
          <w:highlight w:val="none"/>
          <w:u w:val="single"/>
        </w:rPr>
        <w:t xml:space="preserve">（投标人名称）    </w:t>
      </w:r>
      <w:r>
        <w:rPr>
          <w:rFonts w:hint="eastAsia" w:ascii="宋体" w:hAnsi="宋体"/>
          <w:spacing w:val="4"/>
          <w:sz w:val="24"/>
          <w:szCs w:val="24"/>
          <w:highlight w:val="none"/>
        </w:rPr>
        <w:t>为在中华人民共和国境内合法注册并经营的机构。在此郑重声明，我公司在参与本次政府采购活动前</w:t>
      </w:r>
      <w:r>
        <w:rPr>
          <w:rFonts w:ascii="宋体" w:hAnsi="宋体"/>
          <w:spacing w:val="4"/>
          <w:sz w:val="24"/>
          <w:szCs w:val="24"/>
          <w:highlight w:val="none"/>
        </w:rPr>
        <w:t>3</w:t>
      </w:r>
      <w:r>
        <w:rPr>
          <w:rFonts w:hint="eastAsia" w:ascii="宋体" w:hAnsi="宋体"/>
          <w:spacing w:val="4"/>
          <w:sz w:val="24"/>
          <w:szCs w:val="24"/>
          <w:highlight w:val="none"/>
        </w:rPr>
        <w:t>年内在经营活动中没有重大违法记录。</w:t>
      </w:r>
    </w:p>
    <w:p w14:paraId="2FA38F14">
      <w:pPr>
        <w:spacing w:before="312" w:beforeLines="100" w:after="156" w:afterLines="50" w:line="480" w:lineRule="auto"/>
        <w:ind w:firstLine="170"/>
        <w:jc w:val="left"/>
        <w:rPr>
          <w:rFonts w:ascii="宋体"/>
          <w:spacing w:val="4"/>
          <w:sz w:val="24"/>
          <w:szCs w:val="24"/>
          <w:highlight w:val="none"/>
        </w:rPr>
      </w:pPr>
    </w:p>
    <w:p w14:paraId="5295D497">
      <w:pPr>
        <w:spacing w:before="312" w:beforeLines="100" w:after="156" w:afterLines="50" w:line="360" w:lineRule="auto"/>
        <w:ind w:firstLine="170"/>
        <w:rPr>
          <w:rFonts w:ascii="宋体"/>
          <w:spacing w:val="4"/>
          <w:sz w:val="24"/>
          <w:szCs w:val="24"/>
          <w:highlight w:val="none"/>
        </w:rPr>
      </w:pPr>
    </w:p>
    <w:p w14:paraId="64EFBB2D">
      <w:pPr>
        <w:spacing w:before="312" w:beforeLines="100" w:after="156" w:afterLines="50" w:line="360" w:lineRule="auto"/>
        <w:ind w:firstLine="170"/>
        <w:rPr>
          <w:rFonts w:ascii="宋体"/>
          <w:spacing w:val="4"/>
          <w:sz w:val="24"/>
          <w:szCs w:val="24"/>
          <w:highlight w:val="none"/>
        </w:rPr>
      </w:pPr>
    </w:p>
    <w:p w14:paraId="791E8F03">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3CAE26ED">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4144DCF5">
      <w:pPr>
        <w:spacing w:before="312" w:beforeLines="100" w:after="156" w:afterLines="50" w:line="480" w:lineRule="auto"/>
        <w:ind w:firstLine="4039" w:firstLineChars="1629"/>
        <w:jc w:val="left"/>
        <w:rPr>
          <w:rFonts w:asci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7BE5BF33">
      <w:pPr>
        <w:spacing w:line="360" w:lineRule="auto"/>
        <w:jc w:val="left"/>
        <w:rPr>
          <w:rFonts w:ascii="宋体" w:hAnsi="宋体"/>
          <w:b/>
          <w:sz w:val="30"/>
          <w:szCs w:val="30"/>
          <w:highlight w:val="none"/>
        </w:rPr>
      </w:pPr>
      <w:r>
        <w:rPr>
          <w:rFonts w:ascii="宋体" w:hAnsi="宋体"/>
          <w:spacing w:val="4"/>
          <w:sz w:val="24"/>
          <w:szCs w:val="24"/>
          <w:highlight w:val="none"/>
        </w:rPr>
        <w:br w:type="page"/>
      </w:r>
      <w:r>
        <w:rPr>
          <w:rFonts w:hint="eastAsia" w:ascii="宋体" w:hAnsi="宋体"/>
          <w:b/>
          <w:sz w:val="30"/>
          <w:szCs w:val="30"/>
          <w:highlight w:val="none"/>
        </w:rPr>
        <w:t>附件2：</w:t>
      </w:r>
    </w:p>
    <w:p w14:paraId="4F3ECD3A">
      <w:pPr>
        <w:spacing w:line="360" w:lineRule="auto"/>
        <w:ind w:left="1"/>
        <w:jc w:val="center"/>
        <w:rPr>
          <w:rFonts w:ascii="宋体" w:hAnsi="宋体"/>
          <w:b/>
          <w:sz w:val="36"/>
          <w:szCs w:val="36"/>
          <w:highlight w:val="none"/>
        </w:rPr>
      </w:pPr>
    </w:p>
    <w:p w14:paraId="34015A1D">
      <w:pPr>
        <w:spacing w:line="360" w:lineRule="auto"/>
        <w:ind w:left="1"/>
        <w:jc w:val="center"/>
        <w:rPr>
          <w:rFonts w:ascii="宋体" w:hAnsi="宋体"/>
          <w:b/>
          <w:sz w:val="36"/>
          <w:szCs w:val="36"/>
          <w:highlight w:val="none"/>
        </w:rPr>
      </w:pPr>
      <w:r>
        <w:rPr>
          <w:rFonts w:hint="eastAsia" w:ascii="宋体" w:hAnsi="宋体"/>
          <w:b/>
          <w:sz w:val="36"/>
          <w:szCs w:val="36"/>
          <w:highlight w:val="none"/>
        </w:rPr>
        <w:t>诚信声明</w:t>
      </w:r>
    </w:p>
    <w:p w14:paraId="05F3B084">
      <w:pPr>
        <w:spacing w:line="360" w:lineRule="auto"/>
        <w:rPr>
          <w:rFonts w:ascii="宋体" w:hAnsi="宋体"/>
          <w:spacing w:val="4"/>
          <w:sz w:val="24"/>
          <w:szCs w:val="24"/>
          <w:highlight w:val="none"/>
          <w:u w:val="single"/>
        </w:rPr>
      </w:pPr>
    </w:p>
    <w:p w14:paraId="4E28B13E">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致：</w:t>
      </w:r>
      <w:r>
        <w:rPr>
          <w:rFonts w:hint="eastAsia" w:ascii="宋体" w:hAnsi="宋体"/>
          <w:spacing w:val="4"/>
          <w:sz w:val="24"/>
          <w:szCs w:val="24"/>
          <w:highlight w:val="none"/>
          <w:u w:val="single"/>
        </w:rPr>
        <w:t>（采购人名称）、（采购代理机构名称）</w:t>
      </w:r>
    </w:p>
    <w:p w14:paraId="242D7606">
      <w:pPr>
        <w:spacing w:line="480" w:lineRule="auto"/>
        <w:jc w:val="left"/>
        <w:rPr>
          <w:rFonts w:ascii="宋体" w:hAnsi="宋体"/>
          <w:spacing w:val="4"/>
          <w:sz w:val="24"/>
          <w:szCs w:val="24"/>
          <w:highlight w:val="none"/>
        </w:rPr>
      </w:pPr>
      <w:r>
        <w:rPr>
          <w:rFonts w:hint="eastAsia" w:ascii="宋体" w:hAnsi="宋体"/>
          <w:spacing w:val="4"/>
          <w:sz w:val="24"/>
          <w:szCs w:val="24"/>
          <w:highlight w:val="none"/>
        </w:rPr>
        <w:t>项目名称：</w:t>
      </w:r>
      <w:r>
        <w:rPr>
          <w:rFonts w:hint="eastAsia" w:ascii="宋体" w:hAnsi="宋体"/>
          <w:spacing w:val="4"/>
          <w:sz w:val="24"/>
          <w:szCs w:val="24"/>
          <w:highlight w:val="none"/>
          <w:u w:val="single"/>
        </w:rPr>
        <w:t xml:space="preserve">           </w:t>
      </w:r>
    </w:p>
    <w:p w14:paraId="31849AC1">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项目编号：</w:t>
      </w:r>
      <w:r>
        <w:rPr>
          <w:rFonts w:hint="eastAsia" w:ascii="宋体" w:hAnsi="宋体"/>
          <w:spacing w:val="4"/>
          <w:sz w:val="24"/>
          <w:szCs w:val="24"/>
          <w:highlight w:val="none"/>
          <w:u w:val="single"/>
        </w:rPr>
        <w:t xml:space="preserve">           </w:t>
      </w:r>
    </w:p>
    <w:p w14:paraId="524F5626">
      <w:pPr>
        <w:spacing w:line="480" w:lineRule="auto"/>
        <w:jc w:val="left"/>
        <w:rPr>
          <w:rFonts w:ascii="宋体" w:hAnsi="宋体"/>
          <w:spacing w:val="4"/>
          <w:sz w:val="24"/>
          <w:szCs w:val="24"/>
          <w:highlight w:val="none"/>
          <w:u w:val="single"/>
        </w:rPr>
      </w:pPr>
    </w:p>
    <w:p w14:paraId="0F0690AE">
      <w:pPr>
        <w:spacing w:line="48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u w:val="single"/>
        </w:rPr>
        <w:t xml:space="preserve">（投标人名称）      </w:t>
      </w:r>
      <w:r>
        <w:rPr>
          <w:rFonts w:hint="eastAsia" w:ascii="宋体" w:hAnsi="宋体"/>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59A218DC">
      <w:pPr>
        <w:spacing w:line="480" w:lineRule="auto"/>
        <w:ind w:firstLine="496" w:firstLineChars="200"/>
        <w:jc w:val="left"/>
        <w:rPr>
          <w:rFonts w:ascii="宋体" w:hAnsi="宋体"/>
          <w:spacing w:val="4"/>
          <w:sz w:val="24"/>
          <w:szCs w:val="24"/>
          <w:highlight w:val="none"/>
          <w:u w:val="single"/>
        </w:rPr>
      </w:pPr>
      <w:r>
        <w:rPr>
          <w:rFonts w:hint="eastAsia" w:ascii="宋体" w:hAnsi="宋体"/>
          <w:spacing w:val="4"/>
          <w:sz w:val="24"/>
          <w:szCs w:val="24"/>
          <w:highlight w:val="none"/>
        </w:rPr>
        <w:t>特此声明。</w:t>
      </w:r>
    </w:p>
    <w:p w14:paraId="67804432">
      <w:pPr>
        <w:spacing w:line="480" w:lineRule="auto"/>
        <w:jc w:val="left"/>
        <w:rPr>
          <w:rFonts w:ascii="宋体" w:hAnsi="宋体"/>
          <w:spacing w:val="4"/>
          <w:sz w:val="24"/>
          <w:szCs w:val="24"/>
          <w:highlight w:val="none"/>
          <w:u w:val="single"/>
        </w:rPr>
      </w:pPr>
    </w:p>
    <w:p w14:paraId="4B42C01F">
      <w:pPr>
        <w:spacing w:line="480" w:lineRule="auto"/>
        <w:jc w:val="left"/>
        <w:rPr>
          <w:rFonts w:ascii="宋体" w:hAnsi="宋体"/>
          <w:spacing w:val="4"/>
          <w:sz w:val="24"/>
          <w:szCs w:val="24"/>
          <w:highlight w:val="none"/>
          <w:u w:val="single"/>
        </w:rPr>
      </w:pPr>
    </w:p>
    <w:p w14:paraId="465D6B6E">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39DDFE74">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6B0D8CE2">
      <w:pPr>
        <w:spacing w:before="312" w:beforeLines="100" w:after="156" w:afterLines="50" w:line="480" w:lineRule="auto"/>
        <w:ind w:firstLine="4039" w:firstLineChars="1629"/>
        <w:jc w:val="left"/>
        <w:rPr>
          <w:rFonts w:ascii="宋体" w:hAns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36659C7E">
      <w:pPr>
        <w:spacing w:line="360" w:lineRule="auto"/>
        <w:jc w:val="center"/>
        <w:rPr>
          <w:rFonts w:ascii="宋体" w:hAnsi="宋体"/>
          <w:b/>
          <w:sz w:val="44"/>
          <w:szCs w:val="44"/>
          <w:highlight w:val="none"/>
        </w:rPr>
      </w:pPr>
      <w:r>
        <w:rPr>
          <w:rFonts w:hint="eastAsia" w:ascii="宋体" w:hAnsi="宋体"/>
          <w:spacing w:val="4"/>
          <w:sz w:val="24"/>
          <w:szCs w:val="24"/>
          <w:highlight w:val="none"/>
        </w:rPr>
        <w:br w:type="page"/>
      </w:r>
      <w:r>
        <w:rPr>
          <w:rFonts w:hint="eastAsia" w:ascii="宋体" w:hAnsi="宋体"/>
          <w:b/>
          <w:sz w:val="44"/>
          <w:szCs w:val="44"/>
          <w:highlight w:val="none"/>
        </w:rPr>
        <w:t>政府采购货物项目</w:t>
      </w:r>
    </w:p>
    <w:p w14:paraId="20413171">
      <w:pPr>
        <w:jc w:val="center"/>
        <w:rPr>
          <w:rFonts w:ascii="宋体" w:hAnsi="宋体"/>
          <w:b/>
          <w:sz w:val="36"/>
          <w:szCs w:val="36"/>
          <w:highlight w:val="none"/>
        </w:rPr>
      </w:pPr>
    </w:p>
    <w:p w14:paraId="6CC2293C">
      <w:pPr>
        <w:jc w:val="center"/>
        <w:rPr>
          <w:rFonts w:ascii="宋体" w:hAnsi="宋体"/>
          <w:b/>
          <w:sz w:val="44"/>
          <w:szCs w:val="44"/>
          <w:highlight w:val="none"/>
        </w:rPr>
      </w:pPr>
    </w:p>
    <w:p w14:paraId="3F495107">
      <w:pPr>
        <w:jc w:val="center"/>
        <w:rPr>
          <w:rFonts w:ascii="宋体" w:hAnsi="宋体"/>
          <w:b/>
          <w:sz w:val="36"/>
          <w:szCs w:val="36"/>
          <w:highlight w:val="none"/>
        </w:rPr>
      </w:pPr>
    </w:p>
    <w:p w14:paraId="74233EC2">
      <w:pPr>
        <w:jc w:val="center"/>
        <w:rPr>
          <w:rFonts w:ascii="宋体" w:hAnsi="宋体"/>
          <w:b/>
          <w:sz w:val="84"/>
          <w:szCs w:val="84"/>
          <w:highlight w:val="none"/>
        </w:rPr>
      </w:pPr>
      <w:r>
        <w:rPr>
          <w:rFonts w:hint="eastAsia" w:ascii="宋体" w:hAnsi="宋体"/>
          <w:b/>
          <w:sz w:val="84"/>
          <w:szCs w:val="84"/>
          <w:highlight w:val="none"/>
        </w:rPr>
        <w:t>投 标 文 件</w:t>
      </w:r>
    </w:p>
    <w:p w14:paraId="78790239">
      <w:pPr>
        <w:jc w:val="center"/>
        <w:rPr>
          <w:rFonts w:ascii="方正大标宋简体" w:eastAsia="方正大标宋简体"/>
          <w:b/>
          <w:sz w:val="36"/>
          <w:szCs w:val="36"/>
          <w:highlight w:val="none"/>
        </w:rPr>
      </w:pPr>
    </w:p>
    <w:p w14:paraId="71584837">
      <w:pPr>
        <w:jc w:val="center"/>
        <w:rPr>
          <w:rFonts w:ascii="宋体" w:hAnsi="宋体"/>
          <w:b/>
          <w:sz w:val="36"/>
          <w:szCs w:val="36"/>
          <w:highlight w:val="none"/>
        </w:rPr>
      </w:pPr>
      <w:r>
        <w:rPr>
          <w:rFonts w:hint="eastAsia" w:ascii="宋体" w:hAnsi="宋体"/>
          <w:b/>
          <w:sz w:val="36"/>
          <w:szCs w:val="36"/>
          <w:highlight w:val="none"/>
        </w:rPr>
        <w:t>（技术和商务部分）</w:t>
      </w:r>
    </w:p>
    <w:p w14:paraId="05DD7BDB">
      <w:pPr>
        <w:rPr>
          <w:rFonts w:ascii="方正大标宋简体" w:eastAsia="方正大标宋简体"/>
          <w:sz w:val="72"/>
          <w:szCs w:val="72"/>
          <w:highlight w:val="none"/>
        </w:rPr>
      </w:pPr>
    </w:p>
    <w:p w14:paraId="4F9DF98C">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1FF04B91">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70A780FB">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第7包：</w:t>
      </w:r>
    </w:p>
    <w:p w14:paraId="3B42F48A">
      <w:pPr>
        <w:pStyle w:val="21"/>
        <w:ind w:firstLine="1120" w:firstLineChars="400"/>
        <w:rPr>
          <w:highlight w:val="none"/>
        </w:rPr>
      </w:pPr>
    </w:p>
    <w:p w14:paraId="24E6E8B5">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p>
    <w:p w14:paraId="73719AE4">
      <w:pPr>
        <w:spacing w:line="360" w:lineRule="auto"/>
        <w:ind w:left="1080"/>
        <w:rPr>
          <w:rFonts w:ascii="宋体" w:hAnsi="宋体"/>
          <w:sz w:val="44"/>
          <w:szCs w:val="44"/>
          <w:highlight w:val="none"/>
        </w:rPr>
      </w:pPr>
      <w:r>
        <w:rPr>
          <w:rFonts w:hint="eastAsia" w:ascii="宋体" w:hAnsi="宋体"/>
          <w:sz w:val="24"/>
          <w:szCs w:val="24"/>
          <w:highlight w:val="none"/>
        </w:rPr>
        <w:t xml:space="preserve">   </w:t>
      </w:r>
      <w:r>
        <w:rPr>
          <w:rFonts w:hint="eastAsia" w:ascii="宋体" w:hAnsi="宋体"/>
          <w:sz w:val="30"/>
          <w:highlight w:val="none"/>
        </w:rPr>
        <w:t xml:space="preserve">                 </w:t>
      </w:r>
    </w:p>
    <w:p w14:paraId="4D4C34DA">
      <w:pPr>
        <w:jc w:val="center"/>
        <w:rPr>
          <w:rFonts w:ascii="宋体" w:hAnsi="宋体"/>
          <w:sz w:val="44"/>
          <w:szCs w:val="44"/>
          <w:highlight w:val="none"/>
        </w:rPr>
      </w:pPr>
    </w:p>
    <w:p w14:paraId="0E896E2B">
      <w:pPr>
        <w:jc w:val="center"/>
        <w:rPr>
          <w:rFonts w:ascii="宋体" w:hAnsi="宋体"/>
          <w:b/>
          <w:sz w:val="30"/>
          <w:szCs w:val="30"/>
          <w:highlight w:val="none"/>
        </w:rPr>
      </w:pPr>
    </w:p>
    <w:p w14:paraId="55A38C7D">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1D3A45D2">
      <w:pPr>
        <w:jc w:val="center"/>
        <w:rPr>
          <w:rFonts w:ascii="宋体" w:hAnsi="宋体"/>
          <w:b/>
          <w:sz w:val="30"/>
          <w:szCs w:val="30"/>
          <w:highlight w:val="none"/>
        </w:rPr>
      </w:pPr>
    </w:p>
    <w:p w14:paraId="550B27E1">
      <w:pPr>
        <w:ind w:firstLine="1807" w:firstLineChars="600"/>
        <w:rPr>
          <w:rFonts w:ascii="宋体" w:hAnsi="宋体"/>
          <w:b/>
          <w:sz w:val="30"/>
          <w:szCs w:val="30"/>
          <w:highlight w:val="none"/>
        </w:rPr>
      </w:pPr>
      <w:r>
        <w:rPr>
          <w:rFonts w:hint="eastAsia" w:ascii="宋体" w:hAnsi="宋体"/>
          <w:b/>
          <w:sz w:val="30"/>
          <w:szCs w:val="30"/>
          <w:highlight w:val="none"/>
        </w:rPr>
        <w:t>日  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1738ADF8">
      <w:pPr>
        <w:spacing w:line="500" w:lineRule="exact"/>
        <w:jc w:val="center"/>
        <w:rPr>
          <w:rFonts w:ascii="宋体" w:hAnsi="宋体"/>
          <w:b/>
          <w:sz w:val="36"/>
          <w:szCs w:val="36"/>
          <w:highlight w:val="none"/>
        </w:rPr>
      </w:pPr>
      <w:r>
        <w:rPr>
          <w:rFonts w:ascii="宋体" w:hAnsi="宋体"/>
          <w:b/>
          <w:sz w:val="36"/>
          <w:szCs w:val="36"/>
          <w:highlight w:val="none"/>
        </w:rPr>
        <w:br w:type="page"/>
      </w:r>
    </w:p>
    <w:p w14:paraId="39193FBB">
      <w:pPr>
        <w:spacing w:line="500" w:lineRule="exact"/>
        <w:jc w:val="center"/>
        <w:rPr>
          <w:rFonts w:ascii="宋体" w:hAnsi="宋体"/>
          <w:b/>
          <w:sz w:val="36"/>
          <w:szCs w:val="36"/>
          <w:highlight w:val="none"/>
        </w:rPr>
      </w:pPr>
    </w:p>
    <w:p w14:paraId="7B9B11B0">
      <w:pPr>
        <w:spacing w:line="500" w:lineRule="exact"/>
        <w:jc w:val="center"/>
        <w:rPr>
          <w:rFonts w:ascii="宋体" w:hAnsi="宋体"/>
          <w:b/>
          <w:bCs/>
          <w:spacing w:val="4"/>
          <w:sz w:val="48"/>
          <w:szCs w:val="48"/>
          <w:highlight w:val="none"/>
        </w:rPr>
      </w:pPr>
      <w:r>
        <w:rPr>
          <w:rFonts w:hint="eastAsia" w:ascii="宋体" w:hAnsi="宋体"/>
          <w:b/>
          <w:bCs/>
          <w:spacing w:val="4"/>
          <w:sz w:val="48"/>
          <w:szCs w:val="48"/>
          <w:highlight w:val="none"/>
        </w:rPr>
        <w:t>目 录</w:t>
      </w:r>
    </w:p>
    <w:p w14:paraId="04F572A3">
      <w:pPr>
        <w:spacing w:line="500" w:lineRule="exact"/>
        <w:jc w:val="center"/>
        <w:rPr>
          <w:rFonts w:ascii="宋体" w:hAnsi="宋体"/>
          <w:b/>
          <w:bCs/>
          <w:spacing w:val="4"/>
          <w:sz w:val="36"/>
          <w:szCs w:val="36"/>
          <w:highlight w:val="none"/>
        </w:rPr>
      </w:pPr>
    </w:p>
    <w:p w14:paraId="1839EAE5">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投标函</w:t>
      </w:r>
    </w:p>
    <w:p w14:paraId="03D571E6">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投标报价表</w:t>
      </w:r>
    </w:p>
    <w:p w14:paraId="4D94D715">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投标方案说明书</w:t>
      </w:r>
    </w:p>
    <w:p w14:paraId="5A9F011E">
      <w:pPr>
        <w:spacing w:before="240" w:line="360" w:lineRule="auto"/>
        <w:rPr>
          <w:rFonts w:ascii="宋体" w:hAnsi="宋体"/>
          <w:sz w:val="24"/>
          <w:szCs w:val="24"/>
          <w:highlight w:val="none"/>
        </w:rPr>
      </w:pPr>
    </w:p>
    <w:p w14:paraId="0FABC08A">
      <w:pPr>
        <w:spacing w:line="440" w:lineRule="exact"/>
        <w:jc w:val="center"/>
        <w:rPr>
          <w:rFonts w:ascii="宋体" w:hAnsi="宋体"/>
          <w:spacing w:val="4"/>
          <w:sz w:val="36"/>
          <w:szCs w:val="36"/>
          <w:highlight w:val="none"/>
        </w:rPr>
      </w:pPr>
      <w:r>
        <w:rPr>
          <w:rFonts w:ascii="宋体" w:hAnsi="宋体"/>
          <w:b/>
          <w:spacing w:val="4"/>
          <w:sz w:val="36"/>
          <w:szCs w:val="36"/>
          <w:highlight w:val="none"/>
        </w:rPr>
        <w:br w:type="page"/>
      </w:r>
      <w:r>
        <w:rPr>
          <w:rFonts w:hint="eastAsia" w:ascii="宋体" w:hAnsi="宋体"/>
          <w:b/>
          <w:spacing w:val="4"/>
          <w:sz w:val="36"/>
          <w:szCs w:val="36"/>
          <w:highlight w:val="none"/>
        </w:rPr>
        <w:t>一、投标函</w:t>
      </w:r>
    </w:p>
    <w:p w14:paraId="335E05FE">
      <w:pPr>
        <w:spacing w:line="440" w:lineRule="exact"/>
        <w:jc w:val="left"/>
        <w:rPr>
          <w:rFonts w:ascii="宋体" w:hAnsi="宋体"/>
          <w:spacing w:val="4"/>
          <w:sz w:val="24"/>
          <w:highlight w:val="none"/>
        </w:rPr>
      </w:pPr>
    </w:p>
    <w:p w14:paraId="3522D587">
      <w:pPr>
        <w:spacing w:line="440" w:lineRule="exact"/>
        <w:rPr>
          <w:rFonts w:ascii="宋体" w:hAnsi="宋体"/>
          <w:spacing w:val="4"/>
          <w:sz w:val="24"/>
          <w:highlight w:val="none"/>
        </w:rPr>
      </w:pPr>
      <w:r>
        <w:rPr>
          <w:rFonts w:hint="eastAsia" w:ascii="宋体" w:hAnsi="宋体"/>
          <w:spacing w:val="4"/>
          <w:sz w:val="24"/>
          <w:highlight w:val="none"/>
        </w:rPr>
        <w:t>致：西北（陕西）国际招标有限公司</w:t>
      </w:r>
    </w:p>
    <w:p w14:paraId="081B99D5">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根据贵方为</w:t>
      </w:r>
      <w:r>
        <w:rPr>
          <w:rFonts w:hint="eastAsia" w:ascii="宋体" w:hAnsi="宋体"/>
          <w:spacing w:val="4"/>
          <w:sz w:val="24"/>
          <w:highlight w:val="none"/>
          <w:u w:val="single"/>
        </w:rPr>
        <w:t xml:space="preserve">（项目名称）    </w:t>
      </w:r>
      <w:r>
        <w:rPr>
          <w:rFonts w:hint="eastAsia" w:ascii="宋体" w:hAnsi="宋体"/>
          <w:spacing w:val="4"/>
          <w:sz w:val="24"/>
          <w:highlight w:val="none"/>
        </w:rPr>
        <w:t>项目招标采购货物及服务的投标邀请</w:t>
      </w:r>
      <w:r>
        <w:rPr>
          <w:rFonts w:hint="eastAsia" w:ascii="宋体" w:hAnsi="宋体"/>
          <w:spacing w:val="4"/>
          <w:sz w:val="24"/>
          <w:highlight w:val="none"/>
          <w:u w:val="single"/>
        </w:rPr>
        <w:t xml:space="preserve">(项目编号)    </w:t>
      </w:r>
      <w:r>
        <w:rPr>
          <w:rFonts w:hint="eastAsia" w:ascii="宋体" w:hAnsi="宋体"/>
          <w:spacing w:val="4"/>
          <w:sz w:val="24"/>
          <w:highlight w:val="none"/>
        </w:rPr>
        <w:t>，签字代表</w:t>
      </w:r>
      <w:r>
        <w:rPr>
          <w:rFonts w:hint="eastAsia" w:ascii="宋体" w:hAnsi="宋体"/>
          <w:spacing w:val="4"/>
          <w:sz w:val="24"/>
          <w:highlight w:val="none"/>
          <w:u w:val="single"/>
        </w:rPr>
        <w:t xml:space="preserve">（姓名、职务）    </w:t>
      </w:r>
      <w:r>
        <w:rPr>
          <w:rFonts w:hint="eastAsia" w:ascii="宋体" w:hAnsi="宋体"/>
          <w:spacing w:val="4"/>
          <w:sz w:val="24"/>
          <w:highlight w:val="none"/>
        </w:rPr>
        <w:t>经正式授权并代表投标人</w:t>
      </w:r>
      <w:r>
        <w:rPr>
          <w:rFonts w:hint="eastAsia" w:ascii="宋体" w:hAnsi="宋体"/>
          <w:spacing w:val="4"/>
          <w:sz w:val="24"/>
          <w:highlight w:val="none"/>
          <w:u w:val="single"/>
        </w:rPr>
        <w:t xml:space="preserve">(投标人名称)     </w:t>
      </w:r>
      <w:r>
        <w:rPr>
          <w:rFonts w:hint="eastAsia" w:ascii="宋体" w:hAnsi="宋体"/>
          <w:spacing w:val="4"/>
          <w:sz w:val="24"/>
          <w:highlight w:val="none"/>
        </w:rPr>
        <w:t xml:space="preserve"> 提交下述文件。</w:t>
      </w:r>
    </w:p>
    <w:p w14:paraId="00B9A5EC">
      <w:pPr>
        <w:spacing w:line="440" w:lineRule="exact"/>
        <w:ind w:left="549" w:leftChars="251" w:hanging="22" w:hangingChars="9"/>
        <w:rPr>
          <w:rFonts w:ascii="宋体" w:hAnsi="宋体"/>
          <w:spacing w:val="4"/>
          <w:sz w:val="24"/>
          <w:highlight w:val="none"/>
        </w:rPr>
      </w:pPr>
      <w:r>
        <w:rPr>
          <w:rFonts w:hint="eastAsia" w:ascii="宋体" w:hAnsi="宋体"/>
          <w:spacing w:val="4"/>
          <w:sz w:val="24"/>
          <w:highlight w:val="none"/>
        </w:rPr>
        <w:t>我方承诺如下：</w:t>
      </w:r>
    </w:p>
    <w:p w14:paraId="7362925F">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投标总价为 </w:t>
      </w:r>
      <w:r>
        <w:rPr>
          <w:rFonts w:hint="eastAsia" w:ascii="宋体" w:hAnsi="宋体"/>
          <w:spacing w:val="4"/>
          <w:sz w:val="24"/>
          <w:highlight w:val="none"/>
          <w:u w:val="single"/>
        </w:rPr>
        <w:t xml:space="preserve">        </w:t>
      </w:r>
      <w:r>
        <w:rPr>
          <w:rFonts w:hint="eastAsia" w:ascii="宋体" w:hAnsi="宋体"/>
          <w:spacing w:val="4"/>
          <w:sz w:val="24"/>
          <w:highlight w:val="none"/>
        </w:rPr>
        <w:t>（人民币）、（用文字和数字表示的投标总价）。</w:t>
      </w:r>
    </w:p>
    <w:p w14:paraId="234FDE61">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如果中标，我们根据招标文件的规定，履行合同的责任和义务。</w:t>
      </w:r>
    </w:p>
    <w:p w14:paraId="2B1452E2">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我们已详细阅读和审核全部招标文件（含修改部分，如有的话），及有关附件，我们知道必须放弃提出含糊不清或误解的问题的权利。</w:t>
      </w:r>
    </w:p>
    <w:p w14:paraId="05D07373">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我们同意在贵方文件规定的投标有效期内（自开标之日起</w:t>
      </w:r>
      <w:r>
        <w:rPr>
          <w:rFonts w:hint="eastAsia" w:ascii="宋体" w:hAnsi="宋体"/>
          <w:spacing w:val="4"/>
          <w:sz w:val="24"/>
          <w:highlight w:val="none"/>
          <w:u w:val="single"/>
        </w:rPr>
        <w:t xml:space="preserve"> 90 </w:t>
      </w:r>
      <w:r>
        <w:rPr>
          <w:rFonts w:hint="eastAsia" w:ascii="宋体" w:hAnsi="宋体"/>
          <w:spacing w:val="4"/>
          <w:sz w:val="24"/>
          <w:highlight w:val="none"/>
        </w:rPr>
        <w:t>天内），本投标函对我方具有约束力。</w:t>
      </w:r>
    </w:p>
    <w:p w14:paraId="26C0A950">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我方承诺，按照招标要求提交的全部资格和其他证明文件的真实性，如有虚假，愿承担一切法律责任。</w:t>
      </w:r>
    </w:p>
    <w:p w14:paraId="6B725E76">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同意提供贵方可能另外要求的与本投标有关的任何证据和资料。 </w:t>
      </w:r>
    </w:p>
    <w:p w14:paraId="7C0D5FA1">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我们同意，如果中标，向西北（陕西）国际招标有限公司交纳招标代理服务费。</w:t>
      </w:r>
    </w:p>
    <w:p w14:paraId="4E629814">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与本投标有关的一切正式信函请寄：</w:t>
      </w:r>
    </w:p>
    <w:p w14:paraId="18C45D63">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详细地址：</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邮政编码：</w:t>
      </w:r>
      <w:r>
        <w:rPr>
          <w:rFonts w:hint="eastAsia" w:ascii="宋体" w:hAnsi="宋体"/>
          <w:spacing w:val="4"/>
          <w:sz w:val="24"/>
          <w:highlight w:val="none"/>
          <w:u w:val="single"/>
        </w:rPr>
        <w:t xml:space="preserve">       </w:t>
      </w:r>
    </w:p>
    <w:p w14:paraId="08205A33">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电话/传真：</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电子邮件：</w:t>
      </w:r>
      <w:r>
        <w:rPr>
          <w:rFonts w:hint="eastAsia" w:ascii="宋体" w:hAnsi="宋体"/>
          <w:spacing w:val="4"/>
          <w:sz w:val="24"/>
          <w:highlight w:val="none"/>
          <w:u w:val="single"/>
        </w:rPr>
        <w:t xml:space="preserve">       </w:t>
      </w:r>
    </w:p>
    <w:p w14:paraId="0B0E2B24">
      <w:pPr>
        <w:spacing w:line="440" w:lineRule="exact"/>
        <w:rPr>
          <w:rFonts w:ascii="宋体" w:hAnsi="宋体"/>
          <w:spacing w:val="4"/>
          <w:sz w:val="24"/>
          <w:highlight w:val="none"/>
        </w:rPr>
      </w:pPr>
      <w:r>
        <w:rPr>
          <w:rFonts w:hint="eastAsia" w:ascii="宋体" w:hAnsi="宋体"/>
          <w:spacing w:val="4"/>
          <w:sz w:val="24"/>
          <w:highlight w:val="none"/>
        </w:rPr>
        <w:t xml:space="preserve">      </w:t>
      </w:r>
    </w:p>
    <w:p w14:paraId="5422FE40">
      <w:pPr>
        <w:spacing w:line="440" w:lineRule="exact"/>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6A08DC37">
      <w:pPr>
        <w:spacing w:line="440" w:lineRule="exact"/>
        <w:rPr>
          <w:rFonts w:ascii="宋体" w:hAnsi="宋体" w:cs="宋体"/>
          <w:kern w:val="0"/>
          <w:sz w:val="24"/>
          <w:highlight w:val="none"/>
        </w:rPr>
      </w:pPr>
      <w:r>
        <w:rPr>
          <w:rFonts w:hint="eastAsia" w:ascii="宋体" w:hAnsi="宋体" w:cs="宋体"/>
          <w:kern w:val="0"/>
          <w:sz w:val="24"/>
          <w:highlight w:val="none"/>
        </w:rPr>
        <w:t xml:space="preserve">投标人名称： </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7075CC26">
      <w:pPr>
        <w:spacing w:line="440" w:lineRule="exact"/>
        <w:rPr>
          <w:rFonts w:ascii="宋体" w:hAnsi="宋体" w:cs="宋体"/>
          <w:kern w:val="0"/>
          <w:sz w:val="24"/>
          <w:highlight w:val="none"/>
        </w:rPr>
      </w:pPr>
      <w:r>
        <w:rPr>
          <w:rFonts w:hint="eastAsia" w:ascii="宋体" w:hAnsi="宋体" w:cs="宋体"/>
          <w:kern w:val="0"/>
          <w:sz w:val="24"/>
          <w:highlight w:val="none"/>
        </w:rPr>
        <w:t>公章：</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26BECFEF">
      <w:pPr>
        <w:spacing w:line="440" w:lineRule="exact"/>
        <w:rPr>
          <w:rFonts w:ascii="宋体" w:hAnsi="宋体" w:cs="宋体"/>
          <w:kern w:val="0"/>
          <w:sz w:val="24"/>
          <w:highlight w:val="none"/>
        </w:rPr>
      </w:pPr>
      <w:r>
        <w:rPr>
          <w:rFonts w:hint="eastAsia" w:ascii="宋体" w:hAnsi="宋体" w:cs="宋体"/>
          <w:kern w:val="0"/>
          <w:sz w:val="24"/>
          <w:highlight w:val="none"/>
        </w:rPr>
        <w:t>日期：</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7B552A3B">
      <w:pPr>
        <w:spacing w:before="240" w:line="360" w:lineRule="auto"/>
        <w:rPr>
          <w:highlight w:val="none"/>
        </w:rPr>
      </w:pPr>
      <w:r>
        <w:rPr>
          <w:highlight w:val="none"/>
        </w:rPr>
        <w:br w:type="page"/>
      </w:r>
    </w:p>
    <w:p w14:paraId="42D1BA9E">
      <w:pPr>
        <w:spacing w:line="480" w:lineRule="auto"/>
        <w:jc w:val="center"/>
        <w:rPr>
          <w:rFonts w:ascii="宋体" w:hAnsi="宋体"/>
          <w:b/>
          <w:sz w:val="36"/>
          <w:szCs w:val="36"/>
          <w:highlight w:val="none"/>
        </w:rPr>
      </w:pPr>
      <w:r>
        <w:rPr>
          <w:rFonts w:hint="eastAsia" w:ascii="宋体" w:hAnsi="宋体"/>
          <w:sz w:val="36"/>
          <w:szCs w:val="36"/>
          <w:highlight w:val="none"/>
        </w:rPr>
        <w:t>二、</w:t>
      </w:r>
      <w:r>
        <w:rPr>
          <w:rFonts w:hint="eastAsia" w:ascii="宋体" w:hAnsi="宋体"/>
          <w:b/>
          <w:sz w:val="36"/>
          <w:szCs w:val="36"/>
          <w:highlight w:val="none"/>
        </w:rPr>
        <w:t>投标报价表</w:t>
      </w:r>
    </w:p>
    <w:p w14:paraId="37E7C9F5">
      <w:pPr>
        <w:jc w:val="center"/>
        <w:rPr>
          <w:rFonts w:ascii="宋体" w:hAnsi="宋体"/>
          <w:b/>
          <w:sz w:val="36"/>
          <w:highlight w:val="none"/>
        </w:rPr>
      </w:pPr>
    </w:p>
    <w:p w14:paraId="4DE07B7B">
      <w:pPr>
        <w:jc w:val="center"/>
        <w:rPr>
          <w:rFonts w:ascii="宋体" w:hAnsi="宋体"/>
          <w:b/>
          <w:sz w:val="32"/>
          <w:szCs w:val="32"/>
          <w:highlight w:val="none"/>
        </w:rPr>
      </w:pPr>
      <w:r>
        <w:rPr>
          <w:rFonts w:hint="eastAsia" w:ascii="宋体" w:hAnsi="宋体"/>
          <w:b/>
          <w:sz w:val="32"/>
          <w:szCs w:val="32"/>
          <w:highlight w:val="none"/>
        </w:rPr>
        <w:t>2.1开标一览表(投标报价表)</w:t>
      </w:r>
    </w:p>
    <w:p w14:paraId="144EB19A">
      <w:pPr>
        <w:rPr>
          <w:rFonts w:ascii="宋体" w:hAnsi="宋体"/>
          <w:sz w:val="24"/>
          <w:szCs w:val="24"/>
          <w:highlight w:val="none"/>
        </w:rPr>
      </w:pPr>
    </w:p>
    <w:p w14:paraId="7070B450">
      <w:pPr>
        <w:rPr>
          <w:rFonts w:ascii="宋体" w:hAnsi="宋体"/>
          <w:sz w:val="24"/>
          <w:szCs w:val="24"/>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2"/>
        <w:tblW w:w="5380" w:type="pct"/>
        <w:tblInd w:w="-332" w:type="dxa"/>
        <w:tblLayout w:type="autofit"/>
        <w:tblCellMar>
          <w:top w:w="0" w:type="dxa"/>
          <w:left w:w="28" w:type="dxa"/>
          <w:bottom w:w="0" w:type="dxa"/>
          <w:right w:w="28" w:type="dxa"/>
        </w:tblCellMar>
      </w:tblPr>
      <w:tblGrid>
        <w:gridCol w:w="2080"/>
        <w:gridCol w:w="3350"/>
        <w:gridCol w:w="2399"/>
        <w:gridCol w:w="1836"/>
      </w:tblGrid>
      <w:tr w14:paraId="7F037FC9">
        <w:tblPrEx>
          <w:tblCellMar>
            <w:top w:w="0" w:type="dxa"/>
            <w:left w:w="28" w:type="dxa"/>
            <w:bottom w:w="0" w:type="dxa"/>
            <w:right w:w="28" w:type="dxa"/>
          </w:tblCellMar>
        </w:tblPrEx>
        <w:trPr>
          <w:trHeight w:val="1378" w:hRule="atLeast"/>
        </w:trPr>
        <w:tc>
          <w:tcPr>
            <w:tcW w:w="1934" w:type="dxa"/>
            <w:tcBorders>
              <w:top w:val="single" w:color="auto" w:sz="6" w:space="0"/>
              <w:left w:val="single" w:color="auto" w:sz="6" w:space="0"/>
              <w:bottom w:val="single" w:color="auto" w:sz="6" w:space="0"/>
              <w:right w:val="single" w:color="auto" w:sz="6" w:space="0"/>
            </w:tcBorders>
            <w:vAlign w:val="center"/>
          </w:tcPr>
          <w:p w14:paraId="22B9405A">
            <w:pPr>
              <w:spacing w:after="120"/>
              <w:jc w:val="center"/>
              <w:rPr>
                <w:rFonts w:ascii="宋体" w:hAnsi="宋体"/>
                <w:sz w:val="24"/>
                <w:szCs w:val="24"/>
                <w:highlight w:val="none"/>
              </w:rPr>
            </w:pPr>
            <w:r>
              <w:rPr>
                <w:rFonts w:hint="eastAsia" w:ascii="宋体" w:hAnsi="宋体" w:cs="宋体"/>
                <w:sz w:val="24"/>
                <w:szCs w:val="24"/>
                <w:highlight w:val="none"/>
              </w:rPr>
              <w:t>标包内容</w:t>
            </w:r>
          </w:p>
        </w:tc>
        <w:tc>
          <w:tcPr>
            <w:tcW w:w="1733" w:type="pct"/>
            <w:tcBorders>
              <w:top w:val="single" w:color="auto" w:sz="6" w:space="0"/>
              <w:left w:val="single" w:color="auto" w:sz="6" w:space="0"/>
              <w:bottom w:val="single" w:color="auto" w:sz="6" w:space="0"/>
              <w:right w:val="single" w:color="auto" w:sz="6" w:space="0"/>
            </w:tcBorders>
            <w:vAlign w:val="center"/>
          </w:tcPr>
          <w:p w14:paraId="3D7B7588">
            <w:pPr>
              <w:spacing w:after="120"/>
              <w:jc w:val="center"/>
              <w:rPr>
                <w:rFonts w:ascii="宋体" w:hAnsi="宋体"/>
                <w:sz w:val="24"/>
                <w:szCs w:val="24"/>
                <w:highlight w:val="none"/>
              </w:rPr>
            </w:pPr>
            <w:r>
              <w:rPr>
                <w:rFonts w:hint="eastAsia" w:ascii="宋体" w:hAnsi="宋体"/>
                <w:sz w:val="24"/>
                <w:szCs w:val="24"/>
                <w:highlight w:val="none"/>
              </w:rPr>
              <w:t>投标总价</w:t>
            </w:r>
          </w:p>
          <w:p w14:paraId="31407E6D">
            <w:pPr>
              <w:spacing w:after="120"/>
              <w:jc w:val="center"/>
              <w:rPr>
                <w:rFonts w:ascii="宋体" w:hAnsi="宋体"/>
                <w:sz w:val="24"/>
                <w:szCs w:val="24"/>
                <w:highlight w:val="none"/>
              </w:rPr>
            </w:pPr>
            <w:r>
              <w:rPr>
                <w:rFonts w:hint="eastAsia" w:ascii="宋体" w:hAnsi="宋体"/>
                <w:sz w:val="24"/>
                <w:szCs w:val="24"/>
                <w:highlight w:val="none"/>
              </w:rPr>
              <w:t>（元）</w:t>
            </w:r>
          </w:p>
        </w:tc>
        <w:tc>
          <w:tcPr>
            <w:tcW w:w="1241" w:type="pct"/>
            <w:tcBorders>
              <w:top w:val="single" w:color="auto" w:sz="6" w:space="0"/>
              <w:left w:val="single" w:color="auto" w:sz="6" w:space="0"/>
              <w:bottom w:val="single" w:color="auto" w:sz="6" w:space="0"/>
              <w:right w:val="single" w:color="auto" w:sz="6" w:space="0"/>
            </w:tcBorders>
            <w:vAlign w:val="center"/>
          </w:tcPr>
          <w:p w14:paraId="546C6890">
            <w:pPr>
              <w:spacing w:after="120"/>
              <w:jc w:val="center"/>
              <w:rPr>
                <w:rFonts w:ascii="宋体" w:hAnsi="宋体"/>
                <w:bCs/>
                <w:sz w:val="24"/>
                <w:szCs w:val="24"/>
                <w:highlight w:val="none"/>
              </w:rPr>
            </w:pPr>
            <w:r>
              <w:rPr>
                <w:rFonts w:hint="eastAsia" w:ascii="宋体" w:hAnsi="宋体"/>
                <w:sz w:val="24"/>
                <w:szCs w:val="24"/>
                <w:highlight w:val="none"/>
              </w:rPr>
              <w:t>交货期</w:t>
            </w:r>
          </w:p>
        </w:tc>
        <w:tc>
          <w:tcPr>
            <w:tcW w:w="950" w:type="pct"/>
            <w:tcBorders>
              <w:top w:val="single" w:color="auto" w:sz="6" w:space="0"/>
              <w:left w:val="single" w:color="auto" w:sz="6" w:space="0"/>
              <w:bottom w:val="single" w:color="auto" w:sz="6" w:space="0"/>
              <w:right w:val="single" w:color="auto" w:sz="6" w:space="0"/>
            </w:tcBorders>
            <w:vAlign w:val="center"/>
          </w:tcPr>
          <w:p w14:paraId="667F7C42">
            <w:pPr>
              <w:spacing w:after="120"/>
              <w:jc w:val="center"/>
              <w:rPr>
                <w:rFonts w:ascii="宋体" w:hAnsi="宋体"/>
                <w:bCs/>
                <w:sz w:val="24"/>
                <w:szCs w:val="24"/>
                <w:highlight w:val="none"/>
              </w:rPr>
            </w:pPr>
            <w:r>
              <w:rPr>
                <w:rFonts w:hint="eastAsia" w:ascii="宋体" w:hAnsi="宋体"/>
                <w:bCs/>
                <w:sz w:val="24"/>
                <w:szCs w:val="24"/>
                <w:highlight w:val="none"/>
              </w:rPr>
              <w:t>交货地点</w:t>
            </w:r>
          </w:p>
        </w:tc>
      </w:tr>
      <w:tr w14:paraId="20EB5F71">
        <w:tblPrEx>
          <w:tblCellMar>
            <w:top w:w="0" w:type="dxa"/>
            <w:left w:w="28" w:type="dxa"/>
            <w:bottom w:w="0" w:type="dxa"/>
            <w:right w:w="28" w:type="dxa"/>
          </w:tblCellMar>
        </w:tblPrEx>
        <w:trPr>
          <w:trHeight w:val="3143" w:hRule="atLeast"/>
        </w:trPr>
        <w:tc>
          <w:tcPr>
            <w:tcW w:w="1934" w:type="dxa"/>
            <w:tcBorders>
              <w:top w:val="single" w:color="auto" w:sz="6" w:space="0"/>
              <w:left w:val="single" w:color="auto" w:sz="6" w:space="0"/>
              <w:bottom w:val="single" w:color="auto" w:sz="4" w:space="0"/>
              <w:right w:val="single" w:color="auto" w:sz="6" w:space="0"/>
            </w:tcBorders>
            <w:vAlign w:val="center"/>
          </w:tcPr>
          <w:p w14:paraId="13172CAA">
            <w:pPr>
              <w:spacing w:after="120" w:line="360" w:lineRule="auto"/>
              <w:jc w:val="center"/>
              <w:rPr>
                <w:rFonts w:ascii="宋体" w:hAnsi="宋体" w:cs="宋体"/>
                <w:sz w:val="24"/>
                <w:szCs w:val="24"/>
                <w:highlight w:val="none"/>
              </w:rPr>
            </w:pPr>
            <w:r>
              <w:rPr>
                <w:rFonts w:hint="eastAsia" w:ascii="宋体" w:hAnsi="宋体" w:cs="宋体"/>
                <w:sz w:val="24"/>
                <w:szCs w:val="24"/>
                <w:highlight w:val="none"/>
              </w:rPr>
              <w:t>第7包</w:t>
            </w:r>
          </w:p>
          <w:p w14:paraId="64BC549A">
            <w:pPr>
              <w:spacing w:after="120" w:line="360" w:lineRule="auto"/>
              <w:jc w:val="center"/>
              <w:rPr>
                <w:rFonts w:ascii="宋体" w:hAnsi="宋体"/>
                <w:sz w:val="24"/>
                <w:szCs w:val="24"/>
                <w:highlight w:val="none"/>
              </w:rPr>
            </w:pPr>
            <w:r>
              <w:rPr>
                <w:rFonts w:hint="eastAsia" w:ascii="宋体" w:hAnsi="宋体" w:cs="宋体"/>
                <w:sz w:val="24"/>
                <w:szCs w:val="24"/>
                <w:highlight w:val="none"/>
              </w:rPr>
              <w:t>去白血袋四联装（取样装置）</w:t>
            </w:r>
          </w:p>
        </w:tc>
        <w:tc>
          <w:tcPr>
            <w:tcW w:w="1733" w:type="pct"/>
            <w:tcBorders>
              <w:top w:val="single" w:color="auto" w:sz="6" w:space="0"/>
              <w:left w:val="single" w:color="auto" w:sz="6" w:space="0"/>
              <w:bottom w:val="single" w:color="auto" w:sz="4" w:space="0"/>
              <w:right w:val="single" w:color="auto" w:sz="6" w:space="0"/>
            </w:tcBorders>
            <w:vAlign w:val="center"/>
          </w:tcPr>
          <w:p w14:paraId="1618FDDD">
            <w:pPr>
              <w:rPr>
                <w:rFonts w:ascii="宋体" w:hAnsi="宋体"/>
                <w:sz w:val="24"/>
                <w:szCs w:val="24"/>
                <w:highlight w:val="none"/>
              </w:rPr>
            </w:pPr>
            <w:r>
              <w:rPr>
                <w:rFonts w:hint="eastAsia" w:ascii="宋体" w:hAnsi="宋体"/>
                <w:sz w:val="24"/>
                <w:szCs w:val="24"/>
                <w:highlight w:val="none"/>
              </w:rPr>
              <w:t>小写金额：</w:t>
            </w:r>
          </w:p>
          <w:p w14:paraId="1B36E962">
            <w:pPr>
              <w:ind w:firstLine="360" w:firstLineChars="150"/>
              <w:rPr>
                <w:rFonts w:ascii="宋体" w:hAnsi="宋体"/>
                <w:sz w:val="24"/>
                <w:szCs w:val="24"/>
                <w:highlight w:val="none"/>
              </w:rPr>
            </w:pPr>
          </w:p>
          <w:p w14:paraId="522BBDC3">
            <w:pPr>
              <w:pStyle w:val="8"/>
              <w:rPr>
                <w:rFonts w:ascii="宋体" w:hAnsi="宋体"/>
                <w:szCs w:val="24"/>
                <w:highlight w:val="none"/>
              </w:rPr>
            </w:pPr>
          </w:p>
          <w:p w14:paraId="2F833C3A">
            <w:pPr>
              <w:rPr>
                <w:rFonts w:ascii="宋体" w:hAnsi="宋体"/>
                <w:sz w:val="24"/>
                <w:szCs w:val="24"/>
                <w:highlight w:val="none"/>
              </w:rPr>
            </w:pPr>
            <w:r>
              <w:rPr>
                <w:rFonts w:hint="eastAsia" w:ascii="宋体" w:hAnsi="宋体"/>
                <w:sz w:val="24"/>
                <w:szCs w:val="24"/>
                <w:highlight w:val="none"/>
              </w:rPr>
              <w:t>大写金额：</w:t>
            </w:r>
          </w:p>
        </w:tc>
        <w:tc>
          <w:tcPr>
            <w:tcW w:w="2234" w:type="dxa"/>
            <w:tcBorders>
              <w:top w:val="single" w:color="auto" w:sz="6" w:space="0"/>
              <w:left w:val="single" w:color="auto" w:sz="6" w:space="0"/>
              <w:bottom w:val="single" w:color="auto" w:sz="4" w:space="0"/>
              <w:right w:val="single" w:color="auto" w:sz="6" w:space="0"/>
            </w:tcBorders>
            <w:vAlign w:val="center"/>
          </w:tcPr>
          <w:p w14:paraId="33A53A4E">
            <w:pPr>
              <w:spacing w:line="360" w:lineRule="auto"/>
              <w:jc w:val="center"/>
              <w:rPr>
                <w:rFonts w:ascii="宋体" w:hAnsi="宋体"/>
                <w:sz w:val="24"/>
                <w:szCs w:val="24"/>
                <w:highlight w:val="none"/>
              </w:rPr>
            </w:pPr>
            <w:r>
              <w:rPr>
                <w:rFonts w:hint="eastAsia" w:ascii="宋体" w:hAnsi="宋体"/>
                <w:sz w:val="24"/>
                <w:szCs w:val="24"/>
                <w:highlight w:val="none"/>
              </w:rPr>
              <w:t>接到订单通知后___个工作日内</w:t>
            </w:r>
          </w:p>
        </w:tc>
        <w:tc>
          <w:tcPr>
            <w:tcW w:w="1710" w:type="dxa"/>
            <w:tcBorders>
              <w:top w:val="single" w:color="auto" w:sz="6" w:space="0"/>
              <w:left w:val="single" w:color="auto" w:sz="6" w:space="0"/>
              <w:bottom w:val="single" w:color="auto" w:sz="4" w:space="0"/>
              <w:right w:val="single" w:color="auto" w:sz="6" w:space="0"/>
            </w:tcBorders>
            <w:vAlign w:val="center"/>
          </w:tcPr>
          <w:p w14:paraId="0DB1F40A">
            <w:pPr>
              <w:spacing w:line="360" w:lineRule="auto"/>
              <w:jc w:val="center"/>
              <w:rPr>
                <w:rFonts w:ascii="宋体" w:hAnsi="宋体" w:cs="宋体"/>
                <w:sz w:val="24"/>
                <w:szCs w:val="24"/>
                <w:highlight w:val="none"/>
              </w:rPr>
            </w:pPr>
            <w:r>
              <w:rPr>
                <w:rFonts w:hint="eastAsia" w:ascii="宋体" w:hAnsi="宋体" w:cs="宋体"/>
                <w:sz w:val="24"/>
                <w:szCs w:val="24"/>
                <w:highlight w:val="none"/>
              </w:rPr>
              <w:t>采购人指定</w:t>
            </w:r>
          </w:p>
          <w:p w14:paraId="1B92AD3A">
            <w:pPr>
              <w:spacing w:line="360" w:lineRule="auto"/>
              <w:jc w:val="center"/>
              <w:rPr>
                <w:rFonts w:ascii="宋体" w:hAnsi="宋体"/>
                <w:sz w:val="24"/>
                <w:szCs w:val="24"/>
                <w:highlight w:val="none"/>
              </w:rPr>
            </w:pPr>
            <w:r>
              <w:rPr>
                <w:rFonts w:hint="eastAsia" w:ascii="宋体" w:hAnsi="宋体" w:cs="宋体"/>
                <w:sz w:val="24"/>
                <w:szCs w:val="24"/>
                <w:highlight w:val="none"/>
              </w:rPr>
              <w:t>地点</w:t>
            </w:r>
          </w:p>
        </w:tc>
      </w:tr>
    </w:tbl>
    <w:p w14:paraId="2B24771C">
      <w:pPr>
        <w:rPr>
          <w:rFonts w:ascii="宋体" w:hAnsi="宋体"/>
          <w:sz w:val="24"/>
          <w:szCs w:val="24"/>
          <w:highlight w:val="none"/>
        </w:rPr>
      </w:pPr>
    </w:p>
    <w:p w14:paraId="54BB6A7C">
      <w:pPr>
        <w:rPr>
          <w:rFonts w:ascii="宋体" w:hAnsi="宋体"/>
          <w:sz w:val="24"/>
          <w:szCs w:val="24"/>
          <w:highlight w:val="none"/>
        </w:rPr>
      </w:pPr>
    </w:p>
    <w:p w14:paraId="311DD6AA">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4CC2B848">
      <w:pPr>
        <w:tabs>
          <w:tab w:val="left" w:pos="3045"/>
        </w:tabs>
        <w:rPr>
          <w:rFonts w:ascii="宋体" w:hAnsi="宋体"/>
          <w:sz w:val="24"/>
          <w:szCs w:val="24"/>
          <w:highlight w:val="none"/>
        </w:rPr>
      </w:pPr>
    </w:p>
    <w:p w14:paraId="4D51BF9A">
      <w:pPr>
        <w:rPr>
          <w:rFonts w:ascii="宋体" w:hAnsi="宋体"/>
          <w:sz w:val="24"/>
          <w:szCs w:val="24"/>
          <w:highlight w:val="none"/>
        </w:rPr>
      </w:pPr>
    </w:p>
    <w:p w14:paraId="4B6127F6">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3B44D192">
      <w:pPr>
        <w:rPr>
          <w:rFonts w:ascii="宋体" w:hAnsi="宋体"/>
          <w:sz w:val="24"/>
          <w:szCs w:val="24"/>
          <w:highlight w:val="none"/>
        </w:rPr>
      </w:pPr>
    </w:p>
    <w:p w14:paraId="056EA47D">
      <w:pPr>
        <w:rPr>
          <w:rFonts w:ascii="宋体" w:hAnsi="宋体"/>
          <w:sz w:val="24"/>
          <w:szCs w:val="24"/>
          <w:highlight w:val="none"/>
        </w:rPr>
      </w:pPr>
    </w:p>
    <w:p w14:paraId="0E2D463A">
      <w:pPr>
        <w:rPr>
          <w:rFonts w:ascii="宋体" w:hAnsi="宋体"/>
          <w:sz w:val="24"/>
          <w:szCs w:val="24"/>
          <w:highlight w:val="none"/>
        </w:rPr>
      </w:pPr>
    </w:p>
    <w:p w14:paraId="44CAE032">
      <w:pPr>
        <w:rPr>
          <w:rFonts w:ascii="宋体" w:hAnsi="宋体"/>
          <w:sz w:val="24"/>
          <w:szCs w:val="24"/>
          <w:highlight w:val="none"/>
        </w:rPr>
      </w:pPr>
    </w:p>
    <w:p w14:paraId="0D411387">
      <w:pPr>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2.2投标分项报价表</w:t>
      </w:r>
    </w:p>
    <w:p w14:paraId="61009DE5">
      <w:pPr>
        <w:rPr>
          <w:rFonts w:ascii="宋体" w:hAnsi="宋体"/>
          <w:b/>
          <w:sz w:val="30"/>
          <w:szCs w:val="30"/>
          <w:highlight w:val="none"/>
        </w:rPr>
      </w:pPr>
    </w:p>
    <w:p w14:paraId="2A9D17EB">
      <w:pPr>
        <w:rPr>
          <w:rFonts w:ascii="宋体" w:hAnsi="宋体"/>
          <w:b/>
          <w:sz w:val="30"/>
          <w:szCs w:val="30"/>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2"/>
        <w:tblW w:w="5307" w:type="pct"/>
        <w:tblInd w:w="-332" w:type="dxa"/>
        <w:tblLayout w:type="autofit"/>
        <w:tblCellMar>
          <w:top w:w="0" w:type="dxa"/>
          <w:left w:w="28" w:type="dxa"/>
          <w:bottom w:w="0" w:type="dxa"/>
          <w:right w:w="28" w:type="dxa"/>
        </w:tblCellMar>
      </w:tblPr>
      <w:tblGrid>
        <w:gridCol w:w="556"/>
        <w:gridCol w:w="1318"/>
        <w:gridCol w:w="1350"/>
        <w:gridCol w:w="1543"/>
        <w:gridCol w:w="1022"/>
        <w:gridCol w:w="723"/>
        <w:gridCol w:w="1095"/>
        <w:gridCol w:w="1194"/>
        <w:gridCol w:w="732"/>
      </w:tblGrid>
      <w:tr w14:paraId="0D4AEAE7">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6" w:space="0"/>
            </w:tcBorders>
            <w:vAlign w:val="center"/>
          </w:tcPr>
          <w:p w14:paraId="29D2CD10">
            <w:pPr>
              <w:spacing w:line="0" w:lineRule="atLeast"/>
              <w:jc w:val="center"/>
              <w:rPr>
                <w:rFonts w:ascii="宋体" w:hAnsi="宋体"/>
                <w:sz w:val="24"/>
                <w:szCs w:val="24"/>
                <w:highlight w:val="none"/>
              </w:rPr>
            </w:pPr>
            <w:r>
              <w:rPr>
                <w:rFonts w:hint="eastAsia" w:ascii="宋体" w:hAnsi="宋体"/>
                <w:sz w:val="24"/>
                <w:szCs w:val="24"/>
                <w:highlight w:val="none"/>
              </w:rPr>
              <w:t>序号</w:t>
            </w:r>
          </w:p>
        </w:tc>
        <w:tc>
          <w:tcPr>
            <w:tcW w:w="691" w:type="pct"/>
            <w:tcBorders>
              <w:top w:val="single" w:color="auto" w:sz="6" w:space="0"/>
              <w:left w:val="single" w:color="auto" w:sz="6" w:space="0"/>
              <w:bottom w:val="single" w:color="auto" w:sz="6" w:space="0"/>
              <w:right w:val="single" w:color="auto" w:sz="6" w:space="0"/>
            </w:tcBorders>
            <w:vAlign w:val="center"/>
          </w:tcPr>
          <w:p w14:paraId="4BCA11AC">
            <w:pPr>
              <w:spacing w:line="0" w:lineRule="atLeast"/>
              <w:jc w:val="center"/>
              <w:rPr>
                <w:rFonts w:ascii="宋体" w:hAnsi="宋体"/>
                <w:sz w:val="24"/>
                <w:szCs w:val="24"/>
                <w:highlight w:val="none"/>
              </w:rPr>
            </w:pPr>
            <w:r>
              <w:rPr>
                <w:rFonts w:hint="eastAsia" w:ascii="宋体" w:hAnsi="宋体"/>
                <w:sz w:val="24"/>
                <w:szCs w:val="24"/>
                <w:highlight w:val="none"/>
              </w:rPr>
              <w:t>名称</w:t>
            </w:r>
          </w:p>
        </w:tc>
        <w:tc>
          <w:tcPr>
            <w:tcW w:w="1257" w:type="dxa"/>
            <w:tcBorders>
              <w:top w:val="single" w:color="auto" w:sz="6" w:space="0"/>
              <w:left w:val="single" w:color="auto" w:sz="6" w:space="0"/>
              <w:bottom w:val="single" w:color="auto" w:sz="6" w:space="0"/>
              <w:right w:val="single" w:color="auto" w:sz="6" w:space="0"/>
            </w:tcBorders>
            <w:vAlign w:val="center"/>
          </w:tcPr>
          <w:p w14:paraId="26ECC632">
            <w:pPr>
              <w:spacing w:line="0" w:lineRule="atLeast"/>
              <w:jc w:val="center"/>
              <w:rPr>
                <w:rFonts w:ascii="宋体" w:hAnsi="宋体"/>
                <w:sz w:val="24"/>
                <w:szCs w:val="24"/>
                <w:highlight w:val="none"/>
              </w:rPr>
            </w:pPr>
            <w:r>
              <w:rPr>
                <w:rFonts w:hint="eastAsia" w:ascii="宋体" w:hAnsi="宋体"/>
                <w:sz w:val="24"/>
                <w:szCs w:val="24"/>
                <w:highlight w:val="none"/>
              </w:rPr>
              <w:t>规格（或型号）</w:t>
            </w:r>
          </w:p>
        </w:tc>
        <w:tc>
          <w:tcPr>
            <w:tcW w:w="1436" w:type="dxa"/>
            <w:tcBorders>
              <w:top w:val="single" w:color="auto" w:sz="6" w:space="0"/>
              <w:left w:val="single" w:color="auto" w:sz="6" w:space="0"/>
              <w:bottom w:val="single" w:color="auto" w:sz="6" w:space="0"/>
              <w:right w:val="single" w:color="auto" w:sz="6" w:space="0"/>
            </w:tcBorders>
            <w:vAlign w:val="center"/>
          </w:tcPr>
          <w:p w14:paraId="430B0212">
            <w:pPr>
              <w:spacing w:line="0" w:lineRule="atLeast"/>
              <w:jc w:val="center"/>
              <w:rPr>
                <w:rFonts w:ascii="宋体" w:hAnsi="宋体"/>
                <w:sz w:val="24"/>
                <w:szCs w:val="24"/>
                <w:highlight w:val="none"/>
              </w:rPr>
            </w:pPr>
            <w:r>
              <w:rPr>
                <w:rFonts w:hint="eastAsia" w:ascii="宋体" w:hAnsi="宋体" w:cs="宋体"/>
                <w:sz w:val="24"/>
                <w:szCs w:val="24"/>
                <w:highlight w:val="none"/>
              </w:rPr>
              <w:t>原产地及制造厂名</w:t>
            </w:r>
          </w:p>
        </w:tc>
        <w:tc>
          <w:tcPr>
            <w:tcW w:w="536" w:type="pct"/>
            <w:tcBorders>
              <w:top w:val="single" w:color="auto" w:sz="6" w:space="0"/>
              <w:left w:val="single" w:color="auto" w:sz="6" w:space="0"/>
              <w:bottom w:val="single" w:color="auto" w:sz="6" w:space="0"/>
              <w:right w:val="single" w:color="auto" w:sz="6" w:space="0"/>
            </w:tcBorders>
            <w:vAlign w:val="center"/>
          </w:tcPr>
          <w:p w14:paraId="25FAB529">
            <w:pPr>
              <w:spacing w:line="0" w:lineRule="atLeast"/>
              <w:jc w:val="center"/>
              <w:rPr>
                <w:rFonts w:ascii="宋体" w:hAnsi="宋体"/>
                <w:sz w:val="24"/>
                <w:szCs w:val="24"/>
                <w:highlight w:val="none"/>
              </w:rPr>
            </w:pPr>
            <w:r>
              <w:rPr>
                <w:rFonts w:hint="eastAsia" w:ascii="宋体" w:hAnsi="宋体"/>
                <w:sz w:val="24"/>
                <w:szCs w:val="24"/>
                <w:highlight w:val="none"/>
              </w:rPr>
              <w:t>数量</w:t>
            </w:r>
          </w:p>
        </w:tc>
        <w:tc>
          <w:tcPr>
            <w:tcW w:w="379" w:type="pct"/>
            <w:tcBorders>
              <w:top w:val="single" w:color="auto" w:sz="6" w:space="0"/>
              <w:left w:val="single" w:color="auto" w:sz="6" w:space="0"/>
              <w:bottom w:val="single" w:color="auto" w:sz="6" w:space="0"/>
              <w:right w:val="single" w:color="auto" w:sz="6" w:space="0"/>
            </w:tcBorders>
            <w:vAlign w:val="center"/>
          </w:tcPr>
          <w:p w14:paraId="67C43305">
            <w:pPr>
              <w:spacing w:line="0" w:lineRule="atLeast"/>
              <w:jc w:val="center"/>
              <w:rPr>
                <w:rFonts w:ascii="宋体" w:hAnsi="宋体"/>
                <w:sz w:val="24"/>
                <w:szCs w:val="24"/>
                <w:highlight w:val="none"/>
              </w:rPr>
            </w:pPr>
            <w:r>
              <w:rPr>
                <w:rFonts w:hint="eastAsia" w:ascii="宋体" w:hAnsi="宋体"/>
                <w:sz w:val="24"/>
                <w:szCs w:val="24"/>
                <w:highlight w:val="none"/>
              </w:rPr>
              <w:t>单位</w:t>
            </w:r>
          </w:p>
        </w:tc>
        <w:tc>
          <w:tcPr>
            <w:tcW w:w="571" w:type="pct"/>
            <w:tcBorders>
              <w:top w:val="single" w:color="auto" w:sz="6" w:space="0"/>
              <w:left w:val="single" w:color="auto" w:sz="6" w:space="0"/>
              <w:bottom w:val="single" w:color="auto" w:sz="6" w:space="0"/>
              <w:right w:val="single" w:color="auto" w:sz="6" w:space="0"/>
            </w:tcBorders>
            <w:vAlign w:val="center"/>
          </w:tcPr>
          <w:p w14:paraId="4037D315">
            <w:pPr>
              <w:spacing w:line="0" w:lineRule="atLeast"/>
              <w:jc w:val="center"/>
              <w:rPr>
                <w:rFonts w:ascii="宋体" w:hAnsi="宋体"/>
                <w:bCs/>
                <w:sz w:val="24"/>
                <w:szCs w:val="24"/>
                <w:highlight w:val="none"/>
              </w:rPr>
            </w:pPr>
            <w:r>
              <w:rPr>
                <w:rFonts w:hint="eastAsia" w:ascii="宋体" w:hAnsi="宋体"/>
                <w:sz w:val="24"/>
                <w:szCs w:val="24"/>
                <w:highlight w:val="none"/>
              </w:rPr>
              <w:t>单价（元）</w:t>
            </w:r>
          </w:p>
        </w:tc>
        <w:tc>
          <w:tcPr>
            <w:tcW w:w="626" w:type="pct"/>
            <w:tcBorders>
              <w:top w:val="single" w:color="auto" w:sz="6" w:space="0"/>
              <w:left w:val="single" w:color="auto" w:sz="6" w:space="0"/>
              <w:bottom w:val="single" w:color="auto" w:sz="6" w:space="0"/>
              <w:right w:val="single" w:color="auto" w:sz="6" w:space="0"/>
            </w:tcBorders>
            <w:vAlign w:val="center"/>
          </w:tcPr>
          <w:p w14:paraId="20A247BF">
            <w:pPr>
              <w:spacing w:line="0" w:lineRule="atLeast"/>
              <w:jc w:val="center"/>
              <w:rPr>
                <w:rFonts w:ascii="宋体" w:hAnsi="宋体"/>
                <w:bCs/>
                <w:sz w:val="24"/>
                <w:szCs w:val="24"/>
                <w:highlight w:val="none"/>
              </w:rPr>
            </w:pPr>
            <w:r>
              <w:rPr>
                <w:rFonts w:hint="eastAsia" w:ascii="宋体" w:hAnsi="宋体"/>
                <w:bCs/>
                <w:sz w:val="24"/>
                <w:szCs w:val="24"/>
                <w:highlight w:val="none"/>
              </w:rPr>
              <w:t>总价（元）</w:t>
            </w:r>
          </w:p>
        </w:tc>
        <w:tc>
          <w:tcPr>
            <w:tcW w:w="384" w:type="pct"/>
            <w:tcBorders>
              <w:top w:val="single" w:color="auto" w:sz="6" w:space="0"/>
              <w:left w:val="single" w:color="auto" w:sz="6" w:space="0"/>
              <w:bottom w:val="single" w:color="auto" w:sz="6" w:space="0"/>
              <w:right w:val="single" w:color="auto" w:sz="6" w:space="0"/>
            </w:tcBorders>
            <w:vAlign w:val="center"/>
          </w:tcPr>
          <w:p w14:paraId="1DF2FFB9">
            <w:pPr>
              <w:spacing w:line="0" w:lineRule="atLeast"/>
              <w:jc w:val="center"/>
              <w:rPr>
                <w:rFonts w:ascii="宋体" w:hAnsi="宋体"/>
                <w:bCs/>
                <w:sz w:val="24"/>
                <w:szCs w:val="24"/>
                <w:highlight w:val="none"/>
              </w:rPr>
            </w:pPr>
            <w:r>
              <w:rPr>
                <w:rFonts w:hint="eastAsia" w:ascii="宋体" w:hAnsi="宋体"/>
                <w:bCs/>
                <w:sz w:val="24"/>
                <w:szCs w:val="24"/>
                <w:highlight w:val="none"/>
              </w:rPr>
              <w:t>备注</w:t>
            </w:r>
          </w:p>
        </w:tc>
      </w:tr>
      <w:tr w14:paraId="3692B26D">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4" w:space="0"/>
            </w:tcBorders>
            <w:vAlign w:val="center"/>
          </w:tcPr>
          <w:p w14:paraId="22059E16">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1</w:t>
            </w:r>
          </w:p>
        </w:tc>
        <w:tc>
          <w:tcPr>
            <w:tcW w:w="691" w:type="pct"/>
            <w:tcBorders>
              <w:top w:val="single" w:color="auto" w:sz="6" w:space="0"/>
              <w:left w:val="single" w:color="auto" w:sz="6" w:space="0"/>
              <w:bottom w:val="single" w:color="auto" w:sz="4" w:space="0"/>
              <w:right w:val="single" w:color="auto" w:sz="6" w:space="0"/>
            </w:tcBorders>
            <w:vAlign w:val="center"/>
          </w:tcPr>
          <w:p w14:paraId="5925AFE6">
            <w:pPr>
              <w:adjustRightInd w:val="0"/>
              <w:snapToGrid w:val="0"/>
              <w:spacing w:line="0" w:lineRule="atLeast"/>
              <w:jc w:val="center"/>
              <w:rPr>
                <w:rFonts w:ascii="宋体" w:hAnsi="宋体"/>
                <w:sz w:val="24"/>
                <w:szCs w:val="24"/>
                <w:highlight w:val="none"/>
              </w:rPr>
            </w:pPr>
          </w:p>
        </w:tc>
        <w:tc>
          <w:tcPr>
            <w:tcW w:w="708" w:type="pct"/>
            <w:tcBorders>
              <w:top w:val="single" w:color="auto" w:sz="6" w:space="0"/>
              <w:left w:val="single" w:color="auto" w:sz="6" w:space="0"/>
              <w:bottom w:val="single" w:color="auto" w:sz="4" w:space="0"/>
              <w:right w:val="single" w:color="auto" w:sz="6" w:space="0"/>
            </w:tcBorders>
            <w:vAlign w:val="center"/>
          </w:tcPr>
          <w:p w14:paraId="2610D3F1">
            <w:pPr>
              <w:spacing w:line="0" w:lineRule="atLeast"/>
              <w:jc w:val="center"/>
              <w:rPr>
                <w:rFonts w:ascii="宋体" w:hAnsi="宋体"/>
                <w:sz w:val="24"/>
                <w:szCs w:val="24"/>
                <w:highlight w:val="none"/>
              </w:rPr>
            </w:pPr>
          </w:p>
        </w:tc>
        <w:tc>
          <w:tcPr>
            <w:tcW w:w="809" w:type="pct"/>
            <w:tcBorders>
              <w:top w:val="single" w:color="auto" w:sz="6" w:space="0"/>
              <w:left w:val="single" w:color="auto" w:sz="6" w:space="0"/>
              <w:bottom w:val="single" w:color="auto" w:sz="4" w:space="0"/>
              <w:right w:val="single" w:color="auto" w:sz="6" w:space="0"/>
            </w:tcBorders>
            <w:vAlign w:val="center"/>
          </w:tcPr>
          <w:p w14:paraId="4249C8BC">
            <w:pPr>
              <w:spacing w:line="0" w:lineRule="atLeast"/>
              <w:jc w:val="center"/>
              <w:rPr>
                <w:rFonts w:ascii="宋体" w:hAnsi="宋体"/>
                <w:sz w:val="24"/>
                <w:szCs w:val="24"/>
                <w:highlight w:val="none"/>
              </w:rPr>
            </w:pPr>
          </w:p>
        </w:tc>
        <w:tc>
          <w:tcPr>
            <w:tcW w:w="536" w:type="pct"/>
            <w:tcBorders>
              <w:top w:val="single" w:color="auto" w:sz="6" w:space="0"/>
              <w:left w:val="single" w:color="auto" w:sz="6" w:space="0"/>
              <w:bottom w:val="single" w:color="auto" w:sz="4" w:space="0"/>
              <w:right w:val="single" w:color="auto" w:sz="6" w:space="0"/>
            </w:tcBorders>
            <w:vAlign w:val="center"/>
          </w:tcPr>
          <w:p w14:paraId="3CFF4BB8">
            <w:pPr>
              <w:spacing w:line="0" w:lineRule="atLeast"/>
              <w:jc w:val="center"/>
              <w:rPr>
                <w:rFonts w:ascii="宋体" w:hAnsi="宋体"/>
                <w:sz w:val="24"/>
                <w:szCs w:val="24"/>
                <w:highlight w:val="none"/>
              </w:rPr>
            </w:pPr>
          </w:p>
        </w:tc>
        <w:tc>
          <w:tcPr>
            <w:tcW w:w="379" w:type="pct"/>
            <w:tcBorders>
              <w:top w:val="single" w:color="auto" w:sz="6" w:space="0"/>
              <w:left w:val="single" w:color="auto" w:sz="6" w:space="0"/>
              <w:bottom w:val="single" w:color="auto" w:sz="4" w:space="0"/>
              <w:right w:val="single" w:color="auto" w:sz="6" w:space="0"/>
            </w:tcBorders>
            <w:vAlign w:val="center"/>
          </w:tcPr>
          <w:p w14:paraId="6CFFF6F0">
            <w:pPr>
              <w:spacing w:line="0" w:lineRule="atLeast"/>
              <w:jc w:val="center"/>
              <w:rPr>
                <w:rFonts w:ascii="宋体" w:hAnsi="宋体"/>
                <w:sz w:val="24"/>
                <w:szCs w:val="24"/>
                <w:highlight w:val="none"/>
              </w:rPr>
            </w:pPr>
          </w:p>
        </w:tc>
        <w:tc>
          <w:tcPr>
            <w:tcW w:w="571" w:type="pct"/>
            <w:tcBorders>
              <w:top w:val="single" w:color="auto" w:sz="6" w:space="0"/>
              <w:left w:val="single" w:color="auto" w:sz="6" w:space="0"/>
              <w:bottom w:val="single" w:color="auto" w:sz="4" w:space="0"/>
              <w:right w:val="single" w:color="auto" w:sz="6" w:space="0"/>
            </w:tcBorders>
            <w:vAlign w:val="center"/>
          </w:tcPr>
          <w:p w14:paraId="2542EAFF">
            <w:pPr>
              <w:spacing w:line="0" w:lineRule="atLeast"/>
              <w:jc w:val="center"/>
              <w:rPr>
                <w:rFonts w:ascii="宋体" w:hAnsi="宋体"/>
                <w:sz w:val="24"/>
                <w:szCs w:val="24"/>
                <w:highlight w:val="none"/>
              </w:rPr>
            </w:pPr>
          </w:p>
        </w:tc>
        <w:tc>
          <w:tcPr>
            <w:tcW w:w="626" w:type="pct"/>
            <w:tcBorders>
              <w:top w:val="single" w:color="auto" w:sz="6" w:space="0"/>
              <w:left w:val="single" w:color="auto" w:sz="6" w:space="0"/>
              <w:bottom w:val="single" w:color="auto" w:sz="4" w:space="0"/>
              <w:right w:val="single" w:color="auto" w:sz="6" w:space="0"/>
            </w:tcBorders>
            <w:vAlign w:val="center"/>
          </w:tcPr>
          <w:p w14:paraId="2F6F069B">
            <w:pPr>
              <w:spacing w:line="0" w:lineRule="atLeast"/>
              <w:jc w:val="center"/>
              <w:rPr>
                <w:rFonts w:ascii="宋体" w:hAnsi="宋体"/>
                <w:sz w:val="24"/>
                <w:szCs w:val="24"/>
                <w:highlight w:val="none"/>
              </w:rPr>
            </w:pPr>
          </w:p>
        </w:tc>
        <w:tc>
          <w:tcPr>
            <w:tcW w:w="384" w:type="pct"/>
            <w:tcBorders>
              <w:top w:val="single" w:color="auto" w:sz="6" w:space="0"/>
              <w:left w:val="single" w:color="auto" w:sz="6" w:space="0"/>
              <w:bottom w:val="single" w:color="auto" w:sz="4" w:space="0"/>
              <w:right w:val="single" w:color="auto" w:sz="6" w:space="0"/>
            </w:tcBorders>
            <w:vAlign w:val="center"/>
          </w:tcPr>
          <w:p w14:paraId="28426F17">
            <w:pPr>
              <w:spacing w:line="0" w:lineRule="atLeast"/>
              <w:jc w:val="center"/>
              <w:rPr>
                <w:rFonts w:ascii="宋体" w:hAnsi="宋体"/>
                <w:sz w:val="24"/>
                <w:szCs w:val="24"/>
                <w:highlight w:val="none"/>
              </w:rPr>
            </w:pPr>
          </w:p>
        </w:tc>
      </w:tr>
      <w:tr w14:paraId="020DD082">
        <w:tblPrEx>
          <w:tblCellMar>
            <w:top w:w="0" w:type="dxa"/>
            <w:left w:w="28" w:type="dxa"/>
            <w:bottom w:w="0" w:type="dxa"/>
            <w:right w:w="28" w:type="dxa"/>
          </w:tblCellMar>
        </w:tblPrEx>
        <w:trPr>
          <w:trHeight w:val="633" w:hRule="atLeast"/>
        </w:trPr>
        <w:tc>
          <w:tcPr>
            <w:tcW w:w="292" w:type="pct"/>
            <w:tcBorders>
              <w:top w:val="single" w:color="auto" w:sz="4" w:space="0"/>
              <w:left w:val="single" w:color="auto" w:sz="6" w:space="0"/>
              <w:bottom w:val="single" w:color="auto" w:sz="6" w:space="0"/>
            </w:tcBorders>
            <w:vAlign w:val="center"/>
          </w:tcPr>
          <w:p w14:paraId="74DFE9EF">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2</w:t>
            </w:r>
          </w:p>
        </w:tc>
        <w:tc>
          <w:tcPr>
            <w:tcW w:w="691" w:type="pct"/>
            <w:tcBorders>
              <w:top w:val="single" w:color="auto" w:sz="4" w:space="0"/>
              <w:left w:val="single" w:color="auto" w:sz="6" w:space="0"/>
              <w:bottom w:val="single" w:color="auto" w:sz="6" w:space="0"/>
              <w:right w:val="single" w:color="auto" w:sz="6" w:space="0"/>
            </w:tcBorders>
            <w:vAlign w:val="center"/>
          </w:tcPr>
          <w:p w14:paraId="498155BA">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7CD75403">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7E595ECC">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64CDF74B">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4489158F">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0F15A667">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73D6EB0E">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69AC153C">
            <w:pPr>
              <w:spacing w:line="0" w:lineRule="atLeast"/>
              <w:jc w:val="center"/>
              <w:rPr>
                <w:rFonts w:ascii="宋体" w:hAnsi="宋体"/>
                <w:sz w:val="24"/>
                <w:szCs w:val="24"/>
                <w:highlight w:val="none"/>
              </w:rPr>
            </w:pPr>
          </w:p>
        </w:tc>
      </w:tr>
      <w:tr w14:paraId="230F41B4">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0C51E06E">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3</w:t>
            </w:r>
          </w:p>
        </w:tc>
        <w:tc>
          <w:tcPr>
            <w:tcW w:w="691" w:type="pct"/>
            <w:tcBorders>
              <w:top w:val="single" w:color="auto" w:sz="4" w:space="0"/>
              <w:left w:val="single" w:color="auto" w:sz="6" w:space="0"/>
              <w:bottom w:val="single" w:color="auto" w:sz="6" w:space="0"/>
              <w:right w:val="single" w:color="auto" w:sz="6" w:space="0"/>
            </w:tcBorders>
            <w:vAlign w:val="center"/>
          </w:tcPr>
          <w:p w14:paraId="52D1A7AA">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DAB0931">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7E7145E5">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3D41B054">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2F155F14">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7F7414E5">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002BD65D">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2625FB59">
            <w:pPr>
              <w:spacing w:line="0" w:lineRule="atLeast"/>
              <w:jc w:val="center"/>
              <w:rPr>
                <w:rFonts w:ascii="宋体" w:hAnsi="宋体"/>
                <w:sz w:val="24"/>
                <w:szCs w:val="24"/>
                <w:highlight w:val="none"/>
              </w:rPr>
            </w:pPr>
          </w:p>
        </w:tc>
      </w:tr>
      <w:tr w14:paraId="63CF1787">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7E72E9D4">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4</w:t>
            </w:r>
          </w:p>
        </w:tc>
        <w:tc>
          <w:tcPr>
            <w:tcW w:w="691" w:type="pct"/>
            <w:tcBorders>
              <w:top w:val="single" w:color="auto" w:sz="4" w:space="0"/>
              <w:left w:val="single" w:color="auto" w:sz="6" w:space="0"/>
              <w:bottom w:val="single" w:color="auto" w:sz="6" w:space="0"/>
              <w:right w:val="single" w:color="auto" w:sz="6" w:space="0"/>
            </w:tcBorders>
            <w:vAlign w:val="center"/>
          </w:tcPr>
          <w:p w14:paraId="7279BE33">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5267E471">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731B749F">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7AF4FE24">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376F1824">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7001E8D2">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0C8585BA">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4529B3CC">
            <w:pPr>
              <w:spacing w:line="0" w:lineRule="atLeast"/>
              <w:jc w:val="center"/>
              <w:rPr>
                <w:rFonts w:ascii="宋体" w:hAnsi="宋体"/>
                <w:sz w:val="24"/>
                <w:szCs w:val="24"/>
                <w:highlight w:val="none"/>
              </w:rPr>
            </w:pPr>
          </w:p>
        </w:tc>
      </w:tr>
      <w:tr w14:paraId="79E2A630">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3F3D5DF4">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5</w:t>
            </w:r>
          </w:p>
        </w:tc>
        <w:tc>
          <w:tcPr>
            <w:tcW w:w="691" w:type="pct"/>
            <w:tcBorders>
              <w:top w:val="single" w:color="auto" w:sz="4" w:space="0"/>
              <w:left w:val="single" w:color="auto" w:sz="6" w:space="0"/>
              <w:bottom w:val="single" w:color="auto" w:sz="6" w:space="0"/>
              <w:right w:val="single" w:color="auto" w:sz="6" w:space="0"/>
            </w:tcBorders>
            <w:vAlign w:val="center"/>
          </w:tcPr>
          <w:p w14:paraId="581510E8">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0382FCB">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5AC2F0D8">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58ED9211">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4E82B2BB">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08F34D55">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12D64A95">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72E33831">
            <w:pPr>
              <w:spacing w:line="0" w:lineRule="atLeast"/>
              <w:jc w:val="center"/>
              <w:rPr>
                <w:rFonts w:ascii="宋体" w:hAnsi="宋体"/>
                <w:sz w:val="24"/>
                <w:szCs w:val="24"/>
                <w:highlight w:val="none"/>
              </w:rPr>
            </w:pPr>
          </w:p>
        </w:tc>
      </w:tr>
      <w:tr w14:paraId="28EED882">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562EC0F5">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6</w:t>
            </w:r>
          </w:p>
        </w:tc>
        <w:tc>
          <w:tcPr>
            <w:tcW w:w="691" w:type="pct"/>
            <w:tcBorders>
              <w:top w:val="single" w:color="auto" w:sz="4" w:space="0"/>
              <w:left w:val="single" w:color="auto" w:sz="6" w:space="0"/>
              <w:bottom w:val="single" w:color="auto" w:sz="6" w:space="0"/>
              <w:right w:val="single" w:color="auto" w:sz="6" w:space="0"/>
            </w:tcBorders>
            <w:vAlign w:val="center"/>
          </w:tcPr>
          <w:p w14:paraId="5D5B7B44">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186D12F8">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0158F3B0">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02A7D5AD">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04A51D41">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3B41CFD4">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6FE0F4C4">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412A79BA">
            <w:pPr>
              <w:spacing w:line="0" w:lineRule="atLeast"/>
              <w:jc w:val="center"/>
              <w:rPr>
                <w:rFonts w:ascii="宋体" w:hAnsi="宋体"/>
                <w:sz w:val="24"/>
                <w:szCs w:val="24"/>
                <w:highlight w:val="none"/>
              </w:rPr>
            </w:pPr>
          </w:p>
        </w:tc>
      </w:tr>
      <w:tr w14:paraId="403BE948">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78DE94FC">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7</w:t>
            </w:r>
          </w:p>
        </w:tc>
        <w:tc>
          <w:tcPr>
            <w:tcW w:w="691" w:type="pct"/>
            <w:tcBorders>
              <w:top w:val="single" w:color="auto" w:sz="4" w:space="0"/>
              <w:left w:val="single" w:color="auto" w:sz="6" w:space="0"/>
              <w:bottom w:val="single" w:color="auto" w:sz="6" w:space="0"/>
              <w:right w:val="single" w:color="auto" w:sz="6" w:space="0"/>
            </w:tcBorders>
            <w:vAlign w:val="center"/>
          </w:tcPr>
          <w:p w14:paraId="7E707845">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73078D95">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688A0F95">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62B28041">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6D049344">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337E519B">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4791E889">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0E52A1A2">
            <w:pPr>
              <w:spacing w:line="0" w:lineRule="atLeast"/>
              <w:jc w:val="center"/>
              <w:rPr>
                <w:rFonts w:ascii="宋体" w:hAnsi="宋体"/>
                <w:sz w:val="24"/>
                <w:szCs w:val="24"/>
                <w:highlight w:val="none"/>
              </w:rPr>
            </w:pPr>
          </w:p>
        </w:tc>
      </w:tr>
      <w:tr w14:paraId="61C02391">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7975820D">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8</w:t>
            </w:r>
          </w:p>
        </w:tc>
        <w:tc>
          <w:tcPr>
            <w:tcW w:w="691" w:type="pct"/>
            <w:tcBorders>
              <w:top w:val="single" w:color="auto" w:sz="4" w:space="0"/>
              <w:left w:val="single" w:color="auto" w:sz="6" w:space="0"/>
              <w:bottom w:val="single" w:color="auto" w:sz="6" w:space="0"/>
              <w:right w:val="single" w:color="auto" w:sz="6" w:space="0"/>
            </w:tcBorders>
            <w:vAlign w:val="center"/>
          </w:tcPr>
          <w:p w14:paraId="6E5611E7">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2DDB97C5">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53C089C1">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54B06F29">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4838C988">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34AC1612">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60F34399">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7B346062">
            <w:pPr>
              <w:spacing w:line="0" w:lineRule="atLeast"/>
              <w:jc w:val="center"/>
              <w:rPr>
                <w:rFonts w:ascii="宋体" w:hAnsi="宋体"/>
                <w:sz w:val="24"/>
                <w:szCs w:val="24"/>
                <w:highlight w:val="none"/>
              </w:rPr>
            </w:pPr>
          </w:p>
        </w:tc>
      </w:tr>
      <w:tr w14:paraId="41A00DBB">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27CF0703">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9</w:t>
            </w:r>
          </w:p>
        </w:tc>
        <w:tc>
          <w:tcPr>
            <w:tcW w:w="691" w:type="pct"/>
            <w:tcBorders>
              <w:top w:val="single" w:color="auto" w:sz="4" w:space="0"/>
              <w:left w:val="single" w:color="auto" w:sz="6" w:space="0"/>
              <w:bottom w:val="single" w:color="auto" w:sz="6" w:space="0"/>
              <w:right w:val="single" w:color="auto" w:sz="6" w:space="0"/>
            </w:tcBorders>
            <w:vAlign w:val="center"/>
          </w:tcPr>
          <w:p w14:paraId="0AE624B8">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015F8D71">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365976EB">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4081644D">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67C24EDF">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274E987D">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7372F3EF">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471F121F">
            <w:pPr>
              <w:spacing w:line="0" w:lineRule="atLeast"/>
              <w:jc w:val="center"/>
              <w:rPr>
                <w:rFonts w:ascii="宋体" w:hAnsi="宋体"/>
                <w:sz w:val="24"/>
                <w:szCs w:val="24"/>
                <w:highlight w:val="none"/>
              </w:rPr>
            </w:pPr>
          </w:p>
        </w:tc>
      </w:tr>
      <w:tr w14:paraId="7AA13281">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1134ADC8">
            <w:pPr>
              <w:adjustRightInd w:val="0"/>
              <w:snapToGrid w:val="0"/>
              <w:spacing w:line="0" w:lineRule="atLeast"/>
              <w:jc w:val="center"/>
              <w:rPr>
                <w:rFonts w:ascii="宋体" w:hAnsi="宋体"/>
                <w:sz w:val="24"/>
                <w:szCs w:val="24"/>
                <w:highlight w:val="none"/>
              </w:rPr>
            </w:pPr>
            <w:r>
              <w:rPr>
                <w:rFonts w:hint="eastAsia" w:ascii="宋体" w:hAnsi="宋体" w:cs="宋体"/>
                <w:sz w:val="24"/>
                <w:szCs w:val="24"/>
                <w:highlight w:val="none"/>
              </w:rPr>
              <w:t>...</w:t>
            </w:r>
          </w:p>
        </w:tc>
        <w:tc>
          <w:tcPr>
            <w:tcW w:w="691" w:type="pct"/>
            <w:tcBorders>
              <w:top w:val="single" w:color="auto" w:sz="4" w:space="0"/>
              <w:left w:val="single" w:color="auto" w:sz="6" w:space="0"/>
              <w:bottom w:val="single" w:color="auto" w:sz="6" w:space="0"/>
              <w:right w:val="single" w:color="auto" w:sz="6" w:space="0"/>
            </w:tcBorders>
            <w:vAlign w:val="center"/>
          </w:tcPr>
          <w:p w14:paraId="03BAECB9">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6C99095E">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3AA877CA">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7B7E2309">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5B6CD392">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15CC053E">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3DCE3CDB">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73CE5381">
            <w:pPr>
              <w:spacing w:line="0" w:lineRule="atLeast"/>
              <w:jc w:val="center"/>
              <w:rPr>
                <w:rFonts w:ascii="宋体" w:hAnsi="宋体"/>
                <w:sz w:val="24"/>
                <w:szCs w:val="24"/>
                <w:highlight w:val="none"/>
              </w:rPr>
            </w:pPr>
          </w:p>
        </w:tc>
      </w:tr>
      <w:tr w14:paraId="7BFC6C33">
        <w:tblPrEx>
          <w:tblCellMar>
            <w:top w:w="0" w:type="dxa"/>
            <w:left w:w="28" w:type="dxa"/>
            <w:bottom w:w="0" w:type="dxa"/>
            <w:right w:w="28" w:type="dxa"/>
          </w:tblCellMar>
        </w:tblPrEx>
        <w:trPr>
          <w:trHeight w:val="648" w:hRule="atLeast"/>
        </w:trPr>
        <w:tc>
          <w:tcPr>
            <w:tcW w:w="3989" w:type="pct"/>
            <w:gridSpan w:val="7"/>
            <w:tcBorders>
              <w:top w:val="single" w:color="auto" w:sz="4" w:space="0"/>
              <w:left w:val="single" w:color="auto" w:sz="6" w:space="0"/>
              <w:bottom w:val="single" w:color="auto" w:sz="4" w:space="0"/>
              <w:right w:val="single" w:color="auto" w:sz="4" w:space="0"/>
            </w:tcBorders>
            <w:vAlign w:val="center"/>
          </w:tcPr>
          <w:p w14:paraId="7FECC772">
            <w:pPr>
              <w:spacing w:line="0" w:lineRule="atLeast"/>
              <w:jc w:val="center"/>
              <w:rPr>
                <w:rFonts w:ascii="宋体" w:hAnsi="宋体"/>
                <w:sz w:val="24"/>
                <w:szCs w:val="24"/>
                <w:highlight w:val="none"/>
              </w:rPr>
            </w:pPr>
            <w:r>
              <w:rPr>
                <w:rFonts w:hint="eastAsia" w:ascii="宋体" w:hAnsi="宋体"/>
                <w:b/>
                <w:bCs/>
                <w:sz w:val="24"/>
                <w:szCs w:val="24"/>
                <w:highlight w:val="none"/>
              </w:rPr>
              <w:t>合计（元）（即投标总价）</w:t>
            </w:r>
          </w:p>
        </w:tc>
        <w:tc>
          <w:tcPr>
            <w:tcW w:w="626" w:type="pct"/>
            <w:tcBorders>
              <w:top w:val="single" w:color="auto" w:sz="4" w:space="0"/>
              <w:left w:val="single" w:color="auto" w:sz="6" w:space="0"/>
              <w:bottom w:val="single" w:color="auto" w:sz="4" w:space="0"/>
              <w:right w:val="single" w:color="auto" w:sz="4" w:space="0"/>
            </w:tcBorders>
            <w:vAlign w:val="center"/>
          </w:tcPr>
          <w:p w14:paraId="63F36644">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4" w:space="0"/>
              <w:right w:val="single" w:color="auto" w:sz="4" w:space="0"/>
            </w:tcBorders>
            <w:vAlign w:val="center"/>
          </w:tcPr>
          <w:p w14:paraId="272346FF">
            <w:pPr>
              <w:spacing w:line="0" w:lineRule="atLeast"/>
              <w:jc w:val="center"/>
              <w:rPr>
                <w:rFonts w:ascii="宋体" w:hAnsi="宋体"/>
                <w:sz w:val="24"/>
                <w:szCs w:val="24"/>
                <w:highlight w:val="none"/>
              </w:rPr>
            </w:pPr>
          </w:p>
        </w:tc>
      </w:tr>
    </w:tbl>
    <w:p w14:paraId="4A3CA14E">
      <w:pPr>
        <w:spacing w:line="360" w:lineRule="auto"/>
        <w:jc w:val="left"/>
        <w:rPr>
          <w:rFonts w:ascii="宋体" w:hAnsi="宋体" w:cs="宋体"/>
          <w:b/>
          <w:sz w:val="24"/>
          <w:szCs w:val="24"/>
          <w:highlight w:val="none"/>
        </w:rPr>
      </w:pPr>
      <w:r>
        <w:rPr>
          <w:rFonts w:hint="eastAsia" w:ascii="宋体" w:hAnsi="宋体" w:cs="宋体"/>
          <w:b/>
          <w:sz w:val="24"/>
          <w:szCs w:val="24"/>
          <w:highlight w:val="none"/>
        </w:rPr>
        <w:t>注：1、投标人根据第五章招标内容及要求编制投标分项报价表；</w:t>
      </w:r>
    </w:p>
    <w:p w14:paraId="5D85066D">
      <w:pPr>
        <w:spacing w:line="360" w:lineRule="auto"/>
        <w:jc w:val="left"/>
        <w:rPr>
          <w:rFonts w:ascii="宋体" w:hAnsi="宋体" w:cs="宋体"/>
          <w:b/>
          <w:sz w:val="32"/>
          <w:szCs w:val="32"/>
          <w:highlight w:val="none"/>
        </w:rPr>
      </w:pPr>
      <w:r>
        <w:rPr>
          <w:rFonts w:hint="eastAsia" w:ascii="宋体" w:hAnsi="宋体" w:cs="宋体"/>
          <w:b/>
          <w:sz w:val="24"/>
          <w:szCs w:val="24"/>
          <w:highlight w:val="none"/>
        </w:rPr>
        <w:t>2、投标分项报价表合计金额应与开标一览表(投标报价表)中的投标总价一致。</w:t>
      </w:r>
    </w:p>
    <w:p w14:paraId="00CE3C81">
      <w:pPr>
        <w:rPr>
          <w:rFonts w:ascii="宋体" w:hAnsi="宋体"/>
          <w:b/>
          <w:sz w:val="36"/>
          <w:szCs w:val="36"/>
          <w:highlight w:val="none"/>
        </w:rPr>
      </w:pPr>
    </w:p>
    <w:p w14:paraId="12ED8A72">
      <w:pPr>
        <w:rPr>
          <w:rFonts w:ascii="宋体" w:hAnsi="宋体"/>
          <w:sz w:val="24"/>
          <w:szCs w:val="24"/>
          <w:highlight w:val="none"/>
        </w:rPr>
      </w:pPr>
    </w:p>
    <w:p w14:paraId="200A0A26">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1437ABEA">
      <w:pPr>
        <w:tabs>
          <w:tab w:val="left" w:pos="3045"/>
        </w:tabs>
        <w:rPr>
          <w:rFonts w:ascii="宋体" w:hAnsi="宋体"/>
          <w:sz w:val="24"/>
          <w:szCs w:val="24"/>
          <w:highlight w:val="none"/>
        </w:rPr>
      </w:pPr>
    </w:p>
    <w:p w14:paraId="4340BA88">
      <w:pPr>
        <w:rPr>
          <w:rFonts w:ascii="宋体" w:hAnsi="宋体"/>
          <w:sz w:val="24"/>
          <w:szCs w:val="24"/>
          <w:highlight w:val="none"/>
        </w:rPr>
      </w:pPr>
    </w:p>
    <w:p w14:paraId="7178AD1E">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1AB7A526">
      <w:pPr>
        <w:rPr>
          <w:rFonts w:ascii="宋体" w:hAnsi="宋体"/>
          <w:sz w:val="24"/>
          <w:szCs w:val="24"/>
          <w:highlight w:val="none"/>
        </w:rPr>
      </w:pPr>
    </w:p>
    <w:p w14:paraId="7122564F">
      <w:pPr>
        <w:rPr>
          <w:rFonts w:ascii="宋体" w:hAnsi="宋体"/>
          <w:sz w:val="24"/>
          <w:szCs w:val="24"/>
          <w:highlight w:val="none"/>
        </w:rPr>
      </w:pPr>
    </w:p>
    <w:p w14:paraId="47C75A17">
      <w:pPr>
        <w:pStyle w:val="21"/>
        <w:ind w:firstLine="560"/>
        <w:rPr>
          <w:highlight w:val="none"/>
        </w:rPr>
      </w:pPr>
    </w:p>
    <w:p w14:paraId="1D0CA202">
      <w:pPr>
        <w:jc w:val="center"/>
        <w:rPr>
          <w:rFonts w:ascii="宋体" w:hAnsi="宋体"/>
          <w:b/>
          <w:sz w:val="36"/>
          <w:szCs w:val="36"/>
          <w:highlight w:val="none"/>
        </w:rPr>
      </w:pPr>
      <w:r>
        <w:rPr>
          <w:rFonts w:hint="eastAsia" w:ascii="宋体" w:hAnsi="宋体"/>
          <w:b/>
          <w:sz w:val="36"/>
          <w:szCs w:val="36"/>
          <w:highlight w:val="none"/>
        </w:rPr>
        <w:t>三、投标方案说明书</w:t>
      </w:r>
    </w:p>
    <w:p w14:paraId="0AA68E5B">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按照招标文件的要求编制投标方案说明书，对招标文件提出的技术要求和商务要求进行应答，</w:t>
      </w:r>
      <w:r>
        <w:rPr>
          <w:rFonts w:hint="eastAsia" w:ascii="宋体" w:hAnsi="宋体" w:cs="宋体"/>
          <w:b/>
          <w:sz w:val="24"/>
          <w:szCs w:val="24"/>
          <w:highlight w:val="none"/>
        </w:rPr>
        <w:t>包括但不限于以下内容</w:t>
      </w:r>
      <w:r>
        <w:rPr>
          <w:rFonts w:hint="eastAsia" w:ascii="宋体" w:hAnsi="宋体" w:cs="宋体"/>
          <w:sz w:val="24"/>
          <w:szCs w:val="24"/>
          <w:highlight w:val="none"/>
        </w:rPr>
        <w:t>：</w:t>
      </w:r>
    </w:p>
    <w:p w14:paraId="435AA646">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1）技术响应文件</w:t>
      </w:r>
    </w:p>
    <w:p w14:paraId="3DE678E0">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1.1投标货物的证明文件</w:t>
      </w:r>
    </w:p>
    <w:p w14:paraId="065F8BB2">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1.1.1本次采购特别要求的货物合格性证明文件（如果有）；</w:t>
      </w:r>
    </w:p>
    <w:p w14:paraId="55C63D33">
      <w:pPr>
        <w:spacing w:line="480" w:lineRule="auto"/>
        <w:ind w:firstLine="480" w:firstLineChars="200"/>
        <w:rPr>
          <w:rFonts w:ascii="宋体" w:hAnsi="宋体"/>
          <w:sz w:val="24"/>
          <w:szCs w:val="24"/>
          <w:highlight w:val="none"/>
        </w:rPr>
      </w:pPr>
      <w:r>
        <w:rPr>
          <w:rFonts w:hint="eastAsia" w:ascii="宋体" w:hAnsi="宋体"/>
          <w:sz w:val="24"/>
          <w:szCs w:val="24"/>
          <w:highlight w:val="none"/>
        </w:rPr>
        <w:t>1.1.2产品来源渠道合法的证明文件（如果有）。</w:t>
      </w:r>
    </w:p>
    <w:p w14:paraId="591A4A00">
      <w:pPr>
        <w:spacing w:line="480" w:lineRule="auto"/>
        <w:ind w:firstLine="480" w:firstLineChars="200"/>
        <w:rPr>
          <w:rFonts w:ascii="宋体" w:hAnsi="宋体"/>
          <w:sz w:val="24"/>
          <w:szCs w:val="24"/>
          <w:highlight w:val="none"/>
        </w:rPr>
      </w:pPr>
      <w:r>
        <w:rPr>
          <w:rFonts w:hint="eastAsia" w:ascii="宋体" w:hAnsi="宋体"/>
          <w:sz w:val="24"/>
          <w:szCs w:val="24"/>
          <w:highlight w:val="none"/>
        </w:rPr>
        <w:t>1.2技术说明书</w:t>
      </w:r>
    </w:p>
    <w:p w14:paraId="1D8A393E">
      <w:pPr>
        <w:spacing w:line="480" w:lineRule="auto"/>
        <w:ind w:left="960" w:hanging="960" w:hangingChars="400"/>
        <w:rPr>
          <w:rFonts w:ascii="宋体" w:hAnsi="宋体"/>
          <w:sz w:val="24"/>
          <w:szCs w:val="24"/>
          <w:highlight w:val="none"/>
        </w:rPr>
      </w:pPr>
      <w:r>
        <w:rPr>
          <w:rFonts w:hint="eastAsia" w:ascii="宋体" w:hAnsi="宋体"/>
          <w:sz w:val="24"/>
          <w:szCs w:val="24"/>
          <w:highlight w:val="none"/>
        </w:rPr>
        <w:t xml:space="preserve">    1.2.1投标货物的商标、型号、功能、技术规格、详细的供货配置清单；货物制造商及原产地；</w:t>
      </w:r>
    </w:p>
    <w:p w14:paraId="58A6AD41">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1.2.2填写技术规格响应表（见附表1）并单独说明技术规格优于或偏离招标要求的指标（如果有的话）并提供支持文件；</w:t>
      </w:r>
    </w:p>
    <w:p w14:paraId="5399FE2A">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1.2.3说明投标货物的质量标准、检测标准、是否符合国家规范及相关标准、认证等；</w:t>
      </w:r>
    </w:p>
    <w:p w14:paraId="3EBC2767">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1.2.4投标货物（设备）的彩色样本、使用说明书、生产厂家出具的相应的功能证明材料（包括但不限于检测报告、官网截图等）；</w:t>
      </w:r>
    </w:p>
    <w:p w14:paraId="3B05ECDF">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1.2.5</w:t>
      </w:r>
      <w:r>
        <w:rPr>
          <w:rFonts w:hint="eastAsia" w:ascii="宋体" w:hAnsi="宋体" w:cs="宋体"/>
          <w:sz w:val="24"/>
          <w:szCs w:val="24"/>
          <w:highlight w:val="none"/>
        </w:rPr>
        <w:t>供货方案</w:t>
      </w:r>
      <w:r>
        <w:rPr>
          <w:rFonts w:hint="eastAsia" w:ascii="宋体" w:hAnsi="宋体"/>
          <w:sz w:val="24"/>
          <w:szCs w:val="24"/>
          <w:highlight w:val="none"/>
        </w:rPr>
        <w:t>、</w:t>
      </w:r>
      <w:r>
        <w:rPr>
          <w:rFonts w:hint="eastAsia" w:ascii="宋体" w:hAnsi="宋体"/>
          <w:sz w:val="24"/>
          <w:szCs w:val="24"/>
          <w:highlight w:val="none"/>
          <w:lang w:val="en-US" w:eastAsia="zh-CN"/>
        </w:rPr>
        <w:t>产品质量保障</w:t>
      </w:r>
      <w:r>
        <w:rPr>
          <w:rFonts w:hint="eastAsia" w:ascii="宋体" w:hAnsi="宋体"/>
          <w:sz w:val="24"/>
          <w:szCs w:val="24"/>
          <w:highlight w:val="none"/>
          <w:lang w:eastAsia="zh-CN"/>
        </w:rPr>
        <w:t>措施</w:t>
      </w:r>
      <w:r>
        <w:rPr>
          <w:rFonts w:hint="eastAsia" w:ascii="宋体" w:hAnsi="宋体"/>
          <w:sz w:val="24"/>
          <w:szCs w:val="24"/>
          <w:highlight w:val="none"/>
        </w:rPr>
        <w:t>、</w:t>
      </w:r>
      <w:r>
        <w:rPr>
          <w:rFonts w:hint="eastAsia"/>
          <w:sz w:val="24"/>
          <w:szCs w:val="24"/>
          <w:highlight w:val="none"/>
        </w:rPr>
        <w:t>售后服务等</w:t>
      </w:r>
      <w:r>
        <w:rPr>
          <w:rFonts w:hint="eastAsia" w:ascii="宋体" w:hAnsi="宋体"/>
          <w:sz w:val="24"/>
          <w:szCs w:val="24"/>
          <w:highlight w:val="none"/>
        </w:rPr>
        <w:t>；</w:t>
      </w:r>
    </w:p>
    <w:p w14:paraId="3C353798">
      <w:pPr>
        <w:spacing w:line="480" w:lineRule="auto"/>
        <w:ind w:firstLine="480" w:firstLineChars="200"/>
        <w:rPr>
          <w:rFonts w:ascii="宋体" w:hAnsi="宋体"/>
          <w:sz w:val="24"/>
          <w:szCs w:val="24"/>
          <w:highlight w:val="none"/>
        </w:rPr>
      </w:pPr>
      <w:r>
        <w:rPr>
          <w:rFonts w:hint="eastAsia" w:ascii="宋体" w:hAnsi="宋体"/>
          <w:sz w:val="24"/>
          <w:szCs w:val="24"/>
          <w:highlight w:val="none"/>
        </w:rPr>
        <w:t>2）商务响应文件</w:t>
      </w:r>
    </w:p>
    <w:p w14:paraId="7D4DECE1">
      <w:pPr>
        <w:spacing w:line="480" w:lineRule="auto"/>
        <w:ind w:left="1199" w:leftChars="228" w:hanging="720" w:hangingChars="300"/>
        <w:rPr>
          <w:rFonts w:ascii="宋体" w:hAnsi="宋体"/>
          <w:sz w:val="24"/>
          <w:szCs w:val="24"/>
          <w:highlight w:val="none"/>
        </w:rPr>
      </w:pPr>
      <w:r>
        <w:rPr>
          <w:rFonts w:hint="eastAsia" w:ascii="宋体" w:hAnsi="宋体"/>
          <w:sz w:val="24"/>
          <w:szCs w:val="24"/>
          <w:highlight w:val="none"/>
        </w:rPr>
        <w:t>2.1 填写商务条款偏差表（见附表2）；</w:t>
      </w:r>
    </w:p>
    <w:p w14:paraId="356FAA3D">
      <w:pPr>
        <w:spacing w:line="480" w:lineRule="auto"/>
        <w:ind w:firstLine="480" w:firstLineChars="200"/>
        <w:rPr>
          <w:rFonts w:ascii="宋体" w:hAnsi="宋体" w:cs="宋体"/>
          <w:sz w:val="24"/>
          <w:szCs w:val="24"/>
          <w:highlight w:val="none"/>
        </w:rPr>
      </w:pPr>
      <w:r>
        <w:rPr>
          <w:rFonts w:hint="eastAsia" w:ascii="宋体" w:hAnsi="宋体"/>
          <w:sz w:val="24"/>
          <w:szCs w:val="24"/>
          <w:highlight w:val="none"/>
        </w:rPr>
        <w:t>2.2 业绩。</w:t>
      </w:r>
      <w:r>
        <w:rPr>
          <w:rFonts w:hint="eastAsia" w:ascii="宋体" w:hAnsi="宋体" w:cs="宋体"/>
          <w:sz w:val="24"/>
          <w:szCs w:val="24"/>
          <w:highlight w:val="none"/>
        </w:rPr>
        <w:t xml:space="preserve">                                      </w:t>
      </w:r>
    </w:p>
    <w:p w14:paraId="63961651">
      <w:pPr>
        <w:spacing w:after="120"/>
        <w:rPr>
          <w:rFonts w:ascii="宋体" w:hAnsi="宋体" w:cs="宋体"/>
          <w:sz w:val="24"/>
          <w:szCs w:val="24"/>
          <w:highlight w:val="none"/>
        </w:rPr>
      </w:pPr>
      <w:r>
        <w:rPr>
          <w:rFonts w:hint="eastAsia" w:ascii="宋体" w:hAnsi="宋体"/>
          <w:sz w:val="24"/>
          <w:szCs w:val="24"/>
          <w:highlight w:val="none"/>
        </w:rPr>
        <w:br w:type="page"/>
      </w:r>
      <w:r>
        <w:rPr>
          <w:rFonts w:hint="eastAsia" w:ascii="宋体" w:hAnsi="宋体" w:cs="宋体"/>
          <w:sz w:val="24"/>
          <w:szCs w:val="24"/>
          <w:highlight w:val="none"/>
        </w:rPr>
        <w:t>附表1</w:t>
      </w:r>
    </w:p>
    <w:p w14:paraId="7E4AE6A9">
      <w:pPr>
        <w:spacing w:after="120"/>
        <w:jc w:val="center"/>
        <w:rPr>
          <w:rFonts w:ascii="宋体" w:hAnsi="宋体" w:cs="宋体"/>
          <w:b/>
          <w:sz w:val="36"/>
          <w:highlight w:val="none"/>
        </w:rPr>
      </w:pPr>
      <w:r>
        <w:rPr>
          <w:rFonts w:hint="eastAsia" w:ascii="宋体" w:hAnsi="宋体" w:cs="宋体"/>
          <w:b/>
          <w:sz w:val="36"/>
          <w:highlight w:val="none"/>
        </w:rPr>
        <w:t>技术参数响应表</w:t>
      </w:r>
    </w:p>
    <w:p w14:paraId="3F0D649C">
      <w:pPr>
        <w:spacing w:line="36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kern w:val="0"/>
          <w:sz w:val="24"/>
          <w:highlight w:val="none"/>
        </w:rPr>
        <w:t>____________</w:t>
      </w:r>
    </w:p>
    <w:p w14:paraId="45A6FE21">
      <w:pPr>
        <w:spacing w:line="360" w:lineRule="auto"/>
        <w:rPr>
          <w:rFonts w:ascii="宋体" w:hAnsi="宋体" w:cs="宋体"/>
          <w:sz w:val="24"/>
          <w:szCs w:val="24"/>
          <w:highlight w:val="none"/>
        </w:rPr>
      </w:pPr>
      <w:r>
        <w:rPr>
          <w:rFonts w:hint="eastAsia" w:ascii="宋体" w:hAnsi="宋体" w:cs="宋体"/>
          <w:sz w:val="24"/>
          <w:szCs w:val="24"/>
          <w:highlight w:val="none"/>
        </w:rPr>
        <w:t>项目编号：</w:t>
      </w:r>
      <w:r>
        <w:rPr>
          <w:rFonts w:hint="eastAsia" w:ascii="宋体" w:hAnsi="宋体" w:cs="宋体"/>
          <w:kern w:val="0"/>
          <w:sz w:val="24"/>
          <w:highlight w:val="none"/>
        </w:rPr>
        <w:t>____________</w:t>
      </w:r>
    </w:p>
    <w:p w14:paraId="3063E780">
      <w:pPr>
        <w:spacing w:line="0" w:lineRule="atLeast"/>
        <w:rPr>
          <w:rFonts w:ascii="宋体" w:hAnsi="宋体" w:cs="宋体"/>
          <w:sz w:val="24"/>
          <w:szCs w:val="24"/>
          <w:highlight w:val="none"/>
        </w:rPr>
      </w:pPr>
    </w:p>
    <w:tbl>
      <w:tblPr>
        <w:tblStyle w:val="22"/>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53D4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vAlign w:val="center"/>
          </w:tcPr>
          <w:p w14:paraId="6CDE0256">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序号</w:t>
            </w:r>
          </w:p>
        </w:tc>
        <w:tc>
          <w:tcPr>
            <w:tcW w:w="2399" w:type="dxa"/>
            <w:vAlign w:val="center"/>
          </w:tcPr>
          <w:p w14:paraId="04C9759E">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招标技术参数</w:t>
            </w:r>
          </w:p>
        </w:tc>
        <w:tc>
          <w:tcPr>
            <w:tcW w:w="2296" w:type="dxa"/>
            <w:vAlign w:val="center"/>
          </w:tcPr>
          <w:p w14:paraId="689A0E51">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投标技术参数</w:t>
            </w:r>
          </w:p>
        </w:tc>
        <w:tc>
          <w:tcPr>
            <w:tcW w:w="1560" w:type="dxa"/>
            <w:vAlign w:val="center"/>
          </w:tcPr>
          <w:p w14:paraId="7472E5B3">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响应/偏离</w:t>
            </w:r>
          </w:p>
        </w:tc>
        <w:tc>
          <w:tcPr>
            <w:tcW w:w="880" w:type="dxa"/>
            <w:vAlign w:val="center"/>
          </w:tcPr>
          <w:p w14:paraId="56DF42AD">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备注</w:t>
            </w:r>
          </w:p>
        </w:tc>
      </w:tr>
      <w:tr w14:paraId="479BE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5AA04732">
            <w:pPr>
              <w:rPr>
                <w:rFonts w:ascii="宋体" w:hAnsi="宋体" w:cs="宋体"/>
                <w:b/>
                <w:bCs/>
                <w:sz w:val="24"/>
                <w:szCs w:val="24"/>
                <w:highlight w:val="none"/>
              </w:rPr>
            </w:pPr>
          </w:p>
        </w:tc>
        <w:tc>
          <w:tcPr>
            <w:tcW w:w="2399" w:type="dxa"/>
          </w:tcPr>
          <w:p w14:paraId="2C0795B8">
            <w:pPr>
              <w:rPr>
                <w:rFonts w:ascii="宋体" w:hAnsi="宋体" w:cs="宋体"/>
                <w:b/>
                <w:bCs/>
                <w:sz w:val="24"/>
                <w:szCs w:val="24"/>
                <w:highlight w:val="none"/>
              </w:rPr>
            </w:pPr>
          </w:p>
        </w:tc>
        <w:tc>
          <w:tcPr>
            <w:tcW w:w="2296" w:type="dxa"/>
          </w:tcPr>
          <w:p w14:paraId="1A0AA735">
            <w:pPr>
              <w:rPr>
                <w:rFonts w:ascii="宋体" w:hAnsi="宋体" w:cs="宋体"/>
                <w:b/>
                <w:bCs/>
                <w:sz w:val="24"/>
                <w:szCs w:val="24"/>
                <w:highlight w:val="none"/>
              </w:rPr>
            </w:pPr>
          </w:p>
        </w:tc>
        <w:tc>
          <w:tcPr>
            <w:tcW w:w="1560" w:type="dxa"/>
          </w:tcPr>
          <w:p w14:paraId="64C64359">
            <w:pPr>
              <w:rPr>
                <w:rFonts w:ascii="宋体" w:hAnsi="宋体" w:cs="宋体"/>
                <w:b/>
                <w:bCs/>
                <w:sz w:val="24"/>
                <w:szCs w:val="24"/>
                <w:highlight w:val="none"/>
              </w:rPr>
            </w:pPr>
          </w:p>
        </w:tc>
        <w:tc>
          <w:tcPr>
            <w:tcW w:w="880" w:type="dxa"/>
          </w:tcPr>
          <w:p w14:paraId="4AAE00E4">
            <w:pPr>
              <w:rPr>
                <w:rFonts w:ascii="宋体" w:hAnsi="宋体" w:cs="宋体"/>
                <w:b/>
                <w:bCs/>
                <w:sz w:val="24"/>
                <w:szCs w:val="24"/>
                <w:highlight w:val="none"/>
              </w:rPr>
            </w:pPr>
          </w:p>
        </w:tc>
      </w:tr>
      <w:tr w14:paraId="659C3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483C69B6">
            <w:pPr>
              <w:rPr>
                <w:rFonts w:ascii="宋体" w:hAnsi="宋体" w:cs="宋体"/>
                <w:b/>
                <w:bCs/>
                <w:sz w:val="24"/>
                <w:szCs w:val="24"/>
                <w:highlight w:val="none"/>
              </w:rPr>
            </w:pPr>
          </w:p>
        </w:tc>
        <w:tc>
          <w:tcPr>
            <w:tcW w:w="2399" w:type="dxa"/>
          </w:tcPr>
          <w:p w14:paraId="0C440465">
            <w:pPr>
              <w:rPr>
                <w:rFonts w:ascii="宋体" w:hAnsi="宋体" w:cs="宋体"/>
                <w:b/>
                <w:bCs/>
                <w:sz w:val="24"/>
                <w:szCs w:val="24"/>
                <w:highlight w:val="none"/>
              </w:rPr>
            </w:pPr>
          </w:p>
        </w:tc>
        <w:tc>
          <w:tcPr>
            <w:tcW w:w="2296" w:type="dxa"/>
          </w:tcPr>
          <w:p w14:paraId="41462949">
            <w:pPr>
              <w:rPr>
                <w:rFonts w:ascii="宋体" w:hAnsi="宋体" w:cs="宋体"/>
                <w:b/>
                <w:bCs/>
                <w:sz w:val="24"/>
                <w:szCs w:val="24"/>
                <w:highlight w:val="none"/>
              </w:rPr>
            </w:pPr>
          </w:p>
        </w:tc>
        <w:tc>
          <w:tcPr>
            <w:tcW w:w="1560" w:type="dxa"/>
          </w:tcPr>
          <w:p w14:paraId="71AE5273">
            <w:pPr>
              <w:rPr>
                <w:rFonts w:ascii="宋体" w:hAnsi="宋体" w:cs="宋体"/>
                <w:b/>
                <w:bCs/>
                <w:sz w:val="24"/>
                <w:szCs w:val="24"/>
                <w:highlight w:val="none"/>
              </w:rPr>
            </w:pPr>
          </w:p>
        </w:tc>
        <w:tc>
          <w:tcPr>
            <w:tcW w:w="880" w:type="dxa"/>
          </w:tcPr>
          <w:p w14:paraId="2922BF45">
            <w:pPr>
              <w:rPr>
                <w:rFonts w:ascii="宋体" w:hAnsi="宋体" w:cs="宋体"/>
                <w:b/>
                <w:bCs/>
                <w:sz w:val="24"/>
                <w:szCs w:val="24"/>
                <w:highlight w:val="none"/>
              </w:rPr>
            </w:pPr>
          </w:p>
        </w:tc>
      </w:tr>
      <w:tr w14:paraId="3BB5D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629F1367">
            <w:pPr>
              <w:rPr>
                <w:rFonts w:ascii="宋体" w:hAnsi="宋体" w:cs="宋体"/>
                <w:b/>
                <w:bCs/>
                <w:sz w:val="24"/>
                <w:szCs w:val="24"/>
                <w:highlight w:val="none"/>
              </w:rPr>
            </w:pPr>
          </w:p>
        </w:tc>
        <w:tc>
          <w:tcPr>
            <w:tcW w:w="2399" w:type="dxa"/>
          </w:tcPr>
          <w:p w14:paraId="704D2399">
            <w:pPr>
              <w:rPr>
                <w:rFonts w:ascii="宋体" w:hAnsi="宋体" w:cs="宋体"/>
                <w:b/>
                <w:bCs/>
                <w:sz w:val="24"/>
                <w:szCs w:val="24"/>
                <w:highlight w:val="none"/>
              </w:rPr>
            </w:pPr>
          </w:p>
        </w:tc>
        <w:tc>
          <w:tcPr>
            <w:tcW w:w="2296" w:type="dxa"/>
          </w:tcPr>
          <w:p w14:paraId="0E66C38D">
            <w:pPr>
              <w:rPr>
                <w:rFonts w:ascii="宋体" w:hAnsi="宋体" w:cs="宋体"/>
                <w:b/>
                <w:bCs/>
                <w:sz w:val="24"/>
                <w:szCs w:val="24"/>
                <w:highlight w:val="none"/>
              </w:rPr>
            </w:pPr>
          </w:p>
        </w:tc>
        <w:tc>
          <w:tcPr>
            <w:tcW w:w="1560" w:type="dxa"/>
          </w:tcPr>
          <w:p w14:paraId="49FA2F6E">
            <w:pPr>
              <w:rPr>
                <w:rFonts w:ascii="宋体" w:hAnsi="宋体" w:cs="宋体"/>
                <w:b/>
                <w:bCs/>
                <w:sz w:val="24"/>
                <w:szCs w:val="24"/>
                <w:highlight w:val="none"/>
              </w:rPr>
            </w:pPr>
          </w:p>
        </w:tc>
        <w:tc>
          <w:tcPr>
            <w:tcW w:w="880" w:type="dxa"/>
          </w:tcPr>
          <w:p w14:paraId="64DA6ADC">
            <w:pPr>
              <w:rPr>
                <w:rFonts w:ascii="宋体" w:hAnsi="宋体" w:cs="宋体"/>
                <w:b/>
                <w:bCs/>
                <w:sz w:val="24"/>
                <w:szCs w:val="24"/>
                <w:highlight w:val="none"/>
              </w:rPr>
            </w:pPr>
          </w:p>
        </w:tc>
      </w:tr>
      <w:tr w14:paraId="75D2F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4BC94BFE">
            <w:pPr>
              <w:rPr>
                <w:rFonts w:ascii="宋体" w:hAnsi="宋体" w:cs="宋体"/>
                <w:b/>
                <w:bCs/>
                <w:sz w:val="24"/>
                <w:szCs w:val="24"/>
                <w:highlight w:val="none"/>
              </w:rPr>
            </w:pPr>
          </w:p>
        </w:tc>
        <w:tc>
          <w:tcPr>
            <w:tcW w:w="2399" w:type="dxa"/>
          </w:tcPr>
          <w:p w14:paraId="6C367A48">
            <w:pPr>
              <w:rPr>
                <w:rFonts w:ascii="宋体" w:hAnsi="宋体" w:cs="宋体"/>
                <w:b/>
                <w:bCs/>
                <w:sz w:val="24"/>
                <w:szCs w:val="24"/>
                <w:highlight w:val="none"/>
              </w:rPr>
            </w:pPr>
          </w:p>
        </w:tc>
        <w:tc>
          <w:tcPr>
            <w:tcW w:w="2296" w:type="dxa"/>
          </w:tcPr>
          <w:p w14:paraId="48F92EA9">
            <w:pPr>
              <w:rPr>
                <w:rFonts w:ascii="宋体" w:hAnsi="宋体" w:cs="宋体"/>
                <w:b/>
                <w:bCs/>
                <w:sz w:val="24"/>
                <w:szCs w:val="24"/>
                <w:highlight w:val="none"/>
              </w:rPr>
            </w:pPr>
          </w:p>
        </w:tc>
        <w:tc>
          <w:tcPr>
            <w:tcW w:w="1560" w:type="dxa"/>
          </w:tcPr>
          <w:p w14:paraId="120C4433">
            <w:pPr>
              <w:rPr>
                <w:rFonts w:ascii="宋体" w:hAnsi="宋体" w:cs="宋体"/>
                <w:b/>
                <w:bCs/>
                <w:sz w:val="24"/>
                <w:szCs w:val="24"/>
                <w:highlight w:val="none"/>
              </w:rPr>
            </w:pPr>
          </w:p>
        </w:tc>
        <w:tc>
          <w:tcPr>
            <w:tcW w:w="880" w:type="dxa"/>
          </w:tcPr>
          <w:p w14:paraId="2B7F1C7A">
            <w:pPr>
              <w:rPr>
                <w:rFonts w:ascii="宋体" w:hAnsi="宋体" w:cs="宋体"/>
                <w:b/>
                <w:bCs/>
                <w:sz w:val="24"/>
                <w:szCs w:val="24"/>
                <w:highlight w:val="none"/>
              </w:rPr>
            </w:pPr>
          </w:p>
        </w:tc>
      </w:tr>
      <w:tr w14:paraId="54AEC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763F6812">
            <w:pPr>
              <w:rPr>
                <w:rFonts w:ascii="宋体" w:hAnsi="宋体" w:cs="宋体"/>
                <w:b/>
                <w:bCs/>
                <w:sz w:val="24"/>
                <w:szCs w:val="24"/>
                <w:highlight w:val="none"/>
              </w:rPr>
            </w:pPr>
          </w:p>
        </w:tc>
        <w:tc>
          <w:tcPr>
            <w:tcW w:w="2399" w:type="dxa"/>
          </w:tcPr>
          <w:p w14:paraId="5CBC201C">
            <w:pPr>
              <w:rPr>
                <w:rFonts w:ascii="宋体" w:hAnsi="宋体" w:cs="宋体"/>
                <w:b/>
                <w:bCs/>
                <w:sz w:val="24"/>
                <w:szCs w:val="24"/>
                <w:highlight w:val="none"/>
              </w:rPr>
            </w:pPr>
          </w:p>
        </w:tc>
        <w:tc>
          <w:tcPr>
            <w:tcW w:w="2296" w:type="dxa"/>
          </w:tcPr>
          <w:p w14:paraId="592BC8B9">
            <w:pPr>
              <w:rPr>
                <w:rFonts w:ascii="宋体" w:hAnsi="宋体" w:cs="宋体"/>
                <w:b/>
                <w:bCs/>
                <w:sz w:val="24"/>
                <w:szCs w:val="24"/>
                <w:highlight w:val="none"/>
              </w:rPr>
            </w:pPr>
          </w:p>
        </w:tc>
        <w:tc>
          <w:tcPr>
            <w:tcW w:w="1560" w:type="dxa"/>
          </w:tcPr>
          <w:p w14:paraId="65857A54">
            <w:pPr>
              <w:rPr>
                <w:rFonts w:ascii="宋体" w:hAnsi="宋体" w:cs="宋体"/>
                <w:b/>
                <w:bCs/>
                <w:sz w:val="24"/>
                <w:szCs w:val="24"/>
                <w:highlight w:val="none"/>
              </w:rPr>
            </w:pPr>
          </w:p>
        </w:tc>
        <w:tc>
          <w:tcPr>
            <w:tcW w:w="880" w:type="dxa"/>
          </w:tcPr>
          <w:p w14:paraId="7BDDA4DC">
            <w:pPr>
              <w:rPr>
                <w:rFonts w:ascii="宋体" w:hAnsi="宋体" w:cs="宋体"/>
                <w:b/>
                <w:bCs/>
                <w:sz w:val="24"/>
                <w:szCs w:val="24"/>
                <w:highlight w:val="none"/>
              </w:rPr>
            </w:pPr>
          </w:p>
        </w:tc>
      </w:tr>
      <w:tr w14:paraId="5F664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76CC2A1C">
            <w:pPr>
              <w:rPr>
                <w:rFonts w:ascii="宋体" w:hAnsi="宋体" w:cs="宋体"/>
                <w:b/>
                <w:bCs/>
                <w:sz w:val="24"/>
                <w:szCs w:val="24"/>
                <w:highlight w:val="none"/>
              </w:rPr>
            </w:pPr>
          </w:p>
        </w:tc>
        <w:tc>
          <w:tcPr>
            <w:tcW w:w="2399" w:type="dxa"/>
          </w:tcPr>
          <w:p w14:paraId="298A1C85">
            <w:pPr>
              <w:rPr>
                <w:rFonts w:ascii="宋体" w:hAnsi="宋体" w:cs="宋体"/>
                <w:b/>
                <w:bCs/>
                <w:sz w:val="24"/>
                <w:szCs w:val="24"/>
                <w:highlight w:val="none"/>
              </w:rPr>
            </w:pPr>
          </w:p>
        </w:tc>
        <w:tc>
          <w:tcPr>
            <w:tcW w:w="2296" w:type="dxa"/>
          </w:tcPr>
          <w:p w14:paraId="67773D32">
            <w:pPr>
              <w:rPr>
                <w:rFonts w:ascii="宋体" w:hAnsi="宋体" w:cs="宋体"/>
                <w:b/>
                <w:bCs/>
                <w:sz w:val="24"/>
                <w:szCs w:val="24"/>
                <w:highlight w:val="none"/>
              </w:rPr>
            </w:pPr>
          </w:p>
        </w:tc>
        <w:tc>
          <w:tcPr>
            <w:tcW w:w="1560" w:type="dxa"/>
          </w:tcPr>
          <w:p w14:paraId="547688F5">
            <w:pPr>
              <w:rPr>
                <w:rFonts w:ascii="宋体" w:hAnsi="宋体" w:cs="宋体"/>
                <w:b/>
                <w:bCs/>
                <w:sz w:val="24"/>
                <w:szCs w:val="24"/>
                <w:highlight w:val="none"/>
              </w:rPr>
            </w:pPr>
          </w:p>
        </w:tc>
        <w:tc>
          <w:tcPr>
            <w:tcW w:w="880" w:type="dxa"/>
          </w:tcPr>
          <w:p w14:paraId="36E14E0A">
            <w:pPr>
              <w:rPr>
                <w:rFonts w:ascii="宋体" w:hAnsi="宋体" w:cs="宋体"/>
                <w:b/>
                <w:bCs/>
                <w:sz w:val="24"/>
                <w:szCs w:val="24"/>
                <w:highlight w:val="none"/>
              </w:rPr>
            </w:pPr>
          </w:p>
        </w:tc>
      </w:tr>
      <w:tr w14:paraId="57B36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1F5D9401">
            <w:pPr>
              <w:rPr>
                <w:rFonts w:ascii="宋体" w:hAnsi="宋体" w:cs="宋体"/>
                <w:b/>
                <w:bCs/>
                <w:sz w:val="24"/>
                <w:szCs w:val="24"/>
                <w:highlight w:val="none"/>
              </w:rPr>
            </w:pPr>
          </w:p>
        </w:tc>
        <w:tc>
          <w:tcPr>
            <w:tcW w:w="2399" w:type="dxa"/>
          </w:tcPr>
          <w:p w14:paraId="6CBA9395">
            <w:pPr>
              <w:rPr>
                <w:rFonts w:ascii="宋体" w:hAnsi="宋体" w:cs="宋体"/>
                <w:b/>
                <w:bCs/>
                <w:sz w:val="24"/>
                <w:szCs w:val="24"/>
                <w:highlight w:val="none"/>
              </w:rPr>
            </w:pPr>
          </w:p>
        </w:tc>
        <w:tc>
          <w:tcPr>
            <w:tcW w:w="2296" w:type="dxa"/>
          </w:tcPr>
          <w:p w14:paraId="2131EDE1">
            <w:pPr>
              <w:rPr>
                <w:rFonts w:ascii="宋体" w:hAnsi="宋体" w:cs="宋体"/>
                <w:b/>
                <w:bCs/>
                <w:sz w:val="24"/>
                <w:szCs w:val="24"/>
                <w:highlight w:val="none"/>
              </w:rPr>
            </w:pPr>
          </w:p>
        </w:tc>
        <w:tc>
          <w:tcPr>
            <w:tcW w:w="1560" w:type="dxa"/>
          </w:tcPr>
          <w:p w14:paraId="5B3DDFD9">
            <w:pPr>
              <w:rPr>
                <w:rFonts w:ascii="宋体" w:hAnsi="宋体" w:cs="宋体"/>
                <w:b/>
                <w:bCs/>
                <w:sz w:val="24"/>
                <w:szCs w:val="24"/>
                <w:highlight w:val="none"/>
              </w:rPr>
            </w:pPr>
          </w:p>
        </w:tc>
        <w:tc>
          <w:tcPr>
            <w:tcW w:w="880" w:type="dxa"/>
          </w:tcPr>
          <w:p w14:paraId="5673F223">
            <w:pPr>
              <w:rPr>
                <w:rFonts w:ascii="宋体" w:hAnsi="宋体" w:cs="宋体"/>
                <w:b/>
                <w:bCs/>
                <w:sz w:val="24"/>
                <w:szCs w:val="24"/>
                <w:highlight w:val="none"/>
              </w:rPr>
            </w:pPr>
          </w:p>
        </w:tc>
      </w:tr>
      <w:tr w14:paraId="26431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2DD0F38E">
            <w:pPr>
              <w:rPr>
                <w:rFonts w:ascii="宋体" w:hAnsi="宋体" w:cs="宋体"/>
                <w:b/>
                <w:bCs/>
                <w:sz w:val="24"/>
                <w:szCs w:val="24"/>
                <w:highlight w:val="none"/>
              </w:rPr>
            </w:pPr>
          </w:p>
        </w:tc>
        <w:tc>
          <w:tcPr>
            <w:tcW w:w="2399" w:type="dxa"/>
          </w:tcPr>
          <w:p w14:paraId="15765C4A">
            <w:pPr>
              <w:rPr>
                <w:rFonts w:ascii="宋体" w:hAnsi="宋体" w:cs="宋体"/>
                <w:b/>
                <w:bCs/>
                <w:sz w:val="24"/>
                <w:szCs w:val="24"/>
                <w:highlight w:val="none"/>
              </w:rPr>
            </w:pPr>
          </w:p>
        </w:tc>
        <w:tc>
          <w:tcPr>
            <w:tcW w:w="2296" w:type="dxa"/>
          </w:tcPr>
          <w:p w14:paraId="046BDCB0">
            <w:pPr>
              <w:rPr>
                <w:rFonts w:ascii="宋体" w:hAnsi="宋体" w:cs="宋体"/>
                <w:b/>
                <w:bCs/>
                <w:sz w:val="24"/>
                <w:szCs w:val="24"/>
                <w:highlight w:val="none"/>
              </w:rPr>
            </w:pPr>
          </w:p>
        </w:tc>
        <w:tc>
          <w:tcPr>
            <w:tcW w:w="1560" w:type="dxa"/>
          </w:tcPr>
          <w:p w14:paraId="21C68FF2">
            <w:pPr>
              <w:rPr>
                <w:rFonts w:ascii="宋体" w:hAnsi="宋体" w:cs="宋体"/>
                <w:b/>
                <w:bCs/>
                <w:sz w:val="24"/>
                <w:szCs w:val="24"/>
                <w:highlight w:val="none"/>
              </w:rPr>
            </w:pPr>
          </w:p>
        </w:tc>
        <w:tc>
          <w:tcPr>
            <w:tcW w:w="880" w:type="dxa"/>
          </w:tcPr>
          <w:p w14:paraId="5CD9489D">
            <w:pPr>
              <w:rPr>
                <w:rFonts w:ascii="宋体" w:hAnsi="宋体" w:cs="宋体"/>
                <w:b/>
                <w:bCs/>
                <w:sz w:val="24"/>
                <w:szCs w:val="24"/>
                <w:highlight w:val="none"/>
              </w:rPr>
            </w:pPr>
          </w:p>
        </w:tc>
      </w:tr>
    </w:tbl>
    <w:p w14:paraId="420AB557">
      <w:pPr>
        <w:rPr>
          <w:rFonts w:ascii="宋体" w:hAnsi="宋体" w:cs="宋体"/>
          <w:highlight w:val="none"/>
        </w:rPr>
      </w:pPr>
    </w:p>
    <w:p w14:paraId="3287A00C">
      <w:pPr>
        <w:rPr>
          <w:rFonts w:ascii="宋体" w:hAnsi="宋体" w:cs="宋体"/>
          <w:sz w:val="24"/>
          <w:szCs w:val="24"/>
          <w:highlight w:val="none"/>
        </w:rPr>
      </w:pPr>
    </w:p>
    <w:p w14:paraId="76452A3F">
      <w:pPr>
        <w:rPr>
          <w:rFonts w:ascii="宋体" w:hAnsi="宋体" w:cs="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或授权代表</w:t>
      </w:r>
      <w:r>
        <w:rPr>
          <w:rFonts w:hint="eastAsia" w:ascii="宋体" w:hAnsi="宋体" w:cs="宋体"/>
          <w:spacing w:val="4"/>
          <w:sz w:val="24"/>
          <w:szCs w:val="24"/>
          <w:highlight w:val="none"/>
        </w:rPr>
        <w:t>（签字或盖章）</w:t>
      </w:r>
      <w:r>
        <w:rPr>
          <w:rFonts w:hint="eastAsia" w:ascii="宋体" w:hAnsi="宋体" w:cs="宋体"/>
          <w:kern w:val="0"/>
          <w:sz w:val="24"/>
          <w:highlight w:val="none"/>
        </w:rPr>
        <w:t>：____________</w:t>
      </w:r>
      <w:r>
        <w:rPr>
          <w:rFonts w:hint="eastAsia" w:ascii="宋体" w:hAnsi="宋体" w:cs="宋体"/>
          <w:sz w:val="24"/>
          <w:szCs w:val="24"/>
          <w:highlight w:val="none"/>
        </w:rPr>
        <w:t xml:space="preserve"> </w:t>
      </w:r>
    </w:p>
    <w:p w14:paraId="6B9D682F">
      <w:pPr>
        <w:pStyle w:val="10"/>
        <w:ind w:left="1470" w:right="1470"/>
        <w:rPr>
          <w:rFonts w:ascii="宋体" w:hAnsi="宋体" w:cs="宋体"/>
          <w:highlight w:val="none"/>
        </w:rPr>
      </w:pPr>
    </w:p>
    <w:p w14:paraId="4E3AEC42">
      <w:pPr>
        <w:rPr>
          <w:rFonts w:ascii="宋体" w:hAnsi="宋体" w:cs="宋体"/>
          <w:sz w:val="24"/>
          <w:szCs w:val="24"/>
          <w:highlight w:val="none"/>
        </w:rPr>
      </w:pPr>
      <w:r>
        <w:rPr>
          <w:rFonts w:hint="eastAsia" w:ascii="宋体" w:hAnsi="宋体" w:cs="宋体"/>
          <w:sz w:val="24"/>
          <w:szCs w:val="24"/>
          <w:highlight w:val="none"/>
        </w:rPr>
        <w:t>公章：</w:t>
      </w:r>
      <w:r>
        <w:rPr>
          <w:rFonts w:hint="eastAsia" w:ascii="宋体" w:hAnsi="宋体" w:cs="宋体"/>
          <w:kern w:val="0"/>
          <w:sz w:val="24"/>
          <w:highlight w:val="none"/>
        </w:rPr>
        <w:t>____________</w:t>
      </w:r>
    </w:p>
    <w:p w14:paraId="5E55FEF1">
      <w:pPr>
        <w:rPr>
          <w:rFonts w:ascii="宋体" w:hAnsi="宋体" w:cs="宋体"/>
          <w:sz w:val="24"/>
          <w:szCs w:val="24"/>
          <w:highlight w:val="none"/>
        </w:rPr>
      </w:pPr>
    </w:p>
    <w:p w14:paraId="384041D8">
      <w:pPr>
        <w:rPr>
          <w:rFonts w:ascii="宋体" w:hAnsi="宋体" w:cs="宋体"/>
          <w:sz w:val="24"/>
          <w:szCs w:val="24"/>
          <w:highlight w:val="none"/>
        </w:rPr>
      </w:pPr>
      <w:r>
        <w:rPr>
          <w:rFonts w:hint="eastAsia" w:ascii="宋体" w:hAnsi="宋体" w:cs="宋体"/>
          <w:sz w:val="24"/>
          <w:szCs w:val="24"/>
          <w:highlight w:val="none"/>
        </w:rPr>
        <w:t>注：</w:t>
      </w:r>
    </w:p>
    <w:p w14:paraId="5D0C1309">
      <w:pPr>
        <w:ind w:firstLine="480" w:firstLineChars="200"/>
        <w:rPr>
          <w:rFonts w:ascii="宋体" w:hAnsi="宋体" w:cs="宋体"/>
          <w:sz w:val="24"/>
          <w:szCs w:val="24"/>
          <w:highlight w:val="none"/>
        </w:rPr>
      </w:pPr>
      <w:r>
        <w:rPr>
          <w:rFonts w:hint="eastAsia" w:ascii="宋体" w:hAnsi="宋体" w:cs="宋体"/>
          <w:sz w:val="24"/>
          <w:szCs w:val="24"/>
          <w:highlight w:val="none"/>
        </w:rPr>
        <w:t>1.招标技术参数指招标文件中的招标技术参数,投标人应按照招标文件中的内容逐条抄写。</w:t>
      </w:r>
    </w:p>
    <w:p w14:paraId="5FBA2E3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2.投标规格(参数)指投标人拟提供的投标设备的功能及技术规格(参数),投标人应逐条如实填写。</w:t>
      </w:r>
    </w:p>
    <w:p w14:paraId="50240D9E">
      <w:pPr>
        <w:spacing w:after="120"/>
        <w:rPr>
          <w:rFonts w:ascii="宋体" w:hAnsi="宋体" w:cs="宋体"/>
          <w:sz w:val="24"/>
          <w:szCs w:val="24"/>
          <w:highlight w:val="none"/>
        </w:rPr>
      </w:pPr>
      <w:r>
        <w:rPr>
          <w:rFonts w:hint="eastAsia" w:ascii="宋体" w:hAnsi="宋体" w:cs="宋体"/>
          <w:sz w:val="24"/>
          <w:szCs w:val="24"/>
          <w:highlight w:val="none"/>
        </w:rPr>
        <w:t xml:space="preserve"> </w:t>
      </w:r>
    </w:p>
    <w:p w14:paraId="5F4C66BD">
      <w:pPr>
        <w:spacing w:after="120"/>
        <w:rPr>
          <w:rFonts w:ascii="宋体" w:hAnsi="宋体" w:cs="宋体"/>
          <w:sz w:val="24"/>
          <w:szCs w:val="24"/>
          <w:highlight w:val="none"/>
        </w:rPr>
      </w:pPr>
    </w:p>
    <w:p w14:paraId="20379852">
      <w:pPr>
        <w:rPr>
          <w:rFonts w:ascii="宋体" w:hAnsi="宋体" w:cs="宋体"/>
          <w:sz w:val="24"/>
          <w:szCs w:val="24"/>
          <w:highlight w:val="none"/>
        </w:rPr>
      </w:pPr>
      <w:r>
        <w:rPr>
          <w:rFonts w:hint="eastAsia" w:ascii="宋体" w:hAnsi="宋体"/>
          <w:sz w:val="24"/>
          <w:szCs w:val="24"/>
          <w:highlight w:val="none"/>
        </w:rPr>
        <w:t>附表2</w:t>
      </w:r>
    </w:p>
    <w:p w14:paraId="1C60B537">
      <w:pPr>
        <w:widowControl/>
        <w:spacing w:line="500" w:lineRule="exact"/>
        <w:jc w:val="center"/>
        <w:rPr>
          <w:rFonts w:ascii="宋体" w:hAnsi="宋体" w:cs="宋体"/>
          <w:b/>
          <w:sz w:val="28"/>
          <w:szCs w:val="28"/>
          <w:highlight w:val="none"/>
        </w:rPr>
      </w:pPr>
      <w:r>
        <w:rPr>
          <w:rFonts w:hint="eastAsia" w:ascii="宋体" w:hAnsi="宋体" w:cs="宋体"/>
          <w:b/>
          <w:sz w:val="28"/>
          <w:szCs w:val="28"/>
          <w:highlight w:val="none"/>
        </w:rPr>
        <w:t>商务条款偏差表</w:t>
      </w:r>
    </w:p>
    <w:p w14:paraId="663BB835">
      <w:pPr>
        <w:widowControl/>
        <w:spacing w:line="500" w:lineRule="exact"/>
        <w:jc w:val="center"/>
        <w:rPr>
          <w:rFonts w:ascii="宋体" w:hAnsi="宋体" w:cs="宋体"/>
          <w:b/>
          <w:sz w:val="28"/>
          <w:szCs w:val="28"/>
          <w:highlight w:val="none"/>
        </w:rPr>
      </w:pPr>
    </w:p>
    <w:p w14:paraId="1A91529E">
      <w:pPr>
        <w:spacing w:line="0" w:lineRule="atLeast"/>
        <w:rPr>
          <w:rFonts w:ascii="宋体" w:hAnsi="宋体"/>
          <w:sz w:val="24"/>
          <w:szCs w:val="24"/>
          <w:highlight w:val="none"/>
        </w:rPr>
      </w:pPr>
      <w:r>
        <w:rPr>
          <w:rFonts w:hint="eastAsia" w:ascii="宋体" w:hAnsi="宋体"/>
          <w:sz w:val="24"/>
          <w:szCs w:val="24"/>
          <w:highlight w:val="none"/>
        </w:rPr>
        <w:t>投标人名称：</w:t>
      </w:r>
    </w:p>
    <w:p w14:paraId="6D768F8C">
      <w:pPr>
        <w:spacing w:line="0" w:lineRule="atLeast"/>
        <w:rPr>
          <w:rFonts w:ascii="宋体" w:hAnsi="宋体" w:cs="宋体"/>
          <w:b/>
          <w:sz w:val="32"/>
          <w:szCs w:val="32"/>
          <w:highlight w:val="none"/>
        </w:rPr>
      </w:pPr>
      <w:r>
        <w:rPr>
          <w:rFonts w:hint="eastAsia" w:ascii="宋体" w:hAnsi="宋体"/>
          <w:sz w:val="24"/>
          <w:szCs w:val="24"/>
          <w:highlight w:val="none"/>
        </w:rPr>
        <w:t>项目编号：</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442"/>
        <w:gridCol w:w="2322"/>
        <w:gridCol w:w="1113"/>
        <w:gridCol w:w="2409"/>
      </w:tblGrid>
      <w:tr w14:paraId="3A78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vAlign w:val="center"/>
          </w:tcPr>
          <w:p w14:paraId="1E45FCCC">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序号</w:t>
            </w:r>
          </w:p>
        </w:tc>
        <w:tc>
          <w:tcPr>
            <w:tcW w:w="1336" w:type="pct"/>
            <w:vAlign w:val="center"/>
          </w:tcPr>
          <w:p w14:paraId="1131B2A7">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招标文件采购要求</w:t>
            </w:r>
          </w:p>
        </w:tc>
        <w:tc>
          <w:tcPr>
            <w:tcW w:w="1270" w:type="pct"/>
            <w:vAlign w:val="center"/>
          </w:tcPr>
          <w:p w14:paraId="0691A8FD">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投标文件响应情况</w:t>
            </w:r>
          </w:p>
        </w:tc>
        <w:tc>
          <w:tcPr>
            <w:tcW w:w="609" w:type="pct"/>
            <w:vAlign w:val="center"/>
          </w:tcPr>
          <w:p w14:paraId="0E9BFAFD">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w:t>
            </w:r>
          </w:p>
        </w:tc>
        <w:tc>
          <w:tcPr>
            <w:tcW w:w="1318" w:type="pct"/>
            <w:vAlign w:val="center"/>
          </w:tcPr>
          <w:p w14:paraId="637E3BEC">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偏离简述</w:t>
            </w:r>
          </w:p>
          <w:p w14:paraId="7FD25877">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或相关证明材料</w:t>
            </w:r>
          </w:p>
        </w:tc>
      </w:tr>
      <w:tr w14:paraId="5576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272F42FE">
            <w:pPr>
              <w:widowControl/>
              <w:spacing w:line="440" w:lineRule="exact"/>
              <w:rPr>
                <w:rFonts w:ascii="宋体" w:hAnsi="宋体" w:cs="宋体"/>
                <w:sz w:val="24"/>
                <w:szCs w:val="24"/>
                <w:highlight w:val="none"/>
              </w:rPr>
            </w:pPr>
            <w:r>
              <w:rPr>
                <w:rFonts w:hint="eastAsia" w:ascii="宋体" w:hAnsi="宋体" w:cs="宋体"/>
                <w:sz w:val="24"/>
                <w:szCs w:val="24"/>
                <w:highlight w:val="none"/>
              </w:rPr>
              <w:t>1</w:t>
            </w:r>
          </w:p>
        </w:tc>
        <w:tc>
          <w:tcPr>
            <w:tcW w:w="1336" w:type="pct"/>
            <w:vAlign w:val="center"/>
          </w:tcPr>
          <w:p w14:paraId="74F61073">
            <w:pPr>
              <w:widowControl/>
              <w:spacing w:line="440" w:lineRule="exact"/>
              <w:rPr>
                <w:rFonts w:ascii="宋体" w:hAnsi="宋体" w:cs="宋体"/>
                <w:sz w:val="24"/>
                <w:szCs w:val="24"/>
                <w:highlight w:val="none"/>
              </w:rPr>
            </w:pPr>
          </w:p>
        </w:tc>
        <w:tc>
          <w:tcPr>
            <w:tcW w:w="1270" w:type="pct"/>
            <w:vAlign w:val="center"/>
          </w:tcPr>
          <w:p w14:paraId="204EC125">
            <w:pPr>
              <w:widowControl/>
              <w:spacing w:line="440" w:lineRule="exact"/>
              <w:rPr>
                <w:rFonts w:ascii="宋体" w:hAnsi="宋体" w:cs="宋体"/>
                <w:sz w:val="24"/>
                <w:szCs w:val="24"/>
                <w:highlight w:val="none"/>
              </w:rPr>
            </w:pPr>
          </w:p>
        </w:tc>
        <w:tc>
          <w:tcPr>
            <w:tcW w:w="609" w:type="pct"/>
            <w:vAlign w:val="center"/>
          </w:tcPr>
          <w:p w14:paraId="4B5D3F01">
            <w:pPr>
              <w:widowControl/>
              <w:spacing w:line="440" w:lineRule="exact"/>
              <w:rPr>
                <w:rFonts w:ascii="宋体" w:hAnsi="宋体" w:cs="宋体"/>
                <w:sz w:val="24"/>
                <w:szCs w:val="24"/>
                <w:highlight w:val="none"/>
              </w:rPr>
            </w:pPr>
          </w:p>
        </w:tc>
        <w:tc>
          <w:tcPr>
            <w:tcW w:w="1318" w:type="pct"/>
            <w:vAlign w:val="center"/>
          </w:tcPr>
          <w:p w14:paraId="3BF6BB09">
            <w:pPr>
              <w:widowControl/>
              <w:spacing w:line="440" w:lineRule="exact"/>
              <w:rPr>
                <w:rFonts w:ascii="宋体" w:hAnsi="宋体" w:cs="宋体"/>
                <w:sz w:val="24"/>
                <w:szCs w:val="24"/>
                <w:highlight w:val="none"/>
              </w:rPr>
            </w:pPr>
          </w:p>
        </w:tc>
      </w:tr>
      <w:tr w14:paraId="164AE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21CDC9B7">
            <w:pPr>
              <w:widowControl/>
              <w:spacing w:line="440" w:lineRule="exact"/>
              <w:rPr>
                <w:rFonts w:ascii="宋体" w:hAnsi="宋体" w:cs="宋体"/>
                <w:sz w:val="24"/>
                <w:szCs w:val="24"/>
                <w:highlight w:val="none"/>
              </w:rPr>
            </w:pPr>
            <w:r>
              <w:rPr>
                <w:rFonts w:hint="eastAsia" w:ascii="宋体" w:hAnsi="宋体" w:cs="宋体"/>
                <w:sz w:val="24"/>
                <w:szCs w:val="24"/>
                <w:highlight w:val="none"/>
              </w:rPr>
              <w:t>2</w:t>
            </w:r>
          </w:p>
        </w:tc>
        <w:tc>
          <w:tcPr>
            <w:tcW w:w="1336" w:type="pct"/>
            <w:vAlign w:val="center"/>
          </w:tcPr>
          <w:p w14:paraId="4974B7FE">
            <w:pPr>
              <w:widowControl/>
              <w:spacing w:line="440" w:lineRule="exact"/>
              <w:rPr>
                <w:rFonts w:ascii="宋体" w:hAnsi="宋体" w:cs="宋体"/>
                <w:sz w:val="24"/>
                <w:szCs w:val="24"/>
                <w:highlight w:val="none"/>
              </w:rPr>
            </w:pPr>
          </w:p>
        </w:tc>
        <w:tc>
          <w:tcPr>
            <w:tcW w:w="1270" w:type="pct"/>
            <w:vAlign w:val="center"/>
          </w:tcPr>
          <w:p w14:paraId="3ABCA59F">
            <w:pPr>
              <w:widowControl/>
              <w:spacing w:line="440" w:lineRule="exact"/>
              <w:rPr>
                <w:rFonts w:ascii="宋体" w:hAnsi="宋体" w:cs="宋体"/>
                <w:sz w:val="24"/>
                <w:szCs w:val="24"/>
                <w:highlight w:val="none"/>
              </w:rPr>
            </w:pPr>
          </w:p>
        </w:tc>
        <w:tc>
          <w:tcPr>
            <w:tcW w:w="609" w:type="pct"/>
            <w:vAlign w:val="center"/>
          </w:tcPr>
          <w:p w14:paraId="67557A47">
            <w:pPr>
              <w:widowControl/>
              <w:spacing w:line="440" w:lineRule="exact"/>
              <w:rPr>
                <w:rFonts w:ascii="宋体" w:hAnsi="宋体" w:cs="宋体"/>
                <w:sz w:val="24"/>
                <w:szCs w:val="24"/>
                <w:highlight w:val="none"/>
              </w:rPr>
            </w:pPr>
          </w:p>
        </w:tc>
        <w:tc>
          <w:tcPr>
            <w:tcW w:w="1318" w:type="pct"/>
            <w:vAlign w:val="center"/>
          </w:tcPr>
          <w:p w14:paraId="09096CEB">
            <w:pPr>
              <w:widowControl/>
              <w:spacing w:line="440" w:lineRule="exact"/>
              <w:rPr>
                <w:rFonts w:ascii="宋体" w:hAnsi="宋体" w:cs="宋体"/>
                <w:sz w:val="24"/>
                <w:szCs w:val="24"/>
                <w:highlight w:val="none"/>
              </w:rPr>
            </w:pPr>
          </w:p>
        </w:tc>
      </w:tr>
      <w:tr w14:paraId="01F07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2361CDB5">
            <w:pPr>
              <w:widowControl/>
              <w:spacing w:line="440" w:lineRule="exact"/>
              <w:rPr>
                <w:rFonts w:ascii="宋体" w:hAnsi="宋体" w:cs="宋体"/>
                <w:sz w:val="24"/>
                <w:szCs w:val="24"/>
                <w:highlight w:val="none"/>
              </w:rPr>
            </w:pPr>
            <w:r>
              <w:rPr>
                <w:rFonts w:hint="eastAsia" w:ascii="宋体" w:hAnsi="宋体" w:cs="宋体"/>
                <w:sz w:val="24"/>
                <w:szCs w:val="24"/>
                <w:highlight w:val="none"/>
              </w:rPr>
              <w:t>3</w:t>
            </w:r>
          </w:p>
        </w:tc>
        <w:tc>
          <w:tcPr>
            <w:tcW w:w="1336" w:type="pct"/>
            <w:vAlign w:val="center"/>
          </w:tcPr>
          <w:p w14:paraId="76E36F12">
            <w:pPr>
              <w:widowControl/>
              <w:spacing w:line="440" w:lineRule="exact"/>
              <w:rPr>
                <w:rFonts w:ascii="宋体" w:hAnsi="宋体" w:cs="宋体"/>
                <w:sz w:val="24"/>
                <w:szCs w:val="24"/>
                <w:highlight w:val="none"/>
              </w:rPr>
            </w:pPr>
          </w:p>
        </w:tc>
        <w:tc>
          <w:tcPr>
            <w:tcW w:w="1270" w:type="pct"/>
            <w:vAlign w:val="center"/>
          </w:tcPr>
          <w:p w14:paraId="75F02A52">
            <w:pPr>
              <w:widowControl/>
              <w:spacing w:line="440" w:lineRule="exact"/>
              <w:rPr>
                <w:rFonts w:ascii="宋体" w:hAnsi="宋体" w:cs="宋体"/>
                <w:sz w:val="24"/>
                <w:szCs w:val="24"/>
                <w:highlight w:val="none"/>
              </w:rPr>
            </w:pPr>
          </w:p>
        </w:tc>
        <w:tc>
          <w:tcPr>
            <w:tcW w:w="609" w:type="pct"/>
            <w:vAlign w:val="center"/>
          </w:tcPr>
          <w:p w14:paraId="16E8CAE2">
            <w:pPr>
              <w:widowControl/>
              <w:spacing w:line="440" w:lineRule="exact"/>
              <w:rPr>
                <w:rFonts w:ascii="宋体" w:hAnsi="宋体" w:cs="宋体"/>
                <w:sz w:val="24"/>
                <w:szCs w:val="24"/>
                <w:highlight w:val="none"/>
              </w:rPr>
            </w:pPr>
          </w:p>
        </w:tc>
        <w:tc>
          <w:tcPr>
            <w:tcW w:w="1318" w:type="pct"/>
            <w:vAlign w:val="center"/>
          </w:tcPr>
          <w:p w14:paraId="7789E015">
            <w:pPr>
              <w:widowControl/>
              <w:spacing w:line="440" w:lineRule="exact"/>
              <w:rPr>
                <w:rFonts w:ascii="宋体" w:hAnsi="宋体" w:cs="宋体"/>
                <w:sz w:val="24"/>
                <w:szCs w:val="24"/>
                <w:highlight w:val="none"/>
              </w:rPr>
            </w:pPr>
          </w:p>
        </w:tc>
      </w:tr>
      <w:tr w14:paraId="5FAE0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3BF0BF13">
            <w:pPr>
              <w:widowControl/>
              <w:spacing w:line="440" w:lineRule="exact"/>
              <w:rPr>
                <w:rFonts w:ascii="宋体" w:hAnsi="宋体" w:cs="宋体"/>
                <w:sz w:val="24"/>
                <w:szCs w:val="24"/>
                <w:highlight w:val="none"/>
              </w:rPr>
            </w:pPr>
          </w:p>
        </w:tc>
        <w:tc>
          <w:tcPr>
            <w:tcW w:w="1336" w:type="pct"/>
            <w:vAlign w:val="center"/>
          </w:tcPr>
          <w:p w14:paraId="45A0A3BA">
            <w:pPr>
              <w:widowControl/>
              <w:spacing w:line="440" w:lineRule="exact"/>
              <w:rPr>
                <w:rFonts w:ascii="宋体" w:hAnsi="宋体" w:cs="宋体"/>
                <w:sz w:val="24"/>
                <w:szCs w:val="24"/>
                <w:highlight w:val="none"/>
              </w:rPr>
            </w:pPr>
          </w:p>
        </w:tc>
        <w:tc>
          <w:tcPr>
            <w:tcW w:w="1270" w:type="pct"/>
            <w:vAlign w:val="center"/>
          </w:tcPr>
          <w:p w14:paraId="43D40775">
            <w:pPr>
              <w:widowControl/>
              <w:spacing w:line="440" w:lineRule="exact"/>
              <w:rPr>
                <w:rFonts w:ascii="宋体" w:hAnsi="宋体" w:cs="宋体"/>
                <w:sz w:val="24"/>
                <w:szCs w:val="24"/>
                <w:highlight w:val="none"/>
              </w:rPr>
            </w:pPr>
          </w:p>
        </w:tc>
        <w:tc>
          <w:tcPr>
            <w:tcW w:w="609" w:type="pct"/>
            <w:vAlign w:val="center"/>
          </w:tcPr>
          <w:p w14:paraId="009A647E">
            <w:pPr>
              <w:widowControl/>
              <w:spacing w:line="440" w:lineRule="exact"/>
              <w:rPr>
                <w:rFonts w:ascii="宋体" w:hAnsi="宋体" w:cs="宋体"/>
                <w:sz w:val="24"/>
                <w:szCs w:val="24"/>
                <w:highlight w:val="none"/>
              </w:rPr>
            </w:pPr>
          </w:p>
        </w:tc>
        <w:tc>
          <w:tcPr>
            <w:tcW w:w="1318" w:type="pct"/>
            <w:vAlign w:val="center"/>
          </w:tcPr>
          <w:p w14:paraId="51FE1C94">
            <w:pPr>
              <w:widowControl/>
              <w:spacing w:line="440" w:lineRule="exact"/>
              <w:rPr>
                <w:rFonts w:ascii="宋体" w:hAnsi="宋体" w:cs="宋体"/>
                <w:sz w:val="24"/>
                <w:szCs w:val="24"/>
                <w:highlight w:val="none"/>
              </w:rPr>
            </w:pPr>
          </w:p>
        </w:tc>
      </w:tr>
      <w:tr w14:paraId="7CA2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7DE17B0A">
            <w:pPr>
              <w:widowControl/>
              <w:spacing w:line="440" w:lineRule="exact"/>
              <w:rPr>
                <w:rFonts w:ascii="宋体" w:hAnsi="宋体" w:cs="宋体"/>
                <w:sz w:val="24"/>
                <w:szCs w:val="24"/>
                <w:highlight w:val="none"/>
              </w:rPr>
            </w:pPr>
          </w:p>
        </w:tc>
        <w:tc>
          <w:tcPr>
            <w:tcW w:w="1336" w:type="pct"/>
            <w:vAlign w:val="center"/>
          </w:tcPr>
          <w:p w14:paraId="29535DBE">
            <w:pPr>
              <w:widowControl/>
              <w:spacing w:line="440" w:lineRule="exact"/>
              <w:rPr>
                <w:rFonts w:ascii="宋体" w:hAnsi="宋体" w:cs="宋体"/>
                <w:sz w:val="24"/>
                <w:szCs w:val="24"/>
                <w:highlight w:val="none"/>
              </w:rPr>
            </w:pPr>
          </w:p>
        </w:tc>
        <w:tc>
          <w:tcPr>
            <w:tcW w:w="1270" w:type="pct"/>
            <w:vAlign w:val="center"/>
          </w:tcPr>
          <w:p w14:paraId="77DF1065">
            <w:pPr>
              <w:widowControl/>
              <w:spacing w:line="440" w:lineRule="exact"/>
              <w:rPr>
                <w:rFonts w:ascii="宋体" w:hAnsi="宋体" w:cs="宋体"/>
                <w:sz w:val="24"/>
                <w:szCs w:val="24"/>
                <w:highlight w:val="none"/>
              </w:rPr>
            </w:pPr>
          </w:p>
        </w:tc>
        <w:tc>
          <w:tcPr>
            <w:tcW w:w="609" w:type="pct"/>
            <w:vAlign w:val="center"/>
          </w:tcPr>
          <w:p w14:paraId="184E0293">
            <w:pPr>
              <w:widowControl/>
              <w:spacing w:line="440" w:lineRule="exact"/>
              <w:rPr>
                <w:rFonts w:ascii="宋体" w:hAnsi="宋体" w:cs="宋体"/>
                <w:sz w:val="24"/>
                <w:szCs w:val="24"/>
                <w:highlight w:val="none"/>
              </w:rPr>
            </w:pPr>
          </w:p>
        </w:tc>
        <w:tc>
          <w:tcPr>
            <w:tcW w:w="1318" w:type="pct"/>
            <w:vAlign w:val="center"/>
          </w:tcPr>
          <w:p w14:paraId="31B41AF9">
            <w:pPr>
              <w:widowControl/>
              <w:spacing w:line="440" w:lineRule="exact"/>
              <w:rPr>
                <w:rFonts w:ascii="宋体" w:hAnsi="宋体" w:cs="宋体"/>
                <w:sz w:val="24"/>
                <w:szCs w:val="24"/>
                <w:highlight w:val="none"/>
              </w:rPr>
            </w:pPr>
          </w:p>
        </w:tc>
      </w:tr>
      <w:tr w14:paraId="184C8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5C344F6A">
            <w:pPr>
              <w:widowControl/>
              <w:spacing w:line="440" w:lineRule="exact"/>
              <w:rPr>
                <w:rFonts w:ascii="宋体" w:hAnsi="宋体" w:cs="宋体"/>
                <w:sz w:val="24"/>
                <w:szCs w:val="24"/>
                <w:highlight w:val="none"/>
              </w:rPr>
            </w:pPr>
          </w:p>
        </w:tc>
        <w:tc>
          <w:tcPr>
            <w:tcW w:w="1336" w:type="pct"/>
            <w:vAlign w:val="center"/>
          </w:tcPr>
          <w:p w14:paraId="63704D61">
            <w:pPr>
              <w:widowControl/>
              <w:spacing w:line="440" w:lineRule="exact"/>
              <w:rPr>
                <w:rFonts w:ascii="宋体" w:hAnsi="宋体" w:cs="宋体"/>
                <w:sz w:val="24"/>
                <w:szCs w:val="24"/>
                <w:highlight w:val="none"/>
              </w:rPr>
            </w:pPr>
          </w:p>
        </w:tc>
        <w:tc>
          <w:tcPr>
            <w:tcW w:w="1270" w:type="pct"/>
            <w:vAlign w:val="center"/>
          </w:tcPr>
          <w:p w14:paraId="2795D90C">
            <w:pPr>
              <w:widowControl/>
              <w:spacing w:line="440" w:lineRule="exact"/>
              <w:rPr>
                <w:rFonts w:ascii="宋体" w:hAnsi="宋体" w:cs="宋体"/>
                <w:sz w:val="24"/>
                <w:szCs w:val="24"/>
                <w:highlight w:val="none"/>
              </w:rPr>
            </w:pPr>
          </w:p>
        </w:tc>
        <w:tc>
          <w:tcPr>
            <w:tcW w:w="609" w:type="pct"/>
            <w:vAlign w:val="center"/>
          </w:tcPr>
          <w:p w14:paraId="3BF5022F">
            <w:pPr>
              <w:widowControl/>
              <w:spacing w:line="440" w:lineRule="exact"/>
              <w:rPr>
                <w:rFonts w:ascii="宋体" w:hAnsi="宋体" w:cs="宋体"/>
                <w:sz w:val="24"/>
                <w:szCs w:val="24"/>
                <w:highlight w:val="none"/>
              </w:rPr>
            </w:pPr>
          </w:p>
        </w:tc>
        <w:tc>
          <w:tcPr>
            <w:tcW w:w="1318" w:type="pct"/>
            <w:vAlign w:val="center"/>
          </w:tcPr>
          <w:p w14:paraId="3ED89B23">
            <w:pPr>
              <w:widowControl/>
              <w:spacing w:line="440" w:lineRule="exact"/>
              <w:rPr>
                <w:rFonts w:ascii="宋体" w:hAnsi="宋体" w:cs="宋体"/>
                <w:sz w:val="24"/>
                <w:szCs w:val="24"/>
                <w:highlight w:val="none"/>
              </w:rPr>
            </w:pPr>
          </w:p>
        </w:tc>
      </w:tr>
      <w:tr w14:paraId="2F1B7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4087B1BE">
            <w:pPr>
              <w:widowControl/>
              <w:spacing w:line="440" w:lineRule="exact"/>
              <w:rPr>
                <w:rFonts w:ascii="宋体" w:hAnsi="宋体" w:cs="宋体"/>
                <w:sz w:val="24"/>
                <w:szCs w:val="24"/>
                <w:highlight w:val="none"/>
              </w:rPr>
            </w:pPr>
            <w:r>
              <w:rPr>
                <w:rFonts w:hint="eastAsia" w:ascii="宋体" w:hAnsi="宋体" w:cs="宋体"/>
                <w:sz w:val="24"/>
                <w:szCs w:val="24"/>
                <w:highlight w:val="none"/>
              </w:rPr>
              <w:t>……</w:t>
            </w:r>
          </w:p>
        </w:tc>
        <w:tc>
          <w:tcPr>
            <w:tcW w:w="1336" w:type="pct"/>
            <w:vAlign w:val="center"/>
          </w:tcPr>
          <w:p w14:paraId="22F0FC9E">
            <w:pPr>
              <w:widowControl/>
              <w:spacing w:line="440" w:lineRule="exact"/>
              <w:rPr>
                <w:rFonts w:ascii="宋体" w:hAnsi="宋体" w:cs="宋体"/>
                <w:sz w:val="24"/>
                <w:szCs w:val="24"/>
                <w:highlight w:val="none"/>
              </w:rPr>
            </w:pPr>
          </w:p>
        </w:tc>
        <w:tc>
          <w:tcPr>
            <w:tcW w:w="1270" w:type="pct"/>
            <w:vAlign w:val="center"/>
          </w:tcPr>
          <w:p w14:paraId="3EF960B8">
            <w:pPr>
              <w:widowControl/>
              <w:spacing w:line="440" w:lineRule="exact"/>
              <w:rPr>
                <w:rFonts w:ascii="宋体" w:hAnsi="宋体" w:cs="宋体"/>
                <w:sz w:val="24"/>
                <w:szCs w:val="24"/>
                <w:highlight w:val="none"/>
              </w:rPr>
            </w:pPr>
          </w:p>
        </w:tc>
        <w:tc>
          <w:tcPr>
            <w:tcW w:w="609" w:type="pct"/>
            <w:vAlign w:val="center"/>
          </w:tcPr>
          <w:p w14:paraId="12B5A12F">
            <w:pPr>
              <w:widowControl/>
              <w:spacing w:line="440" w:lineRule="exact"/>
              <w:rPr>
                <w:rFonts w:ascii="宋体" w:hAnsi="宋体" w:cs="宋体"/>
                <w:sz w:val="24"/>
                <w:szCs w:val="24"/>
                <w:highlight w:val="none"/>
              </w:rPr>
            </w:pPr>
          </w:p>
        </w:tc>
        <w:tc>
          <w:tcPr>
            <w:tcW w:w="1318" w:type="pct"/>
            <w:vAlign w:val="center"/>
          </w:tcPr>
          <w:p w14:paraId="2F7B2808">
            <w:pPr>
              <w:widowControl/>
              <w:spacing w:line="440" w:lineRule="exact"/>
              <w:rPr>
                <w:rFonts w:ascii="宋体" w:hAnsi="宋体" w:cs="宋体"/>
                <w:sz w:val="24"/>
                <w:szCs w:val="24"/>
                <w:highlight w:val="none"/>
              </w:rPr>
            </w:pPr>
          </w:p>
        </w:tc>
      </w:tr>
    </w:tbl>
    <w:p w14:paraId="015FCE64">
      <w:pPr>
        <w:spacing w:line="360" w:lineRule="auto"/>
        <w:ind w:firstLine="480" w:firstLineChars="200"/>
        <w:rPr>
          <w:rFonts w:ascii="宋体" w:hAnsi="宋体" w:cs="宋体"/>
          <w:sz w:val="24"/>
          <w:highlight w:val="none"/>
        </w:rPr>
      </w:pPr>
      <w:r>
        <w:rPr>
          <w:rFonts w:hint="eastAsia" w:ascii="宋体" w:hAnsi="宋体" w:cs="宋体"/>
          <w:sz w:val="24"/>
          <w:highlight w:val="none"/>
        </w:rPr>
        <w:t>备注：</w:t>
      </w:r>
    </w:p>
    <w:p w14:paraId="607C865B">
      <w:pPr>
        <w:spacing w:line="360" w:lineRule="auto"/>
        <w:ind w:firstLine="480" w:firstLineChars="200"/>
        <w:rPr>
          <w:rFonts w:ascii="宋体" w:hAnsi="宋体" w:cs="宋体"/>
          <w:sz w:val="24"/>
          <w:highlight w:val="none"/>
        </w:rPr>
      </w:pPr>
      <w:r>
        <w:rPr>
          <w:rFonts w:hint="eastAsia" w:ascii="宋体" w:hAnsi="宋体" w:cs="宋体"/>
          <w:sz w:val="24"/>
          <w:highlight w:val="none"/>
        </w:rPr>
        <w:t>1.本表只填写</w:t>
      </w:r>
      <w:r>
        <w:rPr>
          <w:rFonts w:hint="eastAsia" w:ascii="宋体" w:hAnsi="宋体" w:cs="宋体"/>
          <w:sz w:val="24"/>
          <w:szCs w:val="24"/>
          <w:highlight w:val="none"/>
        </w:rPr>
        <w:t>投标文件</w:t>
      </w:r>
      <w:r>
        <w:rPr>
          <w:rFonts w:hint="eastAsia" w:ascii="宋体" w:hAnsi="宋体" w:cs="宋体"/>
          <w:sz w:val="24"/>
          <w:highlight w:val="none"/>
        </w:rPr>
        <w:t>中与</w:t>
      </w:r>
      <w:r>
        <w:rPr>
          <w:rFonts w:hint="eastAsia" w:ascii="宋体" w:hAnsi="宋体" w:cs="宋体"/>
          <w:sz w:val="24"/>
          <w:szCs w:val="24"/>
          <w:highlight w:val="none"/>
        </w:rPr>
        <w:t>招标文件</w:t>
      </w:r>
      <w:r>
        <w:rPr>
          <w:rFonts w:hint="eastAsia" w:ascii="宋体" w:hAnsi="宋体" w:cs="宋体"/>
          <w:sz w:val="24"/>
          <w:highlight w:val="none"/>
        </w:rPr>
        <w:t>有偏离（包括正偏离和负偏离）的内容，必须一一对应填写，</w:t>
      </w:r>
      <w:r>
        <w:rPr>
          <w:rFonts w:hint="eastAsia" w:ascii="宋体" w:hAnsi="宋体" w:cs="宋体"/>
          <w:b/>
          <w:sz w:val="24"/>
          <w:highlight w:val="none"/>
        </w:rPr>
        <w:t>若无偏离则附此空表加盖单位公章</w:t>
      </w:r>
      <w:r>
        <w:rPr>
          <w:rFonts w:hint="eastAsia" w:ascii="宋体" w:hAnsi="宋体" w:cs="宋体"/>
          <w:sz w:val="24"/>
          <w:highlight w:val="none"/>
        </w:rPr>
        <w:t>。</w:t>
      </w:r>
    </w:p>
    <w:p w14:paraId="4B6FC796">
      <w:pPr>
        <w:spacing w:line="360" w:lineRule="auto"/>
        <w:ind w:firstLine="480" w:firstLineChars="200"/>
        <w:rPr>
          <w:rFonts w:ascii="宋体" w:hAnsi="宋体" w:cs="宋体"/>
          <w:sz w:val="24"/>
          <w:highlight w:val="none"/>
        </w:rPr>
      </w:pPr>
      <w:r>
        <w:rPr>
          <w:rFonts w:hint="eastAsia" w:ascii="宋体" w:hAnsi="宋体" w:cs="宋体"/>
          <w:sz w:val="24"/>
          <w:highlight w:val="none"/>
        </w:rPr>
        <w:t>2.投标人必须据实填写，不得虚假响应。</w:t>
      </w:r>
    </w:p>
    <w:p w14:paraId="2DCAF69C">
      <w:pPr>
        <w:spacing w:line="600" w:lineRule="auto"/>
        <w:ind w:firstLine="3840" w:firstLineChars="1600"/>
        <w:rPr>
          <w:rFonts w:ascii="宋体" w:hAnsi="宋体" w:cs="宋体"/>
          <w:sz w:val="24"/>
          <w:szCs w:val="24"/>
          <w:highlight w:val="none"/>
        </w:rPr>
      </w:pPr>
    </w:p>
    <w:p w14:paraId="52926A4B">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sz w:val="24"/>
          <w:szCs w:val="24"/>
          <w:highlight w:val="none"/>
        </w:rPr>
        <w:t>：</w:t>
      </w:r>
      <w:r>
        <w:rPr>
          <w:rFonts w:hint="eastAsia" w:ascii="宋体" w:hAnsi="宋体"/>
          <w:spacing w:val="4"/>
          <w:sz w:val="24"/>
          <w:highlight w:val="none"/>
          <w:u w:val="single"/>
        </w:rPr>
        <w:t xml:space="preserve">              </w:t>
      </w:r>
    </w:p>
    <w:p w14:paraId="7CC1CE16">
      <w:pPr>
        <w:rPr>
          <w:rFonts w:ascii="宋体" w:hAnsi="宋体"/>
          <w:sz w:val="24"/>
          <w:szCs w:val="24"/>
          <w:highlight w:val="none"/>
        </w:rPr>
      </w:pPr>
    </w:p>
    <w:p w14:paraId="1E74065B">
      <w:pPr>
        <w:rPr>
          <w:rFonts w:ascii="宋体" w:hAnsi="宋体"/>
          <w:sz w:val="24"/>
          <w:szCs w:val="24"/>
          <w:highlight w:val="none"/>
        </w:rPr>
      </w:pPr>
    </w:p>
    <w:p w14:paraId="67462A23">
      <w:pPr>
        <w:rPr>
          <w:rFonts w:ascii="宋体" w:hAnsi="宋体"/>
          <w:sz w:val="24"/>
          <w:szCs w:val="24"/>
          <w:highlight w:val="none"/>
        </w:rPr>
      </w:pPr>
    </w:p>
    <w:p w14:paraId="7755CAE2">
      <w:pPr>
        <w:ind w:left="2"/>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14ABAB8F">
      <w:pPr>
        <w:spacing w:line="360" w:lineRule="auto"/>
        <w:jc w:val="left"/>
        <w:rPr>
          <w:rFonts w:ascii="宋体" w:hAnsi="宋体"/>
          <w:b/>
          <w:sz w:val="30"/>
          <w:szCs w:val="30"/>
          <w:highlight w:val="none"/>
        </w:rPr>
      </w:pPr>
    </w:p>
    <w:p w14:paraId="2948CF34">
      <w:pPr>
        <w:spacing w:line="360" w:lineRule="auto"/>
        <w:jc w:val="left"/>
        <w:rPr>
          <w:rFonts w:ascii="宋体" w:hAnsi="宋体"/>
          <w:b/>
          <w:sz w:val="30"/>
          <w:szCs w:val="30"/>
          <w:highlight w:val="none"/>
        </w:rPr>
      </w:pPr>
    </w:p>
    <w:p w14:paraId="656005E0">
      <w:pPr>
        <w:spacing w:line="360" w:lineRule="auto"/>
        <w:jc w:val="left"/>
        <w:rPr>
          <w:rFonts w:ascii="宋体" w:hAnsi="宋体"/>
          <w:b/>
          <w:sz w:val="30"/>
          <w:szCs w:val="30"/>
          <w:highlight w:val="none"/>
        </w:rPr>
      </w:pPr>
    </w:p>
    <w:p w14:paraId="27BB2E7D">
      <w:pPr>
        <w:rPr>
          <w:rFonts w:ascii="宋体" w:hAnsi="宋体"/>
          <w:b/>
          <w:sz w:val="30"/>
          <w:szCs w:val="30"/>
          <w:highlight w:val="none"/>
        </w:rPr>
      </w:pPr>
      <w:r>
        <w:rPr>
          <w:rFonts w:hint="eastAsia" w:ascii="宋体" w:hAnsi="宋体"/>
          <w:b/>
          <w:sz w:val="30"/>
          <w:szCs w:val="30"/>
          <w:highlight w:val="none"/>
        </w:rPr>
        <w:br w:type="page"/>
      </w:r>
    </w:p>
    <w:p w14:paraId="0BA0238F">
      <w:pPr>
        <w:spacing w:line="360" w:lineRule="auto"/>
        <w:jc w:val="left"/>
        <w:rPr>
          <w:rFonts w:ascii="宋体" w:hAnsi="宋体"/>
          <w:b/>
          <w:sz w:val="30"/>
          <w:szCs w:val="30"/>
          <w:highlight w:val="none"/>
        </w:rPr>
      </w:pPr>
      <w:r>
        <w:rPr>
          <w:rFonts w:hint="eastAsia" w:ascii="宋体" w:hAnsi="宋体"/>
          <w:b/>
          <w:sz w:val="30"/>
          <w:szCs w:val="30"/>
          <w:highlight w:val="none"/>
        </w:rPr>
        <w:t>附件1：</w:t>
      </w:r>
    </w:p>
    <w:p w14:paraId="366739B5">
      <w:pPr>
        <w:spacing w:line="360" w:lineRule="auto"/>
        <w:jc w:val="center"/>
        <w:rPr>
          <w:rFonts w:ascii="宋体" w:hAnsi="宋体"/>
          <w:b/>
          <w:sz w:val="36"/>
          <w:szCs w:val="36"/>
          <w:highlight w:val="none"/>
        </w:rPr>
      </w:pPr>
    </w:p>
    <w:p w14:paraId="01A69B56">
      <w:pPr>
        <w:spacing w:line="360" w:lineRule="auto"/>
        <w:jc w:val="center"/>
        <w:rPr>
          <w:rFonts w:ascii="宋体" w:hAnsi="宋体"/>
          <w:b/>
          <w:sz w:val="36"/>
          <w:szCs w:val="36"/>
          <w:highlight w:val="none"/>
        </w:rPr>
      </w:pPr>
      <w:r>
        <w:rPr>
          <w:rFonts w:hint="eastAsia" w:ascii="宋体" w:hAnsi="宋体"/>
          <w:b/>
          <w:sz w:val="36"/>
          <w:szCs w:val="36"/>
          <w:highlight w:val="none"/>
        </w:rPr>
        <w:t>中小企业声明函（货物）</w:t>
      </w:r>
    </w:p>
    <w:p w14:paraId="1A38E404">
      <w:pPr>
        <w:spacing w:line="360" w:lineRule="auto"/>
        <w:jc w:val="center"/>
        <w:rPr>
          <w:rFonts w:ascii="宋体" w:hAnsi="宋体"/>
          <w:b/>
          <w:sz w:val="36"/>
          <w:szCs w:val="36"/>
          <w:highlight w:val="none"/>
        </w:rPr>
      </w:pPr>
    </w:p>
    <w:p w14:paraId="5ED4073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本公司（联合体）郑重声明，根据《政府采购促进中小企业发展管理办法》（财库﹝2020﹞46号）的规定，本公司（联合体）参加</w:t>
      </w:r>
      <w:r>
        <w:rPr>
          <w:rFonts w:hint="eastAsia" w:ascii="宋体" w:hAnsi="宋体"/>
          <w:i/>
          <w:spacing w:val="4"/>
          <w:sz w:val="24"/>
          <w:szCs w:val="24"/>
          <w:highlight w:val="none"/>
          <w:u w:val="single"/>
        </w:rPr>
        <w:t>（单位名称）</w:t>
      </w:r>
      <w:r>
        <w:rPr>
          <w:rFonts w:hint="eastAsia" w:ascii="宋体" w:hAnsi="宋体"/>
          <w:spacing w:val="4"/>
          <w:sz w:val="24"/>
          <w:szCs w:val="24"/>
          <w:highlight w:val="none"/>
        </w:rPr>
        <w:t>的</w:t>
      </w:r>
      <w:r>
        <w:rPr>
          <w:rFonts w:hint="eastAsia" w:ascii="宋体" w:hAnsi="宋体"/>
          <w:i/>
          <w:spacing w:val="4"/>
          <w:sz w:val="24"/>
          <w:szCs w:val="24"/>
          <w:highlight w:val="none"/>
          <w:u w:val="single"/>
        </w:rPr>
        <w:t>（项目名称）</w:t>
      </w:r>
      <w:r>
        <w:rPr>
          <w:rFonts w:hint="eastAsia" w:ascii="宋体" w:hAnsi="宋体"/>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27885D1C">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1.</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w:t>
      </w:r>
      <w:r>
        <w:rPr>
          <w:rFonts w:hint="eastAsia" w:ascii="宋体" w:hAnsi="宋体"/>
          <w:i/>
          <w:spacing w:val="4"/>
          <w:sz w:val="24"/>
          <w:szCs w:val="24"/>
          <w:highlight w:val="none"/>
          <w:u w:val="single"/>
        </w:rPr>
        <w:t>（采购文件中明确的所属行业）</w:t>
      </w:r>
      <w:r>
        <w:rPr>
          <w:rFonts w:hint="eastAsia" w:ascii="宋体" w:hAnsi="宋体"/>
          <w:spacing w:val="4"/>
          <w:sz w:val="24"/>
          <w:szCs w:val="24"/>
          <w:highlight w:val="none"/>
        </w:rPr>
        <w:t>；制造商为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35E2D7AF">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2.</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，属于（采购文件中明确的所属行业）；制造商为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4E18685D">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w:t>
      </w:r>
    </w:p>
    <w:p w14:paraId="007BDC18">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以上企业，不属于大企业的分支机构，不存在控股股东为大企业的情形，也不存在与大企业的负责人为同一人的情形。 </w:t>
      </w:r>
    </w:p>
    <w:p w14:paraId="6E6C2D86">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本企业对上述声明内容的真实性负责。如有虚假，将依法承担相应责任。 </w:t>
      </w:r>
    </w:p>
    <w:p w14:paraId="1B19A0C1">
      <w:pPr>
        <w:spacing w:line="360" w:lineRule="auto"/>
        <w:ind w:firstLine="4340" w:firstLineChars="1750"/>
        <w:jc w:val="left"/>
        <w:rPr>
          <w:rFonts w:ascii="宋体" w:hAnsi="宋体"/>
          <w:spacing w:val="4"/>
          <w:sz w:val="24"/>
          <w:szCs w:val="24"/>
          <w:highlight w:val="none"/>
        </w:rPr>
      </w:pPr>
    </w:p>
    <w:p w14:paraId="7146CCFF">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企业名称（盖章）： </w:t>
      </w:r>
    </w:p>
    <w:p w14:paraId="0C03C084">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日    期： </w:t>
      </w:r>
    </w:p>
    <w:p w14:paraId="49E7C1E0">
      <w:pPr>
        <w:spacing w:line="360" w:lineRule="auto"/>
        <w:ind w:firstLine="4900" w:firstLineChars="1750"/>
        <w:jc w:val="left"/>
        <w:rPr>
          <w:rFonts w:ascii="仿宋_GB2312" w:eastAsia="仿宋_GB2312"/>
          <w:sz w:val="28"/>
          <w:szCs w:val="28"/>
          <w:highlight w:val="none"/>
        </w:rPr>
      </w:pPr>
    </w:p>
    <w:p w14:paraId="2D16582E">
      <w:pPr>
        <w:spacing w:line="360" w:lineRule="auto"/>
        <w:ind w:firstLine="4900" w:firstLineChars="1750"/>
        <w:jc w:val="left"/>
        <w:rPr>
          <w:rFonts w:ascii="仿宋_GB2312" w:eastAsia="仿宋_GB2312"/>
          <w:sz w:val="28"/>
          <w:szCs w:val="28"/>
          <w:highlight w:val="none"/>
        </w:rPr>
      </w:pPr>
    </w:p>
    <w:p w14:paraId="3FC2E54A">
      <w:pPr>
        <w:spacing w:line="360" w:lineRule="auto"/>
        <w:ind w:firstLine="4900" w:firstLineChars="1750"/>
        <w:jc w:val="left"/>
        <w:rPr>
          <w:rFonts w:ascii="仿宋_GB2312" w:eastAsia="仿宋_GB2312"/>
          <w:sz w:val="28"/>
          <w:szCs w:val="28"/>
          <w:highlight w:val="none"/>
        </w:rPr>
      </w:pPr>
      <w:r>
        <w:rPr>
          <w:rFonts w:ascii="仿宋_GB2312" w:eastAsia="仿宋_GB2312"/>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2" name="自选图形 5"/>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10.5pt;margin-top:29.25pt;height:0.35pt;width:446.85pt;z-index:251660288;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RteP1wAAAAgBAAAPAAAAAAAAAAEAIAAAACIAAABkcnMvZG93bnJldi54bWxQ&#10;SwECFAAUAAAACACHTuJAFoKYyfgBAADmAwAADgAAAAAAAAABACAAAAAmAQAAZHJzL2Uyb0RvYy54&#10;bWxQSwUGAAAAAAYABgBZAQAAkAUAAAAA&#10;">
                <v:fill on="f" focussize="0,0"/>
                <v:stroke color="#000000" joinstyle="round"/>
                <v:imagedata o:title=""/>
                <o:lock v:ext="edit" aspectratio="f"/>
              </v:shape>
            </w:pict>
          </mc:Fallback>
        </mc:AlternateContent>
      </w:r>
    </w:p>
    <w:p w14:paraId="21D8AB49">
      <w:pPr>
        <w:spacing w:line="360" w:lineRule="auto"/>
        <w:jc w:val="left"/>
        <w:rPr>
          <w:rFonts w:ascii="宋体" w:hAnsi="宋体"/>
          <w:sz w:val="18"/>
          <w:szCs w:val="18"/>
          <w:highlight w:val="none"/>
        </w:rPr>
      </w:pPr>
      <w:r>
        <w:rPr>
          <w:rFonts w:hint="eastAsia" w:ascii="宋体" w:hAnsi="宋体"/>
          <w:sz w:val="18"/>
          <w:szCs w:val="18"/>
          <w:highlight w:val="none"/>
        </w:rPr>
        <w:t xml:space="preserve">从业人员、营业收入、资产总额填报上一年度数据，无上一年度数据的新成立企业可不填报。 </w:t>
      </w:r>
    </w:p>
    <w:p w14:paraId="1DF099B9">
      <w:pPr>
        <w:rPr>
          <w:rFonts w:hint="eastAsia" w:ascii="宋体" w:hAnsi="宋体"/>
          <w:b/>
          <w:sz w:val="30"/>
          <w:szCs w:val="30"/>
          <w:highlight w:val="none"/>
        </w:rPr>
      </w:pPr>
      <w:r>
        <w:rPr>
          <w:rFonts w:hint="eastAsia" w:ascii="宋体" w:hAnsi="宋体"/>
          <w:b/>
          <w:sz w:val="30"/>
          <w:szCs w:val="30"/>
          <w:highlight w:val="none"/>
        </w:rPr>
        <w:br w:type="page"/>
      </w:r>
    </w:p>
    <w:p w14:paraId="2EF7FBC7">
      <w:pPr>
        <w:spacing w:line="360" w:lineRule="auto"/>
        <w:jc w:val="left"/>
        <w:rPr>
          <w:rFonts w:ascii="宋体" w:hAnsi="宋体"/>
          <w:b/>
          <w:sz w:val="30"/>
          <w:szCs w:val="30"/>
          <w:highlight w:val="none"/>
        </w:rPr>
      </w:pPr>
      <w:r>
        <w:rPr>
          <w:rFonts w:hint="eastAsia" w:ascii="宋体" w:hAnsi="宋体"/>
          <w:b/>
          <w:sz w:val="30"/>
          <w:szCs w:val="30"/>
          <w:highlight w:val="none"/>
        </w:rPr>
        <w:t>附件2：</w:t>
      </w:r>
    </w:p>
    <w:p w14:paraId="53511032">
      <w:pPr>
        <w:spacing w:line="588" w:lineRule="exact"/>
        <w:rPr>
          <w:rFonts w:ascii="宋体" w:hAnsi="宋体"/>
          <w:b/>
          <w:sz w:val="30"/>
          <w:szCs w:val="30"/>
          <w:highlight w:val="none"/>
        </w:rPr>
      </w:pPr>
    </w:p>
    <w:p w14:paraId="64BB129A">
      <w:pPr>
        <w:spacing w:line="360" w:lineRule="auto"/>
        <w:jc w:val="center"/>
        <w:rPr>
          <w:rFonts w:ascii="宋体" w:hAnsi="宋体"/>
          <w:b/>
          <w:sz w:val="36"/>
          <w:szCs w:val="36"/>
          <w:highlight w:val="none"/>
        </w:rPr>
      </w:pPr>
      <w:r>
        <w:rPr>
          <w:rFonts w:hint="eastAsia" w:ascii="宋体" w:hAnsi="宋体"/>
          <w:b/>
          <w:sz w:val="36"/>
          <w:szCs w:val="36"/>
          <w:highlight w:val="none"/>
        </w:rPr>
        <w:t>残疾人福利性单位声明函</w:t>
      </w:r>
    </w:p>
    <w:bookmarkEnd w:id="10"/>
    <w:bookmarkEnd w:id="11"/>
    <w:p w14:paraId="592067A7">
      <w:pPr>
        <w:spacing w:line="588" w:lineRule="exact"/>
        <w:rPr>
          <w:rFonts w:ascii="仿宋_GB2312" w:eastAsia="仿宋_GB2312"/>
          <w:b/>
          <w:spacing w:val="6"/>
          <w:sz w:val="30"/>
          <w:szCs w:val="30"/>
          <w:highlight w:val="none"/>
        </w:rPr>
      </w:pPr>
    </w:p>
    <w:p w14:paraId="66B5CF65">
      <w:pPr>
        <w:spacing w:line="588" w:lineRule="exact"/>
        <w:ind w:firstLine="496" w:firstLineChars="200"/>
        <w:rPr>
          <w:rFonts w:ascii="宋体" w:hAnsi="宋体"/>
          <w:spacing w:val="4"/>
          <w:sz w:val="24"/>
          <w:szCs w:val="24"/>
          <w:highlight w:val="none"/>
        </w:rPr>
      </w:pPr>
      <w:r>
        <w:rPr>
          <w:rFonts w:hint="eastAsia" w:ascii="宋体" w:hAnsi="宋体"/>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单位的</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项目采购活动提供本单位制造的货物，或者提供其他残疾人福利性单位制造的货物（不包括使用非残疾人福利性单位注册商标的货物）。</w:t>
      </w:r>
    </w:p>
    <w:p w14:paraId="7C2F09C7">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本单位对上述声明的真实性负责。如有虚假，将依法承担相应责任。</w:t>
      </w:r>
    </w:p>
    <w:p w14:paraId="2FD01793">
      <w:pPr>
        <w:spacing w:line="360" w:lineRule="auto"/>
        <w:ind w:firstLine="496" w:firstLineChars="200"/>
        <w:jc w:val="left"/>
        <w:rPr>
          <w:rFonts w:ascii="宋体" w:hAnsi="宋体"/>
          <w:spacing w:val="4"/>
          <w:sz w:val="24"/>
          <w:szCs w:val="24"/>
          <w:highlight w:val="none"/>
        </w:rPr>
      </w:pPr>
    </w:p>
    <w:p w14:paraId="7FFE332B">
      <w:pPr>
        <w:spacing w:line="360" w:lineRule="auto"/>
        <w:ind w:firstLine="496" w:firstLineChars="200"/>
        <w:jc w:val="left"/>
        <w:rPr>
          <w:rFonts w:ascii="宋体" w:hAnsi="宋体"/>
          <w:spacing w:val="4"/>
          <w:sz w:val="24"/>
          <w:szCs w:val="24"/>
          <w:highlight w:val="none"/>
        </w:rPr>
      </w:pPr>
    </w:p>
    <w:p w14:paraId="111D31E5">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单位名称（盖章）：</w:t>
      </w:r>
    </w:p>
    <w:p w14:paraId="4B51C935">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日    期：</w:t>
      </w:r>
    </w:p>
    <w:p w14:paraId="1E9113B9">
      <w:pPr>
        <w:rPr>
          <w:highlight w:val="none"/>
        </w:rPr>
      </w:pPr>
    </w:p>
    <w:p w14:paraId="1151E860">
      <w:pPr>
        <w:spacing w:line="360" w:lineRule="auto"/>
        <w:jc w:val="left"/>
        <w:rPr>
          <w:rFonts w:ascii="宋体" w:hAnsi="宋体"/>
          <w:sz w:val="18"/>
          <w:szCs w:val="18"/>
          <w:highlight w:val="none"/>
        </w:rPr>
      </w:pPr>
    </w:p>
    <w:p w14:paraId="336E63E7">
      <w:pPr>
        <w:spacing w:line="588" w:lineRule="exact"/>
        <w:rPr>
          <w:rFonts w:ascii="宋体" w:hAnsi="宋体"/>
          <w:b/>
          <w:sz w:val="30"/>
          <w:szCs w:val="30"/>
          <w:highlight w:val="none"/>
        </w:rPr>
      </w:pPr>
      <w:r>
        <w:rPr>
          <w:rFonts w:ascii="宋体" w:hAnsi="宋体"/>
          <w:b/>
          <w:sz w:val="36"/>
          <w:szCs w:val="36"/>
          <w:highlight w:val="none"/>
        </w:rPr>
        <w:br w:type="page"/>
      </w:r>
      <w:r>
        <w:rPr>
          <w:rFonts w:hint="eastAsia" w:ascii="宋体" w:hAnsi="宋体"/>
          <w:b/>
          <w:sz w:val="30"/>
          <w:szCs w:val="30"/>
          <w:highlight w:val="none"/>
        </w:rPr>
        <w:t>附件3：</w:t>
      </w:r>
    </w:p>
    <w:p w14:paraId="4D25D17E">
      <w:pPr>
        <w:pStyle w:val="4"/>
        <w:ind w:firstLine="0" w:firstLineChars="0"/>
        <w:jc w:val="center"/>
        <w:rPr>
          <w:rFonts w:ascii="宋体" w:hAnsi="宋体" w:cs="宋体"/>
          <w:sz w:val="32"/>
          <w:szCs w:val="32"/>
          <w:highlight w:val="none"/>
        </w:rPr>
      </w:pPr>
      <w:bookmarkStart w:id="12" w:name="_Toc15695"/>
      <w:bookmarkStart w:id="13" w:name="_Toc27785"/>
      <w:r>
        <w:rPr>
          <w:rFonts w:hint="eastAsia" w:ascii="宋体" w:hAnsi="宋体" w:cs="宋体"/>
          <w:sz w:val="32"/>
          <w:szCs w:val="32"/>
          <w:highlight w:val="none"/>
        </w:rPr>
        <w:t>关于符合本国产品标准的声明函</w:t>
      </w:r>
      <w:bookmarkEnd w:id="12"/>
      <w:bookmarkEnd w:id="13"/>
    </w:p>
    <w:p w14:paraId="651E2586">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本公司（单位）郑重声明，根据《国务院办公厅关于在政府采购中实施本国产品标准及相关政策的通知》（国办发〔2025〕34号）的规定，本公司（单位）提供的以下产品属于本国产品。具体情况如下：</w:t>
      </w:r>
    </w:p>
    <w:p w14:paraId="4B669B99">
      <w:pPr>
        <w:spacing w:line="360" w:lineRule="auto"/>
        <w:ind w:firstLine="567"/>
        <w:rPr>
          <w:rFonts w:ascii="宋体" w:hAnsi="宋体" w:cs="宋体"/>
          <w:kern w:val="0"/>
          <w:sz w:val="24"/>
          <w:highlight w:val="none"/>
        </w:rPr>
      </w:pPr>
      <w:r>
        <w:rPr>
          <w:rFonts w:hint="eastAsia" w:ascii="宋体" w:hAnsi="宋体" w:cs="宋体"/>
          <w:kern w:val="0"/>
          <w:sz w:val="24"/>
          <w:highlight w:val="none"/>
        </w:rPr>
        <w:t>1.</w:t>
      </w:r>
      <w:r>
        <w:rPr>
          <w:rFonts w:hint="eastAsia" w:ascii="宋体" w:hAnsi="宋体" w:cs="宋体"/>
          <w:kern w:val="0"/>
          <w:sz w:val="24"/>
          <w:highlight w:val="none"/>
          <w:u w:val="single"/>
        </w:rPr>
        <w:t>（产品名称1）</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（产品名称1）</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757F54B4">
      <w:pPr>
        <w:spacing w:line="360" w:lineRule="auto"/>
        <w:ind w:firstLine="567"/>
        <w:rPr>
          <w:rFonts w:ascii="宋体" w:hAnsi="宋体" w:cs="宋体"/>
          <w:kern w:val="0"/>
          <w:sz w:val="24"/>
          <w:highlight w:val="none"/>
        </w:rPr>
      </w:pPr>
      <w:r>
        <w:rPr>
          <w:rFonts w:hint="eastAsia" w:ascii="宋体" w:hAnsi="宋体" w:cs="宋体"/>
          <w:kern w:val="0"/>
          <w:sz w:val="24"/>
          <w:highlight w:val="none"/>
        </w:rPr>
        <w:t>2.</w:t>
      </w:r>
      <w:r>
        <w:rPr>
          <w:rFonts w:hint="eastAsia" w:ascii="宋体" w:hAnsi="宋体" w:cs="宋体"/>
          <w:kern w:val="0"/>
          <w:sz w:val="24"/>
          <w:highlight w:val="none"/>
          <w:u w:val="single"/>
        </w:rPr>
        <w:t>（产品名称2）</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（产品名称2）</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（产品名称2）</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346E6FC5">
      <w:pPr>
        <w:spacing w:line="360" w:lineRule="auto"/>
        <w:ind w:firstLine="567"/>
        <w:rPr>
          <w:rFonts w:ascii="宋体" w:hAnsi="宋体" w:cs="宋体"/>
          <w:kern w:val="0"/>
          <w:sz w:val="24"/>
          <w:highlight w:val="none"/>
        </w:rPr>
      </w:pPr>
      <w:r>
        <w:rPr>
          <w:rFonts w:hint="eastAsia" w:ascii="宋体" w:hAnsi="宋体" w:cs="宋体"/>
          <w:kern w:val="0"/>
          <w:sz w:val="24"/>
          <w:highlight w:val="none"/>
        </w:rPr>
        <w:t>……</w:t>
      </w:r>
    </w:p>
    <w:p w14:paraId="1E38BA4D">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本公司（单位）对上述声明内容的真实性负责。如有虚假，愿承担相应法律责任。</w:t>
      </w:r>
    </w:p>
    <w:p w14:paraId="68E53D19">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公司（单位）名称（盖章）：　        </w:t>
      </w:r>
    </w:p>
    <w:p w14:paraId="7C91D01D">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日期：　     年　  月　  日         </w:t>
      </w:r>
    </w:p>
    <w:p w14:paraId="21EE113C">
      <w:pPr>
        <w:spacing w:line="360" w:lineRule="auto"/>
        <w:ind w:firstLine="567"/>
        <w:rPr>
          <w:rFonts w:ascii="宋体" w:hAnsi="宋体" w:cs="宋体"/>
          <w:kern w:val="0"/>
          <w:sz w:val="24"/>
          <w:highlight w:val="none"/>
        </w:rPr>
      </w:pPr>
      <w:r>
        <w:rPr>
          <w:rFonts w:hint="eastAsia" w:ascii="宋体" w:hAnsi="宋体" w:cs="宋体"/>
          <w:kern w:val="0"/>
          <w:sz w:val="24"/>
          <w:highlight w:val="none"/>
        </w:rPr>
        <w:t>__________________</w:t>
      </w:r>
    </w:p>
    <w:p w14:paraId="1B9362B0">
      <w:pPr>
        <w:spacing w:line="360" w:lineRule="auto"/>
        <w:ind w:firstLine="567"/>
        <w:rPr>
          <w:rFonts w:ascii="宋体" w:hAnsi="宋体" w:cs="宋体"/>
          <w:kern w:val="0"/>
          <w:sz w:val="24"/>
          <w:highlight w:val="none"/>
        </w:rPr>
      </w:pPr>
      <w:r>
        <w:rPr>
          <w:rFonts w:hint="eastAsia" w:ascii="宋体" w:hAnsi="宋体" w:cs="宋体"/>
          <w:kern w:val="0"/>
          <w:sz w:val="24"/>
          <w:highlight w:val="none"/>
        </w:rPr>
        <w:t>1.产品如有型号，请在“产品名称”栏一并填写。</w:t>
      </w:r>
    </w:p>
    <w:p w14:paraId="407EC910">
      <w:pPr>
        <w:spacing w:line="360" w:lineRule="auto"/>
        <w:ind w:firstLine="567"/>
        <w:rPr>
          <w:rFonts w:ascii="宋体" w:hAnsi="宋体" w:cs="宋体"/>
          <w:kern w:val="0"/>
          <w:sz w:val="24"/>
          <w:highlight w:val="none"/>
        </w:rPr>
      </w:pPr>
      <w:r>
        <w:rPr>
          <w:rFonts w:hint="eastAsia" w:ascii="宋体" w:hAnsi="宋体" w:cs="宋体"/>
          <w:kern w:val="0"/>
          <w:sz w:val="24"/>
          <w:highlight w:val="none"/>
        </w:rPr>
        <w:t>2.生产厂名与厂址应与生产厂营业执照载明的相关信息保持一致。</w:t>
      </w:r>
    </w:p>
    <w:p w14:paraId="774AFC59">
      <w:pPr>
        <w:spacing w:line="360" w:lineRule="auto"/>
        <w:ind w:firstLine="567"/>
        <w:rPr>
          <w:rFonts w:ascii="宋体" w:hAnsi="宋体" w:cs="宋体"/>
          <w:kern w:val="0"/>
          <w:sz w:val="24"/>
          <w:highlight w:val="none"/>
        </w:rPr>
      </w:pPr>
      <w:r>
        <w:rPr>
          <w:rFonts w:hint="eastAsia" w:ascii="宋体" w:hAnsi="宋体" w:cs="宋体"/>
          <w:kern w:val="0"/>
          <w:sz w:val="24"/>
          <w:highlight w:val="none"/>
        </w:rPr>
        <w:t>3.该产品的中国境内生产的组件成本占比相关要求实施前，“规定比例”栏可不填，下同。</w:t>
      </w:r>
    </w:p>
    <w:p w14:paraId="0D6FF887">
      <w:pPr>
        <w:spacing w:line="360" w:lineRule="auto"/>
        <w:ind w:firstLine="567"/>
        <w:rPr>
          <w:rFonts w:ascii="宋体" w:hAnsi="宋体" w:cs="宋体"/>
          <w:kern w:val="0"/>
          <w:sz w:val="24"/>
          <w:highlight w:val="none"/>
        </w:rPr>
      </w:pPr>
      <w:r>
        <w:rPr>
          <w:rFonts w:hint="eastAsia" w:ascii="宋体" w:hAnsi="宋体" w:cs="宋体"/>
          <w:kern w:val="0"/>
          <w:sz w:val="24"/>
          <w:highlight w:val="none"/>
        </w:rPr>
        <w:t>4.该产品的关键组件要求实施前，“关键组件”栏可不填，下同。</w:t>
      </w:r>
    </w:p>
    <w:p w14:paraId="49F36FB9">
      <w:pPr>
        <w:spacing w:line="360" w:lineRule="auto"/>
        <w:ind w:firstLine="567"/>
        <w:rPr>
          <w:rFonts w:ascii="宋体" w:hAnsi="宋体" w:cs="宋体"/>
          <w:kern w:val="0"/>
          <w:sz w:val="24"/>
          <w:highlight w:val="none"/>
        </w:rPr>
      </w:pPr>
      <w:r>
        <w:rPr>
          <w:rFonts w:hint="eastAsia" w:ascii="宋体" w:hAnsi="宋体" w:cs="宋体"/>
          <w:kern w:val="0"/>
          <w:sz w:val="24"/>
          <w:highlight w:val="none"/>
        </w:rPr>
        <w:t>5.该产品的关键工序要求实施前，“关键工序”栏可不填，下同。</w:t>
      </w:r>
    </w:p>
    <w:p w14:paraId="017E2DFD">
      <w:pPr>
        <w:spacing w:line="360" w:lineRule="auto"/>
        <w:ind w:firstLine="567"/>
        <w:rPr>
          <w:rFonts w:eastAsia="仿宋"/>
          <w:kern w:val="0"/>
          <w:sz w:val="24"/>
          <w:highlight w:val="none"/>
        </w:rPr>
      </w:pPr>
      <w:bookmarkStart w:id="14" w:name="_Toc14089"/>
      <w:r>
        <w:rPr>
          <w:rFonts w:hint="eastAsia" w:ascii="宋体" w:hAnsi="宋体" w:cs="宋体"/>
          <w:b/>
          <w:bCs/>
          <w:kern w:val="0"/>
          <w:sz w:val="24"/>
          <w:highlight w:val="none"/>
        </w:rPr>
        <w:t>注：产品在中国境内生产的组件成本，按照《中国境内生产的组件成本核算基本规则》计算。</w:t>
      </w:r>
      <w:bookmarkEnd w:id="14"/>
    </w:p>
    <w:p w14:paraId="05C0494C">
      <w:pPr>
        <w:pStyle w:val="4"/>
        <w:ind w:firstLine="0" w:firstLineChars="0"/>
        <w:jc w:val="center"/>
        <w:rPr>
          <w:rFonts w:ascii="Times New Roman" w:hAnsi="Times New Roman" w:eastAsia="仿宋"/>
          <w:sz w:val="36"/>
          <w:szCs w:val="36"/>
          <w:highlight w:val="none"/>
        </w:rPr>
      </w:pPr>
      <w:bookmarkStart w:id="15" w:name="_Toc24615"/>
    </w:p>
    <w:p w14:paraId="35B79879">
      <w:pPr>
        <w:pStyle w:val="5"/>
        <w:ind w:firstLine="720"/>
        <w:rPr>
          <w:rFonts w:eastAsia="仿宋"/>
          <w:sz w:val="36"/>
          <w:szCs w:val="36"/>
          <w:highlight w:val="none"/>
        </w:rPr>
      </w:pPr>
    </w:p>
    <w:p w14:paraId="30F54480">
      <w:pPr>
        <w:pStyle w:val="5"/>
        <w:ind w:firstLine="720"/>
        <w:rPr>
          <w:rFonts w:eastAsia="仿宋"/>
          <w:sz w:val="36"/>
          <w:szCs w:val="36"/>
          <w:highlight w:val="none"/>
        </w:rPr>
      </w:pPr>
    </w:p>
    <w:p w14:paraId="0AAE8B20">
      <w:pPr>
        <w:pStyle w:val="4"/>
        <w:ind w:firstLine="0" w:firstLineChars="0"/>
        <w:jc w:val="center"/>
        <w:rPr>
          <w:rFonts w:ascii="Times New Roman" w:hAnsi="Times New Roman" w:eastAsia="仿宋"/>
          <w:sz w:val="36"/>
          <w:szCs w:val="36"/>
          <w:highlight w:val="none"/>
        </w:rPr>
      </w:pPr>
      <w:bookmarkStart w:id="16" w:name="_Toc11620"/>
      <w:r>
        <w:rPr>
          <w:rFonts w:hint="eastAsia" w:ascii="宋体" w:hAnsi="宋体" w:cs="宋体"/>
          <w:sz w:val="32"/>
          <w:szCs w:val="32"/>
          <w:highlight w:val="none"/>
        </w:rPr>
        <w:t>中国境内生产的组件成本核算基本规则</w:t>
      </w:r>
      <w:bookmarkEnd w:id="15"/>
      <w:bookmarkEnd w:id="16"/>
    </w:p>
    <w:p w14:paraId="64A6DC66">
      <w:pPr>
        <w:spacing w:line="360" w:lineRule="auto"/>
        <w:ind w:firstLine="567"/>
        <w:rPr>
          <w:rFonts w:eastAsia="仿宋"/>
          <w:kern w:val="0"/>
          <w:sz w:val="24"/>
          <w:highlight w:val="none"/>
        </w:rPr>
      </w:pPr>
      <w:r>
        <w:rPr>
          <w:rFonts w:eastAsia="仿宋"/>
          <w:kern w:val="0"/>
          <w:sz w:val="24"/>
          <w:highlight w:val="none"/>
        </w:rPr>
        <w:t> </w:t>
      </w:r>
    </w:p>
    <w:p w14:paraId="011F1046">
      <w:pPr>
        <w:spacing w:line="360" w:lineRule="auto"/>
        <w:ind w:firstLine="480" w:firstLineChars="200"/>
        <w:rPr>
          <w:rFonts w:ascii="宋体" w:hAnsi="宋体"/>
          <w:sz w:val="24"/>
          <w:szCs w:val="24"/>
          <w:highlight w:val="none"/>
        </w:rPr>
      </w:pPr>
      <w:r>
        <w:rPr>
          <w:rFonts w:ascii="宋体" w:hAnsi="宋体"/>
          <w:sz w:val="24"/>
          <w:szCs w:val="24"/>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4525F302">
      <w:pPr>
        <w:spacing w:line="360" w:lineRule="auto"/>
        <w:ind w:firstLine="480" w:firstLineChars="200"/>
        <w:rPr>
          <w:rFonts w:ascii="宋体" w:hAnsi="宋体"/>
          <w:sz w:val="24"/>
          <w:szCs w:val="24"/>
          <w:highlight w:val="none"/>
        </w:rPr>
      </w:pPr>
      <w:r>
        <w:rPr>
          <w:rFonts w:ascii="宋体" w:hAnsi="宋体"/>
          <w:sz w:val="24"/>
          <w:szCs w:val="24"/>
          <w:highlight w:val="none"/>
        </w:rPr>
        <w:t>一、产品的一级组件是指直接组成产品的组件。产品的二级组件是指直接组成产品一级组件的组件。一级组件不可分解的，视同二级组件。</w:t>
      </w:r>
    </w:p>
    <w:p w14:paraId="16215397">
      <w:pPr>
        <w:spacing w:line="360" w:lineRule="auto"/>
        <w:ind w:firstLine="480" w:firstLineChars="200"/>
        <w:rPr>
          <w:rFonts w:ascii="宋体" w:hAnsi="宋体"/>
          <w:sz w:val="24"/>
          <w:szCs w:val="24"/>
          <w:highlight w:val="none"/>
        </w:rPr>
      </w:pPr>
      <w:r>
        <w:rPr>
          <w:rFonts w:ascii="宋体" w:hAnsi="宋体"/>
          <w:sz w:val="24"/>
          <w:szCs w:val="24"/>
          <w:highlight w:val="none"/>
        </w:rPr>
        <w:t>二、二级组件在中国境内生产的，其全部成本计入中国境内生产的组件成本；二级组件不在中国境内生产的，其成本不计入中国境内生产的组件成本。</w:t>
      </w:r>
    </w:p>
    <w:p w14:paraId="7FC7F00B">
      <w:pPr>
        <w:spacing w:line="360" w:lineRule="auto"/>
        <w:ind w:firstLine="480" w:firstLineChars="200"/>
        <w:rPr>
          <w:rFonts w:ascii="宋体" w:hAnsi="宋体"/>
          <w:sz w:val="24"/>
          <w:szCs w:val="24"/>
          <w:highlight w:val="none"/>
        </w:rPr>
      </w:pPr>
      <w:r>
        <w:rPr>
          <w:rFonts w:ascii="宋体" w:hAnsi="宋体"/>
          <w:sz w:val="24"/>
          <w:szCs w:val="24"/>
          <w:highlight w:val="none"/>
        </w:rPr>
        <w:t>三、产品总成本和组件成本以相关会计核算数据、采购合同、进货记录等为基础进行计算。</w:t>
      </w:r>
    </w:p>
    <w:p w14:paraId="5B745AA8">
      <w:pPr>
        <w:spacing w:line="360" w:lineRule="auto"/>
        <w:ind w:firstLine="480" w:firstLineChars="200"/>
        <w:rPr>
          <w:rFonts w:ascii="宋体" w:hAnsi="宋体"/>
          <w:b/>
          <w:sz w:val="30"/>
          <w:szCs w:val="30"/>
          <w:highlight w:val="none"/>
        </w:rPr>
      </w:pPr>
      <w:r>
        <w:rPr>
          <w:rFonts w:ascii="宋体" w:hAnsi="宋体"/>
          <w:sz w:val="24"/>
          <w:szCs w:val="24"/>
          <w:highlight w:val="none"/>
        </w:rPr>
        <w:t>四、需要对成本核算规则予以进一步明确的其他有关事项，由财政部会同有关部门另行规定。</w:t>
      </w:r>
    </w:p>
    <w:p w14:paraId="724A3167">
      <w:pPr>
        <w:spacing w:before="240" w:line="360" w:lineRule="auto"/>
        <w:ind w:left="1"/>
        <w:jc w:val="center"/>
        <w:rPr>
          <w:highlight w:val="none"/>
        </w:rPr>
      </w:pPr>
    </w:p>
    <w:p w14:paraId="5A9EF709">
      <w:pPr>
        <w:spacing w:before="240" w:line="360" w:lineRule="auto"/>
        <w:ind w:left="1"/>
        <w:jc w:val="center"/>
        <w:rPr>
          <w:highlight w:val="none"/>
        </w:rPr>
      </w:pPr>
    </w:p>
    <w:p w14:paraId="24EDBBEB">
      <w:pPr>
        <w:spacing w:before="240" w:line="360" w:lineRule="auto"/>
        <w:ind w:left="1"/>
        <w:jc w:val="center"/>
        <w:rPr>
          <w:highlight w:val="none"/>
        </w:rPr>
      </w:pPr>
    </w:p>
    <w:p w14:paraId="7BE96302">
      <w:pPr>
        <w:spacing w:before="240" w:line="360" w:lineRule="auto"/>
        <w:ind w:left="1"/>
        <w:jc w:val="center"/>
        <w:rPr>
          <w:highlight w:val="none"/>
        </w:rPr>
      </w:pPr>
    </w:p>
    <w:sectPr>
      <w:footerReference r:id="rId10" w:type="first"/>
      <w:footerReference r:id="rId9" w:type="default"/>
      <w:pgSz w:w="11906" w:h="16838"/>
      <w:pgMar w:top="1440" w:right="1800" w:bottom="1440" w:left="118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80C96F6-99CD-46D3-B361-93DEE57FB0B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A6B70E0-6834-41C3-A761-EA77440F3AE7}"/>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embedRegular r:id="rId3" w:fontKey="{A427631E-6BBA-47CD-BCF5-5CF99045B6D5}"/>
  </w:font>
  <w:font w:name="仿宋">
    <w:panose1 w:val="02010609060101010101"/>
    <w:charset w:val="86"/>
    <w:family w:val="modern"/>
    <w:pitch w:val="default"/>
    <w:sig w:usb0="800002BF" w:usb1="38CF7CFA" w:usb2="00000016" w:usb3="00000000" w:csb0="00040001" w:csb1="00000000"/>
    <w:embedRegular r:id="rId4" w:fontKey="{B5494F13-AB06-43C7-BB7D-867997E84405}"/>
  </w:font>
  <w:font w:name="华文楷体">
    <w:panose1 w:val="02010600040101010101"/>
    <w:charset w:val="86"/>
    <w:family w:val="auto"/>
    <w:pitch w:val="default"/>
    <w:sig w:usb0="00000287" w:usb1="080F0000" w:usb2="00000000" w:usb3="00000000" w:csb0="0004009F" w:csb1="DFD70000"/>
    <w:embedRegular r:id="rId5" w:fontKey="{1D66B7E0-A6F2-4092-B928-619B42DFEC26}"/>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方正大标宋简体">
    <w:altName w:val="宋体"/>
    <w:panose1 w:val="00000000000000000000"/>
    <w:charset w:val="86"/>
    <w:family w:val="auto"/>
    <w:pitch w:val="default"/>
    <w:sig w:usb0="00000000" w:usb1="00000000" w:usb2="00000010" w:usb3="00000000" w:csb0="00040000" w:csb1="00000000"/>
    <w:embedRegular r:id="rId6" w:fontKey="{790D6D53-6A42-43CC-B6E6-CD431A1B2D9E}"/>
  </w:font>
  <w:font w:name="Wingdings 2">
    <w:panose1 w:val="05020102010507070707"/>
    <w:charset w:val="02"/>
    <w:family w:val="roman"/>
    <w:pitch w:val="default"/>
    <w:sig w:usb0="00000000" w:usb1="00000000" w:usb2="00000000" w:usb3="00000000" w:csb0="80000000" w:csb1="00000000"/>
    <w:embedRegular r:id="rId7" w:fontKey="{D8B931E4-76B7-432B-BD8B-8D6FD0A7C8B4}"/>
  </w:font>
  <w:font w:name="Segoe UI">
    <w:panose1 w:val="020B0502040204020203"/>
    <w:charset w:val="00"/>
    <w:family w:val="swiss"/>
    <w:pitch w:val="default"/>
    <w:sig w:usb0="E4002EFF" w:usb1="C000E47F" w:usb2="00000009" w:usb3="00000000" w:csb0="200001FF" w:csb1="00000000"/>
    <w:embedRegular r:id="rId8" w:fontKey="{8F05D0AD-7AA7-4660-B6AD-C794706FD5A1}"/>
  </w:font>
  <w:font w:name="幼圆">
    <w:panose1 w:val="02010509060101010101"/>
    <w:charset w:val="86"/>
    <w:family w:val="modern"/>
    <w:pitch w:val="default"/>
    <w:sig w:usb0="00000001" w:usb1="080E0000" w:usb2="00000000" w:usb3="00000000" w:csb0="00040000" w:csb1="00000000"/>
    <w:embedRegular r:id="rId9" w:fontKey="{F5D84226-25A4-450C-BEF4-B682BEB6FBA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4D1BD">
    <w:pPr>
      <w:pStyle w:val="14"/>
      <w:framePr w:w="361" w:wrap="around" w:vAnchor="text" w:hAnchor="page" w:x="5761" w:y="-5"/>
      <w:rPr>
        <w:rStyle w:val="26"/>
      </w:rPr>
    </w:pPr>
  </w:p>
  <w:p w14:paraId="685FCD04">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6A820">
    <w:pPr>
      <w:pStyle w:val="14"/>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14:paraId="671BFEDF">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BC0B9">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64B56">
    <w:pPr>
      <w:pStyle w:val="14"/>
      <w:rPr>
        <w:rStyle w:val="26"/>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BDC3F1">
                          <w:pPr>
                            <w:pStyle w:val="14"/>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5EBDC3F1">
                    <w:pPr>
                      <w:pStyle w:val="14"/>
                    </w:pPr>
                    <w:r>
                      <w:fldChar w:fldCharType="begin"/>
                    </w:r>
                    <w:r>
                      <w:instrText xml:space="preserve"> PAGE  \* MERGEFORMAT </w:instrText>
                    </w:r>
                    <w:r>
                      <w:fldChar w:fldCharType="separate"/>
                    </w:r>
                    <w:r>
                      <w:t>50</w:t>
                    </w:r>
                    <w:r>
                      <w:fldChar w:fldCharType="end"/>
                    </w:r>
                  </w:p>
                </w:txbxContent>
              </v:textbox>
            </v:shape>
          </w:pict>
        </mc:Fallback>
      </mc:AlternateContent>
    </w:r>
  </w:p>
  <w:p w14:paraId="4174BB2A">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B5F2D">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2FAC11">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02FAC11">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0982B">
    <w:pPr>
      <w:pStyle w:val="15"/>
      <w:pBdr>
        <w:bottom w:val="none" w:color="auto" w:sz="0" w:space="0"/>
      </w:pBdr>
      <w:jc w:val="both"/>
    </w:pPr>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147955</wp:posOffset>
              </wp:positionV>
              <wp:extent cx="5257800" cy="0"/>
              <wp:effectExtent l="0" t="4445" r="0" b="5080"/>
              <wp:wrapNone/>
              <wp:docPr id="3" name="直线 1029"/>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29" o:spid="_x0000_s1026" o:spt="20" style="position:absolute;left:0pt;margin-left:0pt;margin-top:11.65pt;height:0pt;width:414pt;z-index:251659264;mso-width-relative:page;mso-height-relative:page;" filled="f" stroked="t" coordsize="21600,21600" o:gfxdata="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1ES/L0wAAAAYBAAAPAAAA&#10;AAAAAAEAIAAAACIAAABkcnMvZG93bnJldi54bWxQSwECFAAUAAAACACHTuJA/MOeXOEBAADSAwAA&#10;DgAAAAAAAAABACAAAAAiAQAAZHJzL2Uyb0RvYy54bWxQSwUGAAAAAAYABgBZAQAAdQUAAAAA&#10;">
              <v:fill on="f" focussize="0,0"/>
              <v:stroke color="#000000" joinstyle="round"/>
              <v:imagedata o:title=""/>
              <o:lock v:ext="edit" aspectratio="f"/>
            </v:line>
          </w:pict>
        </mc:Fallback>
      </mc:AlternateContent>
    </w:r>
    <w:r>
      <w:rPr>
        <w:rFonts w:hint="eastAsia"/>
      </w:rPr>
      <w:t>政府采购货物项目招标文件                                         西北（陕西）国际招标有限公司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80DA1">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34067">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54B29"/>
    <w:multiLevelType w:val="singleLevel"/>
    <w:tmpl w:val="88F54B29"/>
    <w:lvl w:ilvl="0" w:tentative="0">
      <w:start w:val="1"/>
      <w:numFmt w:val="decimal"/>
      <w:suff w:val="nothing"/>
      <w:lvlText w:val="%1、"/>
      <w:lvlJc w:val="left"/>
    </w:lvl>
  </w:abstractNum>
  <w:abstractNum w:abstractNumId="1">
    <w:nsid w:val="90A1A7C1"/>
    <w:multiLevelType w:val="singleLevel"/>
    <w:tmpl w:val="90A1A7C1"/>
    <w:lvl w:ilvl="0" w:tentative="0">
      <w:start w:val="1"/>
      <w:numFmt w:val="decimal"/>
      <w:suff w:val="nothing"/>
      <w:lvlText w:val="%1）"/>
      <w:lvlJc w:val="left"/>
    </w:lvl>
  </w:abstractNum>
  <w:abstractNum w:abstractNumId="2">
    <w:nsid w:val="D5540DBB"/>
    <w:multiLevelType w:val="singleLevel"/>
    <w:tmpl w:val="D5540DBB"/>
    <w:lvl w:ilvl="0" w:tentative="0">
      <w:start w:val="1"/>
      <w:numFmt w:val="decimal"/>
      <w:suff w:val="nothing"/>
      <w:lvlText w:val="%1）"/>
      <w:lvlJc w:val="left"/>
    </w:lvl>
  </w:abstractNum>
  <w:abstractNum w:abstractNumId="3">
    <w:nsid w:val="E24090E6"/>
    <w:multiLevelType w:val="singleLevel"/>
    <w:tmpl w:val="E24090E6"/>
    <w:lvl w:ilvl="0" w:tentative="0">
      <w:start w:val="1"/>
      <w:numFmt w:val="decimal"/>
      <w:suff w:val="nothing"/>
      <w:lvlText w:val="%1、"/>
      <w:lvlJc w:val="left"/>
    </w:lvl>
  </w:abstractNum>
  <w:abstractNum w:abstractNumId="4">
    <w:nsid w:val="FB414CEE"/>
    <w:multiLevelType w:val="singleLevel"/>
    <w:tmpl w:val="FB414CEE"/>
    <w:lvl w:ilvl="0" w:tentative="0">
      <w:start w:val="4"/>
      <w:numFmt w:val="chineseCounting"/>
      <w:suff w:val="nothing"/>
      <w:lvlText w:val="（%1）"/>
      <w:lvlJc w:val="left"/>
      <w:rPr>
        <w:rFonts w:hint="eastAsia"/>
      </w:rPr>
    </w:lvl>
  </w:abstractNum>
  <w:abstractNum w:abstractNumId="5">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6">
    <w:nsid w:val="21DF1AA5"/>
    <w:multiLevelType w:val="multilevel"/>
    <w:tmpl w:val="21DF1AA5"/>
    <w:lvl w:ilvl="0" w:tentative="0">
      <w:start w:val="1"/>
      <w:numFmt w:val="japaneseCounting"/>
      <w:lvlText w:val="（%1）"/>
      <w:lvlJc w:val="left"/>
      <w:pPr>
        <w:ind w:left="3599" w:hanging="1080"/>
      </w:pPr>
      <w:rPr>
        <w:rFonts w:hint="default"/>
      </w:rPr>
    </w:lvl>
    <w:lvl w:ilvl="1" w:tentative="0">
      <w:start w:val="1"/>
      <w:numFmt w:val="lowerLetter"/>
      <w:lvlText w:val="%2)"/>
      <w:lvlJc w:val="left"/>
      <w:pPr>
        <w:ind w:left="3359" w:hanging="420"/>
      </w:pPr>
    </w:lvl>
    <w:lvl w:ilvl="2" w:tentative="0">
      <w:start w:val="1"/>
      <w:numFmt w:val="lowerRoman"/>
      <w:lvlText w:val="%3."/>
      <w:lvlJc w:val="right"/>
      <w:pPr>
        <w:ind w:left="3779" w:hanging="420"/>
      </w:pPr>
    </w:lvl>
    <w:lvl w:ilvl="3" w:tentative="0">
      <w:start w:val="1"/>
      <w:numFmt w:val="decimal"/>
      <w:lvlText w:val="%4."/>
      <w:lvlJc w:val="left"/>
      <w:pPr>
        <w:ind w:left="4199" w:hanging="420"/>
      </w:pPr>
    </w:lvl>
    <w:lvl w:ilvl="4" w:tentative="0">
      <w:start w:val="1"/>
      <w:numFmt w:val="lowerLetter"/>
      <w:lvlText w:val="%5)"/>
      <w:lvlJc w:val="left"/>
      <w:pPr>
        <w:ind w:left="4619" w:hanging="420"/>
      </w:pPr>
    </w:lvl>
    <w:lvl w:ilvl="5" w:tentative="0">
      <w:start w:val="1"/>
      <w:numFmt w:val="lowerRoman"/>
      <w:lvlText w:val="%6."/>
      <w:lvlJc w:val="right"/>
      <w:pPr>
        <w:ind w:left="5039" w:hanging="420"/>
      </w:pPr>
    </w:lvl>
    <w:lvl w:ilvl="6" w:tentative="0">
      <w:start w:val="1"/>
      <w:numFmt w:val="decimal"/>
      <w:lvlText w:val="%7."/>
      <w:lvlJc w:val="left"/>
      <w:pPr>
        <w:ind w:left="5459" w:hanging="420"/>
      </w:pPr>
    </w:lvl>
    <w:lvl w:ilvl="7" w:tentative="0">
      <w:start w:val="1"/>
      <w:numFmt w:val="lowerLetter"/>
      <w:lvlText w:val="%8)"/>
      <w:lvlJc w:val="left"/>
      <w:pPr>
        <w:ind w:left="5879" w:hanging="420"/>
      </w:pPr>
    </w:lvl>
    <w:lvl w:ilvl="8" w:tentative="0">
      <w:start w:val="1"/>
      <w:numFmt w:val="lowerRoman"/>
      <w:lvlText w:val="%9."/>
      <w:lvlJc w:val="right"/>
      <w:pPr>
        <w:ind w:left="6299" w:hanging="420"/>
      </w:pPr>
    </w:lvl>
  </w:abstractNum>
  <w:abstractNum w:abstractNumId="7">
    <w:nsid w:val="22E44851"/>
    <w:multiLevelType w:val="multilevel"/>
    <w:tmpl w:val="22E448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abstractNum w:abstractNumId="10">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abstractNum w:abstractNumId="11">
    <w:nsid w:val="66859FF5"/>
    <w:multiLevelType w:val="singleLevel"/>
    <w:tmpl w:val="66859FF5"/>
    <w:lvl w:ilvl="0" w:tentative="0">
      <w:start w:val="1"/>
      <w:numFmt w:val="decimal"/>
      <w:suff w:val="nothing"/>
      <w:lvlText w:val="%1、"/>
      <w:lvlJc w:val="left"/>
    </w:lvl>
  </w:abstractNum>
  <w:abstractNum w:abstractNumId="12">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4"/>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2"/>
  </w:num>
  <w:num w:numId="2">
    <w:abstractNumId w:val="0"/>
  </w:num>
  <w:num w:numId="3">
    <w:abstractNumId w:val="4"/>
  </w:num>
  <w:num w:numId="4">
    <w:abstractNumId w:val="3"/>
  </w:num>
  <w:num w:numId="5">
    <w:abstractNumId w:val="7"/>
  </w:num>
  <w:num w:numId="6">
    <w:abstractNumId w:val="1"/>
  </w:num>
  <w:num w:numId="7">
    <w:abstractNumId w:val="8"/>
  </w:num>
  <w:num w:numId="8">
    <w:abstractNumId w:val="9"/>
  </w:num>
  <w:num w:numId="9">
    <w:abstractNumId w:val="5"/>
  </w:num>
  <w:num w:numId="10">
    <w:abstractNumId w:val="2"/>
  </w:num>
  <w:num w:numId="11">
    <w:abstractNumId w:val="11"/>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OGFkOTJhNTlhOGIwMzA4NDgwMjkxMWI4ODUzMGUifQ=="/>
  </w:docVars>
  <w:rsids>
    <w:rsidRoot w:val="00FB25EC"/>
    <w:rsid w:val="0000130B"/>
    <w:rsid w:val="00003ED1"/>
    <w:rsid w:val="0000441E"/>
    <w:rsid w:val="00004514"/>
    <w:rsid w:val="0000467C"/>
    <w:rsid w:val="00004B36"/>
    <w:rsid w:val="00005A5B"/>
    <w:rsid w:val="00007DA5"/>
    <w:rsid w:val="00011849"/>
    <w:rsid w:val="000129C3"/>
    <w:rsid w:val="000153A7"/>
    <w:rsid w:val="00016074"/>
    <w:rsid w:val="00016747"/>
    <w:rsid w:val="00016780"/>
    <w:rsid w:val="0001730A"/>
    <w:rsid w:val="00022FC2"/>
    <w:rsid w:val="00023C67"/>
    <w:rsid w:val="0002628F"/>
    <w:rsid w:val="00026A83"/>
    <w:rsid w:val="00026B18"/>
    <w:rsid w:val="00027245"/>
    <w:rsid w:val="00027DC9"/>
    <w:rsid w:val="00034064"/>
    <w:rsid w:val="00037C50"/>
    <w:rsid w:val="00040005"/>
    <w:rsid w:val="00041008"/>
    <w:rsid w:val="000418CD"/>
    <w:rsid w:val="000423AB"/>
    <w:rsid w:val="00042AB8"/>
    <w:rsid w:val="00043C34"/>
    <w:rsid w:val="000442B2"/>
    <w:rsid w:val="000451EB"/>
    <w:rsid w:val="000458B0"/>
    <w:rsid w:val="000468C6"/>
    <w:rsid w:val="00047EB8"/>
    <w:rsid w:val="00051277"/>
    <w:rsid w:val="00051F1D"/>
    <w:rsid w:val="00052D57"/>
    <w:rsid w:val="00054063"/>
    <w:rsid w:val="00054D22"/>
    <w:rsid w:val="0005565B"/>
    <w:rsid w:val="00056B70"/>
    <w:rsid w:val="000607CC"/>
    <w:rsid w:val="00060FB1"/>
    <w:rsid w:val="00061B95"/>
    <w:rsid w:val="0006212D"/>
    <w:rsid w:val="0006336A"/>
    <w:rsid w:val="00063B47"/>
    <w:rsid w:val="00064A58"/>
    <w:rsid w:val="0006557E"/>
    <w:rsid w:val="00065781"/>
    <w:rsid w:val="00067555"/>
    <w:rsid w:val="00067849"/>
    <w:rsid w:val="00067F43"/>
    <w:rsid w:val="00071CF6"/>
    <w:rsid w:val="0007245B"/>
    <w:rsid w:val="0007404B"/>
    <w:rsid w:val="0007422F"/>
    <w:rsid w:val="00074846"/>
    <w:rsid w:val="000757A9"/>
    <w:rsid w:val="00080978"/>
    <w:rsid w:val="00081947"/>
    <w:rsid w:val="0008287A"/>
    <w:rsid w:val="00083D6D"/>
    <w:rsid w:val="0008551A"/>
    <w:rsid w:val="00085C2E"/>
    <w:rsid w:val="00086F3B"/>
    <w:rsid w:val="00087BEB"/>
    <w:rsid w:val="000913F1"/>
    <w:rsid w:val="000918D0"/>
    <w:rsid w:val="000932A5"/>
    <w:rsid w:val="0009344A"/>
    <w:rsid w:val="00095542"/>
    <w:rsid w:val="00095665"/>
    <w:rsid w:val="00097A8A"/>
    <w:rsid w:val="000A65C1"/>
    <w:rsid w:val="000A6A34"/>
    <w:rsid w:val="000A6CDF"/>
    <w:rsid w:val="000A73D3"/>
    <w:rsid w:val="000B0971"/>
    <w:rsid w:val="000B1E4C"/>
    <w:rsid w:val="000B2B57"/>
    <w:rsid w:val="000B370F"/>
    <w:rsid w:val="000B43C5"/>
    <w:rsid w:val="000B4788"/>
    <w:rsid w:val="000B4D0D"/>
    <w:rsid w:val="000B506C"/>
    <w:rsid w:val="000C035E"/>
    <w:rsid w:val="000C19DD"/>
    <w:rsid w:val="000C1C60"/>
    <w:rsid w:val="000C1D92"/>
    <w:rsid w:val="000C21B0"/>
    <w:rsid w:val="000C709E"/>
    <w:rsid w:val="000D1D7C"/>
    <w:rsid w:val="000D43CF"/>
    <w:rsid w:val="000D4713"/>
    <w:rsid w:val="000D4DF5"/>
    <w:rsid w:val="000D66EC"/>
    <w:rsid w:val="000E054D"/>
    <w:rsid w:val="000E31DA"/>
    <w:rsid w:val="000E4596"/>
    <w:rsid w:val="000E7915"/>
    <w:rsid w:val="000F068D"/>
    <w:rsid w:val="000F0DDA"/>
    <w:rsid w:val="000F1652"/>
    <w:rsid w:val="000F1FD6"/>
    <w:rsid w:val="000F3786"/>
    <w:rsid w:val="000F411A"/>
    <w:rsid w:val="000F489A"/>
    <w:rsid w:val="000F4952"/>
    <w:rsid w:val="000F4B75"/>
    <w:rsid w:val="000F57F9"/>
    <w:rsid w:val="000F5A18"/>
    <w:rsid w:val="000F5D17"/>
    <w:rsid w:val="000F6855"/>
    <w:rsid w:val="000F7B51"/>
    <w:rsid w:val="000F7CEB"/>
    <w:rsid w:val="00101AE8"/>
    <w:rsid w:val="00101AF2"/>
    <w:rsid w:val="00101DA2"/>
    <w:rsid w:val="00102615"/>
    <w:rsid w:val="00104DBB"/>
    <w:rsid w:val="00110184"/>
    <w:rsid w:val="00112396"/>
    <w:rsid w:val="00114C16"/>
    <w:rsid w:val="00115AFB"/>
    <w:rsid w:val="00115C5C"/>
    <w:rsid w:val="00116585"/>
    <w:rsid w:val="00117742"/>
    <w:rsid w:val="00117EF8"/>
    <w:rsid w:val="00117FE5"/>
    <w:rsid w:val="001219AA"/>
    <w:rsid w:val="00121CBE"/>
    <w:rsid w:val="0012601E"/>
    <w:rsid w:val="001268B0"/>
    <w:rsid w:val="00126C2E"/>
    <w:rsid w:val="00130B03"/>
    <w:rsid w:val="0013291C"/>
    <w:rsid w:val="00133C29"/>
    <w:rsid w:val="00134290"/>
    <w:rsid w:val="00134C00"/>
    <w:rsid w:val="00135568"/>
    <w:rsid w:val="00136826"/>
    <w:rsid w:val="00141A1E"/>
    <w:rsid w:val="0014342C"/>
    <w:rsid w:val="0014346A"/>
    <w:rsid w:val="0014368E"/>
    <w:rsid w:val="00145F12"/>
    <w:rsid w:val="001461FB"/>
    <w:rsid w:val="00147BA8"/>
    <w:rsid w:val="00150B16"/>
    <w:rsid w:val="001510CE"/>
    <w:rsid w:val="001512DF"/>
    <w:rsid w:val="0015208D"/>
    <w:rsid w:val="00153148"/>
    <w:rsid w:val="0015376C"/>
    <w:rsid w:val="00153BAA"/>
    <w:rsid w:val="0015514B"/>
    <w:rsid w:val="0015560D"/>
    <w:rsid w:val="0015704F"/>
    <w:rsid w:val="001574B1"/>
    <w:rsid w:val="00161BB3"/>
    <w:rsid w:val="00162180"/>
    <w:rsid w:val="00162848"/>
    <w:rsid w:val="00162DD7"/>
    <w:rsid w:val="001630FA"/>
    <w:rsid w:val="00163C85"/>
    <w:rsid w:val="00165E30"/>
    <w:rsid w:val="00166A16"/>
    <w:rsid w:val="00167DD3"/>
    <w:rsid w:val="0017046E"/>
    <w:rsid w:val="00170B81"/>
    <w:rsid w:val="00170CDA"/>
    <w:rsid w:val="00171421"/>
    <w:rsid w:val="00172088"/>
    <w:rsid w:val="00172374"/>
    <w:rsid w:val="00175F35"/>
    <w:rsid w:val="001764F7"/>
    <w:rsid w:val="00176DD9"/>
    <w:rsid w:val="00177B65"/>
    <w:rsid w:val="00177DAE"/>
    <w:rsid w:val="00183581"/>
    <w:rsid w:val="00184062"/>
    <w:rsid w:val="00184BA6"/>
    <w:rsid w:val="00185FD9"/>
    <w:rsid w:val="00186444"/>
    <w:rsid w:val="00187C90"/>
    <w:rsid w:val="00193A29"/>
    <w:rsid w:val="0019442E"/>
    <w:rsid w:val="00194E3B"/>
    <w:rsid w:val="001959FC"/>
    <w:rsid w:val="00195EBF"/>
    <w:rsid w:val="00196562"/>
    <w:rsid w:val="001A0E3F"/>
    <w:rsid w:val="001A0E5E"/>
    <w:rsid w:val="001A14B5"/>
    <w:rsid w:val="001A28D3"/>
    <w:rsid w:val="001A3D25"/>
    <w:rsid w:val="001A52A9"/>
    <w:rsid w:val="001A52BF"/>
    <w:rsid w:val="001A7B80"/>
    <w:rsid w:val="001B2458"/>
    <w:rsid w:val="001B37BD"/>
    <w:rsid w:val="001B3B69"/>
    <w:rsid w:val="001B51EA"/>
    <w:rsid w:val="001B5FA5"/>
    <w:rsid w:val="001B7C58"/>
    <w:rsid w:val="001C00E0"/>
    <w:rsid w:val="001C05B0"/>
    <w:rsid w:val="001C20F6"/>
    <w:rsid w:val="001C389D"/>
    <w:rsid w:val="001C42B1"/>
    <w:rsid w:val="001C42DD"/>
    <w:rsid w:val="001C46BD"/>
    <w:rsid w:val="001C49B1"/>
    <w:rsid w:val="001C5F42"/>
    <w:rsid w:val="001C64BA"/>
    <w:rsid w:val="001D171D"/>
    <w:rsid w:val="001D1DA0"/>
    <w:rsid w:val="001D23A6"/>
    <w:rsid w:val="001D4D68"/>
    <w:rsid w:val="001D5128"/>
    <w:rsid w:val="001D5EB4"/>
    <w:rsid w:val="001D667A"/>
    <w:rsid w:val="001D6818"/>
    <w:rsid w:val="001E0350"/>
    <w:rsid w:val="001E47DD"/>
    <w:rsid w:val="001E519D"/>
    <w:rsid w:val="001E6791"/>
    <w:rsid w:val="001E70D6"/>
    <w:rsid w:val="001E74B1"/>
    <w:rsid w:val="001E7FDF"/>
    <w:rsid w:val="001F02DA"/>
    <w:rsid w:val="001F0533"/>
    <w:rsid w:val="001F3A62"/>
    <w:rsid w:val="001F3E72"/>
    <w:rsid w:val="001F45F5"/>
    <w:rsid w:val="001F480D"/>
    <w:rsid w:val="001F67BE"/>
    <w:rsid w:val="002001CC"/>
    <w:rsid w:val="00200D3C"/>
    <w:rsid w:val="00200E74"/>
    <w:rsid w:val="002014C1"/>
    <w:rsid w:val="0020330F"/>
    <w:rsid w:val="0020413F"/>
    <w:rsid w:val="002051E7"/>
    <w:rsid w:val="00206D54"/>
    <w:rsid w:val="00206DA2"/>
    <w:rsid w:val="00207A8F"/>
    <w:rsid w:val="00207CB5"/>
    <w:rsid w:val="0021153E"/>
    <w:rsid w:val="00211E16"/>
    <w:rsid w:val="002123A5"/>
    <w:rsid w:val="00212966"/>
    <w:rsid w:val="00213623"/>
    <w:rsid w:val="00213665"/>
    <w:rsid w:val="00215310"/>
    <w:rsid w:val="002177E0"/>
    <w:rsid w:val="00217B64"/>
    <w:rsid w:val="002214C7"/>
    <w:rsid w:val="00221DDD"/>
    <w:rsid w:val="00222A7A"/>
    <w:rsid w:val="0022439F"/>
    <w:rsid w:val="00225197"/>
    <w:rsid w:val="00227834"/>
    <w:rsid w:val="00227E45"/>
    <w:rsid w:val="002305EC"/>
    <w:rsid w:val="0023310E"/>
    <w:rsid w:val="00234EA1"/>
    <w:rsid w:val="00235AB9"/>
    <w:rsid w:val="00235F91"/>
    <w:rsid w:val="00237126"/>
    <w:rsid w:val="00237E34"/>
    <w:rsid w:val="00240CE6"/>
    <w:rsid w:val="00240FB8"/>
    <w:rsid w:val="0024133E"/>
    <w:rsid w:val="00241CC1"/>
    <w:rsid w:val="00243173"/>
    <w:rsid w:val="0024319D"/>
    <w:rsid w:val="00244255"/>
    <w:rsid w:val="00244497"/>
    <w:rsid w:val="00246EE3"/>
    <w:rsid w:val="002477D5"/>
    <w:rsid w:val="0025122B"/>
    <w:rsid w:val="00251D54"/>
    <w:rsid w:val="0025203B"/>
    <w:rsid w:val="00253808"/>
    <w:rsid w:val="002556FF"/>
    <w:rsid w:val="00255BBF"/>
    <w:rsid w:val="00260870"/>
    <w:rsid w:val="002625BF"/>
    <w:rsid w:val="002627B2"/>
    <w:rsid w:val="00262E6C"/>
    <w:rsid w:val="00267406"/>
    <w:rsid w:val="002713A9"/>
    <w:rsid w:val="00271F17"/>
    <w:rsid w:val="00272B2A"/>
    <w:rsid w:val="00272E02"/>
    <w:rsid w:val="002734AE"/>
    <w:rsid w:val="00274124"/>
    <w:rsid w:val="00280454"/>
    <w:rsid w:val="0028204F"/>
    <w:rsid w:val="00286146"/>
    <w:rsid w:val="0028781A"/>
    <w:rsid w:val="00287F36"/>
    <w:rsid w:val="0029190E"/>
    <w:rsid w:val="002932B6"/>
    <w:rsid w:val="00293E21"/>
    <w:rsid w:val="00297303"/>
    <w:rsid w:val="00297B68"/>
    <w:rsid w:val="002A0927"/>
    <w:rsid w:val="002A0D8E"/>
    <w:rsid w:val="002A2553"/>
    <w:rsid w:val="002A499D"/>
    <w:rsid w:val="002A56A6"/>
    <w:rsid w:val="002A680E"/>
    <w:rsid w:val="002A7198"/>
    <w:rsid w:val="002A7DFB"/>
    <w:rsid w:val="002B1ADF"/>
    <w:rsid w:val="002B352D"/>
    <w:rsid w:val="002B3EEA"/>
    <w:rsid w:val="002B460E"/>
    <w:rsid w:val="002B5CAC"/>
    <w:rsid w:val="002B768F"/>
    <w:rsid w:val="002C16DB"/>
    <w:rsid w:val="002C3C4A"/>
    <w:rsid w:val="002C3F7B"/>
    <w:rsid w:val="002C41D6"/>
    <w:rsid w:val="002C4E40"/>
    <w:rsid w:val="002C4F3E"/>
    <w:rsid w:val="002D22BD"/>
    <w:rsid w:val="002D296B"/>
    <w:rsid w:val="002D2A46"/>
    <w:rsid w:val="002D336A"/>
    <w:rsid w:val="002D3A69"/>
    <w:rsid w:val="002D4329"/>
    <w:rsid w:val="002D7282"/>
    <w:rsid w:val="002D7B33"/>
    <w:rsid w:val="002E062F"/>
    <w:rsid w:val="002E1B10"/>
    <w:rsid w:val="002E38B8"/>
    <w:rsid w:val="002E3BFA"/>
    <w:rsid w:val="002E440F"/>
    <w:rsid w:val="002E5211"/>
    <w:rsid w:val="002E5EF6"/>
    <w:rsid w:val="002E689C"/>
    <w:rsid w:val="002E7037"/>
    <w:rsid w:val="002E7075"/>
    <w:rsid w:val="002F200F"/>
    <w:rsid w:val="002F2449"/>
    <w:rsid w:val="002F28A8"/>
    <w:rsid w:val="002F6CB1"/>
    <w:rsid w:val="003005A9"/>
    <w:rsid w:val="003005C5"/>
    <w:rsid w:val="00300BFD"/>
    <w:rsid w:val="0030159A"/>
    <w:rsid w:val="003030B1"/>
    <w:rsid w:val="003047A3"/>
    <w:rsid w:val="003110D8"/>
    <w:rsid w:val="003148EC"/>
    <w:rsid w:val="00315F1B"/>
    <w:rsid w:val="00316A26"/>
    <w:rsid w:val="003218CF"/>
    <w:rsid w:val="00321A18"/>
    <w:rsid w:val="00321F16"/>
    <w:rsid w:val="00323914"/>
    <w:rsid w:val="003241D8"/>
    <w:rsid w:val="00325A85"/>
    <w:rsid w:val="00326773"/>
    <w:rsid w:val="003268EA"/>
    <w:rsid w:val="003269EE"/>
    <w:rsid w:val="003277CA"/>
    <w:rsid w:val="00331387"/>
    <w:rsid w:val="00331602"/>
    <w:rsid w:val="0033295F"/>
    <w:rsid w:val="00332DF3"/>
    <w:rsid w:val="00333B56"/>
    <w:rsid w:val="00334947"/>
    <w:rsid w:val="0033542E"/>
    <w:rsid w:val="00335521"/>
    <w:rsid w:val="00335ADC"/>
    <w:rsid w:val="00335C94"/>
    <w:rsid w:val="003405C4"/>
    <w:rsid w:val="00341419"/>
    <w:rsid w:val="003435F5"/>
    <w:rsid w:val="003438C0"/>
    <w:rsid w:val="00344580"/>
    <w:rsid w:val="00345DEB"/>
    <w:rsid w:val="00350D57"/>
    <w:rsid w:val="00352773"/>
    <w:rsid w:val="00352BF0"/>
    <w:rsid w:val="003532E1"/>
    <w:rsid w:val="003546ED"/>
    <w:rsid w:val="00354B75"/>
    <w:rsid w:val="00355BDE"/>
    <w:rsid w:val="00356250"/>
    <w:rsid w:val="003575D8"/>
    <w:rsid w:val="00357DB2"/>
    <w:rsid w:val="00360318"/>
    <w:rsid w:val="00360470"/>
    <w:rsid w:val="003611D2"/>
    <w:rsid w:val="00361BCF"/>
    <w:rsid w:val="003624BB"/>
    <w:rsid w:val="003625D1"/>
    <w:rsid w:val="0036400C"/>
    <w:rsid w:val="00366946"/>
    <w:rsid w:val="00367B77"/>
    <w:rsid w:val="00370C49"/>
    <w:rsid w:val="00372FB9"/>
    <w:rsid w:val="0037457E"/>
    <w:rsid w:val="003753B6"/>
    <w:rsid w:val="003758F0"/>
    <w:rsid w:val="003767A0"/>
    <w:rsid w:val="00376A3E"/>
    <w:rsid w:val="0038059D"/>
    <w:rsid w:val="00382D27"/>
    <w:rsid w:val="00383F52"/>
    <w:rsid w:val="003858BF"/>
    <w:rsid w:val="00386F86"/>
    <w:rsid w:val="003872B6"/>
    <w:rsid w:val="00387751"/>
    <w:rsid w:val="003879CD"/>
    <w:rsid w:val="00387E51"/>
    <w:rsid w:val="0039100B"/>
    <w:rsid w:val="00392534"/>
    <w:rsid w:val="00393610"/>
    <w:rsid w:val="003945CC"/>
    <w:rsid w:val="0039485C"/>
    <w:rsid w:val="0039666E"/>
    <w:rsid w:val="003966DD"/>
    <w:rsid w:val="00396AA4"/>
    <w:rsid w:val="00397254"/>
    <w:rsid w:val="003A2CCD"/>
    <w:rsid w:val="003A5342"/>
    <w:rsid w:val="003A58E0"/>
    <w:rsid w:val="003A5D22"/>
    <w:rsid w:val="003A72C0"/>
    <w:rsid w:val="003B0890"/>
    <w:rsid w:val="003B0D07"/>
    <w:rsid w:val="003B11EB"/>
    <w:rsid w:val="003B1872"/>
    <w:rsid w:val="003B2684"/>
    <w:rsid w:val="003B4D7B"/>
    <w:rsid w:val="003B51B0"/>
    <w:rsid w:val="003B5682"/>
    <w:rsid w:val="003B5AD0"/>
    <w:rsid w:val="003B7ECD"/>
    <w:rsid w:val="003C0972"/>
    <w:rsid w:val="003C271F"/>
    <w:rsid w:val="003C3E87"/>
    <w:rsid w:val="003C417B"/>
    <w:rsid w:val="003C4876"/>
    <w:rsid w:val="003C4EFC"/>
    <w:rsid w:val="003C5B32"/>
    <w:rsid w:val="003C5D07"/>
    <w:rsid w:val="003C751D"/>
    <w:rsid w:val="003D1FAB"/>
    <w:rsid w:val="003D27BF"/>
    <w:rsid w:val="003D2D23"/>
    <w:rsid w:val="003D2E9D"/>
    <w:rsid w:val="003D4AAD"/>
    <w:rsid w:val="003D5517"/>
    <w:rsid w:val="003D5728"/>
    <w:rsid w:val="003D7745"/>
    <w:rsid w:val="003D78DA"/>
    <w:rsid w:val="003E0C56"/>
    <w:rsid w:val="003E0CDF"/>
    <w:rsid w:val="003E0E16"/>
    <w:rsid w:val="003E233C"/>
    <w:rsid w:val="003E4E67"/>
    <w:rsid w:val="003E6217"/>
    <w:rsid w:val="003E7462"/>
    <w:rsid w:val="003E7845"/>
    <w:rsid w:val="003E7CB1"/>
    <w:rsid w:val="003E7EBE"/>
    <w:rsid w:val="003F1094"/>
    <w:rsid w:val="003F147C"/>
    <w:rsid w:val="003F1CB3"/>
    <w:rsid w:val="003F426D"/>
    <w:rsid w:val="003F5199"/>
    <w:rsid w:val="003F66E6"/>
    <w:rsid w:val="003F6FC1"/>
    <w:rsid w:val="00401797"/>
    <w:rsid w:val="00401B72"/>
    <w:rsid w:val="00401BC9"/>
    <w:rsid w:val="00402A65"/>
    <w:rsid w:val="00404803"/>
    <w:rsid w:val="0040480A"/>
    <w:rsid w:val="0040684C"/>
    <w:rsid w:val="004110A8"/>
    <w:rsid w:val="00411B03"/>
    <w:rsid w:val="00411E23"/>
    <w:rsid w:val="004127CC"/>
    <w:rsid w:val="00413887"/>
    <w:rsid w:val="0041502E"/>
    <w:rsid w:val="004158A1"/>
    <w:rsid w:val="00416193"/>
    <w:rsid w:val="00422EAE"/>
    <w:rsid w:val="0042320F"/>
    <w:rsid w:val="00423AC8"/>
    <w:rsid w:val="00424078"/>
    <w:rsid w:val="004278BE"/>
    <w:rsid w:val="004307BA"/>
    <w:rsid w:val="004310D7"/>
    <w:rsid w:val="00432361"/>
    <w:rsid w:val="00433259"/>
    <w:rsid w:val="004333CD"/>
    <w:rsid w:val="004353F8"/>
    <w:rsid w:val="004357CC"/>
    <w:rsid w:val="00436FF7"/>
    <w:rsid w:val="004374DF"/>
    <w:rsid w:val="0044075E"/>
    <w:rsid w:val="00444096"/>
    <w:rsid w:val="00445642"/>
    <w:rsid w:val="00452E96"/>
    <w:rsid w:val="004547CE"/>
    <w:rsid w:val="00454E10"/>
    <w:rsid w:val="004558B5"/>
    <w:rsid w:val="00456C08"/>
    <w:rsid w:val="0046187C"/>
    <w:rsid w:val="0046204A"/>
    <w:rsid w:val="0046205B"/>
    <w:rsid w:val="00462EC8"/>
    <w:rsid w:val="00463657"/>
    <w:rsid w:val="00465755"/>
    <w:rsid w:val="00467835"/>
    <w:rsid w:val="00467B98"/>
    <w:rsid w:val="00471982"/>
    <w:rsid w:val="00471DB6"/>
    <w:rsid w:val="00471F96"/>
    <w:rsid w:val="0047258D"/>
    <w:rsid w:val="0047382C"/>
    <w:rsid w:val="00474146"/>
    <w:rsid w:val="00474E08"/>
    <w:rsid w:val="00475D26"/>
    <w:rsid w:val="00476FB3"/>
    <w:rsid w:val="00480755"/>
    <w:rsid w:val="00484058"/>
    <w:rsid w:val="004841FC"/>
    <w:rsid w:val="00484341"/>
    <w:rsid w:val="00485D66"/>
    <w:rsid w:val="004869AE"/>
    <w:rsid w:val="00486A0C"/>
    <w:rsid w:val="0049239D"/>
    <w:rsid w:val="0049420E"/>
    <w:rsid w:val="00495CE9"/>
    <w:rsid w:val="00495ED2"/>
    <w:rsid w:val="00497681"/>
    <w:rsid w:val="004A0315"/>
    <w:rsid w:val="004A1C21"/>
    <w:rsid w:val="004A2189"/>
    <w:rsid w:val="004A4A8E"/>
    <w:rsid w:val="004A51C4"/>
    <w:rsid w:val="004A5435"/>
    <w:rsid w:val="004A5440"/>
    <w:rsid w:val="004A54F0"/>
    <w:rsid w:val="004A6C2B"/>
    <w:rsid w:val="004A7E63"/>
    <w:rsid w:val="004B01AA"/>
    <w:rsid w:val="004B0890"/>
    <w:rsid w:val="004B26EA"/>
    <w:rsid w:val="004B2AC1"/>
    <w:rsid w:val="004B34B6"/>
    <w:rsid w:val="004B5E5E"/>
    <w:rsid w:val="004B62BA"/>
    <w:rsid w:val="004B7FFE"/>
    <w:rsid w:val="004C0C5F"/>
    <w:rsid w:val="004C0D52"/>
    <w:rsid w:val="004C22EE"/>
    <w:rsid w:val="004C2D64"/>
    <w:rsid w:val="004C49E4"/>
    <w:rsid w:val="004C4E0A"/>
    <w:rsid w:val="004C5E24"/>
    <w:rsid w:val="004C621F"/>
    <w:rsid w:val="004C633F"/>
    <w:rsid w:val="004C64D4"/>
    <w:rsid w:val="004C6D7C"/>
    <w:rsid w:val="004D104C"/>
    <w:rsid w:val="004D1CD1"/>
    <w:rsid w:val="004D4733"/>
    <w:rsid w:val="004D54AA"/>
    <w:rsid w:val="004D5E9F"/>
    <w:rsid w:val="004D7791"/>
    <w:rsid w:val="004E1D17"/>
    <w:rsid w:val="004E1E47"/>
    <w:rsid w:val="004E26A0"/>
    <w:rsid w:val="004E4CF1"/>
    <w:rsid w:val="004E5220"/>
    <w:rsid w:val="004E5727"/>
    <w:rsid w:val="004E594D"/>
    <w:rsid w:val="004E5B81"/>
    <w:rsid w:val="004F0C9D"/>
    <w:rsid w:val="004F1172"/>
    <w:rsid w:val="004F1E4C"/>
    <w:rsid w:val="004F1EB8"/>
    <w:rsid w:val="004F228D"/>
    <w:rsid w:val="004F29AD"/>
    <w:rsid w:val="004F3B90"/>
    <w:rsid w:val="004F64F4"/>
    <w:rsid w:val="004F73E2"/>
    <w:rsid w:val="005012B4"/>
    <w:rsid w:val="005021EB"/>
    <w:rsid w:val="0050285E"/>
    <w:rsid w:val="005028E0"/>
    <w:rsid w:val="00503D96"/>
    <w:rsid w:val="00504D6D"/>
    <w:rsid w:val="00505435"/>
    <w:rsid w:val="00505C42"/>
    <w:rsid w:val="00506E62"/>
    <w:rsid w:val="0050722A"/>
    <w:rsid w:val="00507420"/>
    <w:rsid w:val="005074F4"/>
    <w:rsid w:val="0050765A"/>
    <w:rsid w:val="00507970"/>
    <w:rsid w:val="00511C7B"/>
    <w:rsid w:val="005130C1"/>
    <w:rsid w:val="0051471C"/>
    <w:rsid w:val="00514E94"/>
    <w:rsid w:val="00516F2E"/>
    <w:rsid w:val="005179BC"/>
    <w:rsid w:val="00517DE9"/>
    <w:rsid w:val="00520219"/>
    <w:rsid w:val="00520812"/>
    <w:rsid w:val="00522959"/>
    <w:rsid w:val="00522F92"/>
    <w:rsid w:val="00526256"/>
    <w:rsid w:val="00527B41"/>
    <w:rsid w:val="00527E65"/>
    <w:rsid w:val="0053005D"/>
    <w:rsid w:val="00531E2C"/>
    <w:rsid w:val="005335D7"/>
    <w:rsid w:val="00533631"/>
    <w:rsid w:val="00534945"/>
    <w:rsid w:val="00535A64"/>
    <w:rsid w:val="00535D1C"/>
    <w:rsid w:val="00535D5B"/>
    <w:rsid w:val="00536248"/>
    <w:rsid w:val="005371B1"/>
    <w:rsid w:val="005371B9"/>
    <w:rsid w:val="00537A0A"/>
    <w:rsid w:val="00540895"/>
    <w:rsid w:val="00545500"/>
    <w:rsid w:val="005460A6"/>
    <w:rsid w:val="005471E2"/>
    <w:rsid w:val="005479EC"/>
    <w:rsid w:val="005506F7"/>
    <w:rsid w:val="005508F7"/>
    <w:rsid w:val="00550CA9"/>
    <w:rsid w:val="005513DA"/>
    <w:rsid w:val="00553B92"/>
    <w:rsid w:val="00553C40"/>
    <w:rsid w:val="00555248"/>
    <w:rsid w:val="00555BA6"/>
    <w:rsid w:val="00555BAC"/>
    <w:rsid w:val="0055706B"/>
    <w:rsid w:val="005603C3"/>
    <w:rsid w:val="00560F36"/>
    <w:rsid w:val="0056231D"/>
    <w:rsid w:val="00562BFF"/>
    <w:rsid w:val="005643C6"/>
    <w:rsid w:val="00565411"/>
    <w:rsid w:val="005660DC"/>
    <w:rsid w:val="00566DFB"/>
    <w:rsid w:val="005679C2"/>
    <w:rsid w:val="00572851"/>
    <w:rsid w:val="005735F0"/>
    <w:rsid w:val="0057581A"/>
    <w:rsid w:val="00575F22"/>
    <w:rsid w:val="005801A3"/>
    <w:rsid w:val="00580614"/>
    <w:rsid w:val="00581087"/>
    <w:rsid w:val="00581C22"/>
    <w:rsid w:val="00581FA9"/>
    <w:rsid w:val="005822C6"/>
    <w:rsid w:val="005827C8"/>
    <w:rsid w:val="00582A5F"/>
    <w:rsid w:val="005833D4"/>
    <w:rsid w:val="0058562C"/>
    <w:rsid w:val="005858D9"/>
    <w:rsid w:val="00586FE5"/>
    <w:rsid w:val="005871BA"/>
    <w:rsid w:val="005878B2"/>
    <w:rsid w:val="00590A94"/>
    <w:rsid w:val="00590B44"/>
    <w:rsid w:val="00592456"/>
    <w:rsid w:val="00592A8B"/>
    <w:rsid w:val="00593243"/>
    <w:rsid w:val="00594EEC"/>
    <w:rsid w:val="005A0976"/>
    <w:rsid w:val="005A204C"/>
    <w:rsid w:val="005A224C"/>
    <w:rsid w:val="005A25B8"/>
    <w:rsid w:val="005A2B19"/>
    <w:rsid w:val="005A2B50"/>
    <w:rsid w:val="005A2D5C"/>
    <w:rsid w:val="005A3505"/>
    <w:rsid w:val="005A4C9F"/>
    <w:rsid w:val="005A7B03"/>
    <w:rsid w:val="005B040B"/>
    <w:rsid w:val="005B21A2"/>
    <w:rsid w:val="005B360D"/>
    <w:rsid w:val="005B41DE"/>
    <w:rsid w:val="005B4522"/>
    <w:rsid w:val="005B48B1"/>
    <w:rsid w:val="005B494F"/>
    <w:rsid w:val="005B4C1B"/>
    <w:rsid w:val="005B5B60"/>
    <w:rsid w:val="005B7563"/>
    <w:rsid w:val="005C1BEC"/>
    <w:rsid w:val="005C3339"/>
    <w:rsid w:val="005C3393"/>
    <w:rsid w:val="005C5DD2"/>
    <w:rsid w:val="005D0520"/>
    <w:rsid w:val="005D231A"/>
    <w:rsid w:val="005D26DA"/>
    <w:rsid w:val="005D2AB9"/>
    <w:rsid w:val="005D2E5B"/>
    <w:rsid w:val="005D3F68"/>
    <w:rsid w:val="005D504B"/>
    <w:rsid w:val="005D7F96"/>
    <w:rsid w:val="005E0B73"/>
    <w:rsid w:val="005E1B0D"/>
    <w:rsid w:val="005E2B54"/>
    <w:rsid w:val="005E2F8C"/>
    <w:rsid w:val="005E3F73"/>
    <w:rsid w:val="005E4EE7"/>
    <w:rsid w:val="005E79DD"/>
    <w:rsid w:val="005F19AD"/>
    <w:rsid w:val="005F1B9D"/>
    <w:rsid w:val="005F4D0F"/>
    <w:rsid w:val="005F5760"/>
    <w:rsid w:val="005F5C4C"/>
    <w:rsid w:val="005F5E4F"/>
    <w:rsid w:val="005F607A"/>
    <w:rsid w:val="005F6E8D"/>
    <w:rsid w:val="00600F34"/>
    <w:rsid w:val="0060209F"/>
    <w:rsid w:val="00602516"/>
    <w:rsid w:val="00602650"/>
    <w:rsid w:val="00604A58"/>
    <w:rsid w:val="00604A9C"/>
    <w:rsid w:val="00604C47"/>
    <w:rsid w:val="006057B4"/>
    <w:rsid w:val="00606AD1"/>
    <w:rsid w:val="00607A6B"/>
    <w:rsid w:val="00607E8D"/>
    <w:rsid w:val="00610892"/>
    <w:rsid w:val="00610BFF"/>
    <w:rsid w:val="006111EE"/>
    <w:rsid w:val="00611215"/>
    <w:rsid w:val="00612A49"/>
    <w:rsid w:val="0061367C"/>
    <w:rsid w:val="0061790D"/>
    <w:rsid w:val="00617F5C"/>
    <w:rsid w:val="00620323"/>
    <w:rsid w:val="00621D2D"/>
    <w:rsid w:val="00623EB5"/>
    <w:rsid w:val="00624C30"/>
    <w:rsid w:val="00625644"/>
    <w:rsid w:val="00626674"/>
    <w:rsid w:val="00627CAE"/>
    <w:rsid w:val="006301D1"/>
    <w:rsid w:val="00630323"/>
    <w:rsid w:val="00630B6C"/>
    <w:rsid w:val="00631BA1"/>
    <w:rsid w:val="00633E69"/>
    <w:rsid w:val="0063409E"/>
    <w:rsid w:val="00635728"/>
    <w:rsid w:val="00635B53"/>
    <w:rsid w:val="00635CB8"/>
    <w:rsid w:val="006365C2"/>
    <w:rsid w:val="0064102E"/>
    <w:rsid w:val="00643BEB"/>
    <w:rsid w:val="00643CCA"/>
    <w:rsid w:val="006448A5"/>
    <w:rsid w:val="006450C0"/>
    <w:rsid w:val="00645807"/>
    <w:rsid w:val="006458C1"/>
    <w:rsid w:val="00647F6E"/>
    <w:rsid w:val="006503B2"/>
    <w:rsid w:val="006504B3"/>
    <w:rsid w:val="00650F45"/>
    <w:rsid w:val="00652493"/>
    <w:rsid w:val="006541A4"/>
    <w:rsid w:val="00654ACA"/>
    <w:rsid w:val="00655DF5"/>
    <w:rsid w:val="00657A9F"/>
    <w:rsid w:val="00661139"/>
    <w:rsid w:val="00666454"/>
    <w:rsid w:val="00670B3D"/>
    <w:rsid w:val="00670D62"/>
    <w:rsid w:val="00671018"/>
    <w:rsid w:val="006729E7"/>
    <w:rsid w:val="00673CE4"/>
    <w:rsid w:val="00674D93"/>
    <w:rsid w:val="006768F3"/>
    <w:rsid w:val="00676E2B"/>
    <w:rsid w:val="00676F31"/>
    <w:rsid w:val="006806B3"/>
    <w:rsid w:val="006815B0"/>
    <w:rsid w:val="006818D8"/>
    <w:rsid w:val="006819B1"/>
    <w:rsid w:val="00681C1E"/>
    <w:rsid w:val="0068413F"/>
    <w:rsid w:val="00684AF8"/>
    <w:rsid w:val="00684F9F"/>
    <w:rsid w:val="00686A4B"/>
    <w:rsid w:val="0068704F"/>
    <w:rsid w:val="00687459"/>
    <w:rsid w:val="006914BF"/>
    <w:rsid w:val="00691A50"/>
    <w:rsid w:val="00691DE0"/>
    <w:rsid w:val="006920CF"/>
    <w:rsid w:val="006944B4"/>
    <w:rsid w:val="006945E9"/>
    <w:rsid w:val="0069467D"/>
    <w:rsid w:val="00694861"/>
    <w:rsid w:val="006A01BB"/>
    <w:rsid w:val="006A0607"/>
    <w:rsid w:val="006A1A97"/>
    <w:rsid w:val="006A1B1F"/>
    <w:rsid w:val="006A3205"/>
    <w:rsid w:val="006A363C"/>
    <w:rsid w:val="006A456C"/>
    <w:rsid w:val="006A4A6B"/>
    <w:rsid w:val="006A6309"/>
    <w:rsid w:val="006A6A70"/>
    <w:rsid w:val="006A6B5E"/>
    <w:rsid w:val="006A798F"/>
    <w:rsid w:val="006A7C98"/>
    <w:rsid w:val="006B1955"/>
    <w:rsid w:val="006B353E"/>
    <w:rsid w:val="006B3F11"/>
    <w:rsid w:val="006B535A"/>
    <w:rsid w:val="006B537C"/>
    <w:rsid w:val="006B548B"/>
    <w:rsid w:val="006B55DE"/>
    <w:rsid w:val="006B73B2"/>
    <w:rsid w:val="006B7756"/>
    <w:rsid w:val="006C01E7"/>
    <w:rsid w:val="006C0CDD"/>
    <w:rsid w:val="006C1692"/>
    <w:rsid w:val="006C3955"/>
    <w:rsid w:val="006C58EA"/>
    <w:rsid w:val="006D0DA6"/>
    <w:rsid w:val="006D32F7"/>
    <w:rsid w:val="006D66D0"/>
    <w:rsid w:val="006D6C9F"/>
    <w:rsid w:val="006E0BE7"/>
    <w:rsid w:val="006E1231"/>
    <w:rsid w:val="006E3223"/>
    <w:rsid w:val="006E325A"/>
    <w:rsid w:val="006E7127"/>
    <w:rsid w:val="006E7F89"/>
    <w:rsid w:val="006F0BB7"/>
    <w:rsid w:val="006F1E0B"/>
    <w:rsid w:val="006F27C7"/>
    <w:rsid w:val="006F2A21"/>
    <w:rsid w:val="006F3E1E"/>
    <w:rsid w:val="006F453C"/>
    <w:rsid w:val="006F592A"/>
    <w:rsid w:val="006F6419"/>
    <w:rsid w:val="006F6AD7"/>
    <w:rsid w:val="006F793B"/>
    <w:rsid w:val="007008A6"/>
    <w:rsid w:val="007011C9"/>
    <w:rsid w:val="00702A4C"/>
    <w:rsid w:val="00704F22"/>
    <w:rsid w:val="00705EAE"/>
    <w:rsid w:val="0070659E"/>
    <w:rsid w:val="00707290"/>
    <w:rsid w:val="00707AF3"/>
    <w:rsid w:val="00707E27"/>
    <w:rsid w:val="00711DEE"/>
    <w:rsid w:val="007124B7"/>
    <w:rsid w:val="00712503"/>
    <w:rsid w:val="00714E37"/>
    <w:rsid w:val="007154AB"/>
    <w:rsid w:val="00716014"/>
    <w:rsid w:val="0071648A"/>
    <w:rsid w:val="00716C2F"/>
    <w:rsid w:val="007218FF"/>
    <w:rsid w:val="0072305D"/>
    <w:rsid w:val="007236A4"/>
    <w:rsid w:val="00725D8E"/>
    <w:rsid w:val="00725EC2"/>
    <w:rsid w:val="00726C21"/>
    <w:rsid w:val="00730281"/>
    <w:rsid w:val="00730BF9"/>
    <w:rsid w:val="00731133"/>
    <w:rsid w:val="00731454"/>
    <w:rsid w:val="0073200F"/>
    <w:rsid w:val="00732847"/>
    <w:rsid w:val="00732F21"/>
    <w:rsid w:val="00733BF3"/>
    <w:rsid w:val="00734106"/>
    <w:rsid w:val="00734716"/>
    <w:rsid w:val="0073600F"/>
    <w:rsid w:val="00736852"/>
    <w:rsid w:val="007404B3"/>
    <w:rsid w:val="00741DE1"/>
    <w:rsid w:val="007421ED"/>
    <w:rsid w:val="00745C43"/>
    <w:rsid w:val="0074617A"/>
    <w:rsid w:val="007461AA"/>
    <w:rsid w:val="00746BF1"/>
    <w:rsid w:val="0075191C"/>
    <w:rsid w:val="00755134"/>
    <w:rsid w:val="00757419"/>
    <w:rsid w:val="00757D59"/>
    <w:rsid w:val="00757EA9"/>
    <w:rsid w:val="00757FF3"/>
    <w:rsid w:val="00760172"/>
    <w:rsid w:val="00760D67"/>
    <w:rsid w:val="00764BA2"/>
    <w:rsid w:val="00766185"/>
    <w:rsid w:val="00766291"/>
    <w:rsid w:val="00766C2E"/>
    <w:rsid w:val="00766DF1"/>
    <w:rsid w:val="00766E9A"/>
    <w:rsid w:val="007704CF"/>
    <w:rsid w:val="00770D2F"/>
    <w:rsid w:val="007712CA"/>
    <w:rsid w:val="00771AA9"/>
    <w:rsid w:val="00773E5B"/>
    <w:rsid w:val="00774E35"/>
    <w:rsid w:val="00776CD7"/>
    <w:rsid w:val="00776CE7"/>
    <w:rsid w:val="0077708C"/>
    <w:rsid w:val="007773C5"/>
    <w:rsid w:val="00780B85"/>
    <w:rsid w:val="00782555"/>
    <w:rsid w:val="007827DE"/>
    <w:rsid w:val="00782AF8"/>
    <w:rsid w:val="00784310"/>
    <w:rsid w:val="0078560F"/>
    <w:rsid w:val="007859E6"/>
    <w:rsid w:val="00785A81"/>
    <w:rsid w:val="00786AF9"/>
    <w:rsid w:val="0078752F"/>
    <w:rsid w:val="00787D25"/>
    <w:rsid w:val="007906B6"/>
    <w:rsid w:val="007924FA"/>
    <w:rsid w:val="00793E2D"/>
    <w:rsid w:val="00795D32"/>
    <w:rsid w:val="00796EEB"/>
    <w:rsid w:val="0079712B"/>
    <w:rsid w:val="0079728D"/>
    <w:rsid w:val="007977E4"/>
    <w:rsid w:val="007978D2"/>
    <w:rsid w:val="007A0AFE"/>
    <w:rsid w:val="007A0C61"/>
    <w:rsid w:val="007A0C98"/>
    <w:rsid w:val="007A15FD"/>
    <w:rsid w:val="007A24C1"/>
    <w:rsid w:val="007A62FF"/>
    <w:rsid w:val="007A7575"/>
    <w:rsid w:val="007A7DEC"/>
    <w:rsid w:val="007B4820"/>
    <w:rsid w:val="007B679D"/>
    <w:rsid w:val="007B6BFE"/>
    <w:rsid w:val="007B6C1B"/>
    <w:rsid w:val="007B7230"/>
    <w:rsid w:val="007C0698"/>
    <w:rsid w:val="007C0803"/>
    <w:rsid w:val="007C128E"/>
    <w:rsid w:val="007C12AB"/>
    <w:rsid w:val="007C2BA7"/>
    <w:rsid w:val="007C39D7"/>
    <w:rsid w:val="007C494A"/>
    <w:rsid w:val="007C70DC"/>
    <w:rsid w:val="007C7EC3"/>
    <w:rsid w:val="007D13A4"/>
    <w:rsid w:val="007D2F8C"/>
    <w:rsid w:val="007D4006"/>
    <w:rsid w:val="007D4679"/>
    <w:rsid w:val="007D686C"/>
    <w:rsid w:val="007D72C3"/>
    <w:rsid w:val="007D785B"/>
    <w:rsid w:val="007D7B63"/>
    <w:rsid w:val="007E09AD"/>
    <w:rsid w:val="007E1FEB"/>
    <w:rsid w:val="007E2C7D"/>
    <w:rsid w:val="007E6105"/>
    <w:rsid w:val="007E7449"/>
    <w:rsid w:val="007E7D8E"/>
    <w:rsid w:val="007F088A"/>
    <w:rsid w:val="007F31C5"/>
    <w:rsid w:val="007F4500"/>
    <w:rsid w:val="007F55DA"/>
    <w:rsid w:val="007F5D17"/>
    <w:rsid w:val="007F6E6B"/>
    <w:rsid w:val="008015ED"/>
    <w:rsid w:val="008040E7"/>
    <w:rsid w:val="00804B4E"/>
    <w:rsid w:val="00804D2C"/>
    <w:rsid w:val="00805A83"/>
    <w:rsid w:val="00807CD6"/>
    <w:rsid w:val="00812C04"/>
    <w:rsid w:val="00812EE8"/>
    <w:rsid w:val="00813CFE"/>
    <w:rsid w:val="00813D79"/>
    <w:rsid w:val="00816C36"/>
    <w:rsid w:val="00817EF8"/>
    <w:rsid w:val="0082071D"/>
    <w:rsid w:val="008209D5"/>
    <w:rsid w:val="00820BBD"/>
    <w:rsid w:val="008210B1"/>
    <w:rsid w:val="00822D0C"/>
    <w:rsid w:val="00822ED2"/>
    <w:rsid w:val="00825015"/>
    <w:rsid w:val="00825073"/>
    <w:rsid w:val="008259F7"/>
    <w:rsid w:val="00825D4D"/>
    <w:rsid w:val="00827498"/>
    <w:rsid w:val="00827BE9"/>
    <w:rsid w:val="00830736"/>
    <w:rsid w:val="008328CA"/>
    <w:rsid w:val="00833BAA"/>
    <w:rsid w:val="00833D54"/>
    <w:rsid w:val="00835824"/>
    <w:rsid w:val="0083734E"/>
    <w:rsid w:val="00841A67"/>
    <w:rsid w:val="00844CC2"/>
    <w:rsid w:val="0084610F"/>
    <w:rsid w:val="008466A5"/>
    <w:rsid w:val="00853315"/>
    <w:rsid w:val="00854F10"/>
    <w:rsid w:val="0085586A"/>
    <w:rsid w:val="00857B21"/>
    <w:rsid w:val="00861F17"/>
    <w:rsid w:val="00862890"/>
    <w:rsid w:val="00864CDD"/>
    <w:rsid w:val="00870765"/>
    <w:rsid w:val="0087100A"/>
    <w:rsid w:val="00873440"/>
    <w:rsid w:val="0087347D"/>
    <w:rsid w:val="00874278"/>
    <w:rsid w:val="0087445A"/>
    <w:rsid w:val="0087451D"/>
    <w:rsid w:val="00876381"/>
    <w:rsid w:val="008763C4"/>
    <w:rsid w:val="008771C1"/>
    <w:rsid w:val="00877314"/>
    <w:rsid w:val="00877559"/>
    <w:rsid w:val="008812C8"/>
    <w:rsid w:val="0088264E"/>
    <w:rsid w:val="00883638"/>
    <w:rsid w:val="0088390E"/>
    <w:rsid w:val="00886302"/>
    <w:rsid w:val="0088657D"/>
    <w:rsid w:val="00886B4A"/>
    <w:rsid w:val="00887659"/>
    <w:rsid w:val="0088788C"/>
    <w:rsid w:val="00887A27"/>
    <w:rsid w:val="00890F94"/>
    <w:rsid w:val="00893192"/>
    <w:rsid w:val="008954E0"/>
    <w:rsid w:val="00895CCE"/>
    <w:rsid w:val="00895E9D"/>
    <w:rsid w:val="0089673C"/>
    <w:rsid w:val="00896871"/>
    <w:rsid w:val="00896F14"/>
    <w:rsid w:val="008970D2"/>
    <w:rsid w:val="008A0DB6"/>
    <w:rsid w:val="008A1827"/>
    <w:rsid w:val="008A1E1C"/>
    <w:rsid w:val="008A2913"/>
    <w:rsid w:val="008A3232"/>
    <w:rsid w:val="008A35A6"/>
    <w:rsid w:val="008A38C9"/>
    <w:rsid w:val="008A4BF2"/>
    <w:rsid w:val="008A5F7A"/>
    <w:rsid w:val="008A7205"/>
    <w:rsid w:val="008B029D"/>
    <w:rsid w:val="008B24BB"/>
    <w:rsid w:val="008B28F1"/>
    <w:rsid w:val="008B4CD9"/>
    <w:rsid w:val="008B6036"/>
    <w:rsid w:val="008B69BC"/>
    <w:rsid w:val="008B753E"/>
    <w:rsid w:val="008C10A9"/>
    <w:rsid w:val="008C1B4B"/>
    <w:rsid w:val="008C2023"/>
    <w:rsid w:val="008C289D"/>
    <w:rsid w:val="008C45EB"/>
    <w:rsid w:val="008C5A17"/>
    <w:rsid w:val="008C7310"/>
    <w:rsid w:val="008C7B4D"/>
    <w:rsid w:val="008C7EAA"/>
    <w:rsid w:val="008D0E29"/>
    <w:rsid w:val="008D1F6C"/>
    <w:rsid w:val="008D2AFC"/>
    <w:rsid w:val="008D426E"/>
    <w:rsid w:val="008D61BE"/>
    <w:rsid w:val="008D6A5A"/>
    <w:rsid w:val="008D6AFA"/>
    <w:rsid w:val="008D7AC5"/>
    <w:rsid w:val="008E112B"/>
    <w:rsid w:val="008E1F78"/>
    <w:rsid w:val="008E2056"/>
    <w:rsid w:val="008E232A"/>
    <w:rsid w:val="008E26A5"/>
    <w:rsid w:val="008E2BDB"/>
    <w:rsid w:val="008E337B"/>
    <w:rsid w:val="008E39BF"/>
    <w:rsid w:val="008E4545"/>
    <w:rsid w:val="008E4C55"/>
    <w:rsid w:val="008E6889"/>
    <w:rsid w:val="008E6F81"/>
    <w:rsid w:val="008E70A9"/>
    <w:rsid w:val="008F0251"/>
    <w:rsid w:val="008F0CA1"/>
    <w:rsid w:val="008F151D"/>
    <w:rsid w:val="008F1E0F"/>
    <w:rsid w:val="008F2E67"/>
    <w:rsid w:val="008F37C2"/>
    <w:rsid w:val="008F3AE6"/>
    <w:rsid w:val="008F4E77"/>
    <w:rsid w:val="008F506C"/>
    <w:rsid w:val="008F6A44"/>
    <w:rsid w:val="008F7213"/>
    <w:rsid w:val="008F7D58"/>
    <w:rsid w:val="00901915"/>
    <w:rsid w:val="00903F24"/>
    <w:rsid w:val="00907A20"/>
    <w:rsid w:val="00907D64"/>
    <w:rsid w:val="009122DF"/>
    <w:rsid w:val="0091382C"/>
    <w:rsid w:val="00914F82"/>
    <w:rsid w:val="00916C76"/>
    <w:rsid w:val="00920EB4"/>
    <w:rsid w:val="00922D1D"/>
    <w:rsid w:val="00923A7C"/>
    <w:rsid w:val="00923C62"/>
    <w:rsid w:val="00924499"/>
    <w:rsid w:val="00924869"/>
    <w:rsid w:val="009261BB"/>
    <w:rsid w:val="00926EBB"/>
    <w:rsid w:val="00926F7F"/>
    <w:rsid w:val="00930DAA"/>
    <w:rsid w:val="00930F69"/>
    <w:rsid w:val="00931735"/>
    <w:rsid w:val="00932BDE"/>
    <w:rsid w:val="0093377F"/>
    <w:rsid w:val="00933AF6"/>
    <w:rsid w:val="00934FCC"/>
    <w:rsid w:val="009356F5"/>
    <w:rsid w:val="00936D27"/>
    <w:rsid w:val="00937A53"/>
    <w:rsid w:val="009403D3"/>
    <w:rsid w:val="00941EC7"/>
    <w:rsid w:val="009429D2"/>
    <w:rsid w:val="009439B6"/>
    <w:rsid w:val="009444A0"/>
    <w:rsid w:val="009462A9"/>
    <w:rsid w:val="00952D68"/>
    <w:rsid w:val="009536A1"/>
    <w:rsid w:val="00954DC8"/>
    <w:rsid w:val="0095536A"/>
    <w:rsid w:val="009557A2"/>
    <w:rsid w:val="00955DDA"/>
    <w:rsid w:val="00964E20"/>
    <w:rsid w:val="009650BB"/>
    <w:rsid w:val="00966969"/>
    <w:rsid w:val="00966BA5"/>
    <w:rsid w:val="00966D1E"/>
    <w:rsid w:val="009702B0"/>
    <w:rsid w:val="00970B09"/>
    <w:rsid w:val="009713B7"/>
    <w:rsid w:val="009715BA"/>
    <w:rsid w:val="00971905"/>
    <w:rsid w:val="00971A98"/>
    <w:rsid w:val="00971BB6"/>
    <w:rsid w:val="00972456"/>
    <w:rsid w:val="009730C2"/>
    <w:rsid w:val="0097368F"/>
    <w:rsid w:val="009751C2"/>
    <w:rsid w:val="00977102"/>
    <w:rsid w:val="00980030"/>
    <w:rsid w:val="00980A65"/>
    <w:rsid w:val="00980E35"/>
    <w:rsid w:val="00981F4D"/>
    <w:rsid w:val="00982064"/>
    <w:rsid w:val="00982665"/>
    <w:rsid w:val="0098477D"/>
    <w:rsid w:val="00987986"/>
    <w:rsid w:val="0099094A"/>
    <w:rsid w:val="00990C69"/>
    <w:rsid w:val="00993731"/>
    <w:rsid w:val="00993F99"/>
    <w:rsid w:val="009959F3"/>
    <w:rsid w:val="00995B5B"/>
    <w:rsid w:val="00995E86"/>
    <w:rsid w:val="009A06EC"/>
    <w:rsid w:val="009A0E10"/>
    <w:rsid w:val="009A2E1E"/>
    <w:rsid w:val="009A4ED2"/>
    <w:rsid w:val="009A7A1D"/>
    <w:rsid w:val="009B28DF"/>
    <w:rsid w:val="009B321D"/>
    <w:rsid w:val="009B6D23"/>
    <w:rsid w:val="009B71E0"/>
    <w:rsid w:val="009B7205"/>
    <w:rsid w:val="009C0433"/>
    <w:rsid w:val="009C2545"/>
    <w:rsid w:val="009C26B9"/>
    <w:rsid w:val="009C2EF4"/>
    <w:rsid w:val="009C3A20"/>
    <w:rsid w:val="009C4529"/>
    <w:rsid w:val="009C4C23"/>
    <w:rsid w:val="009C4CE0"/>
    <w:rsid w:val="009C562D"/>
    <w:rsid w:val="009C579D"/>
    <w:rsid w:val="009C5914"/>
    <w:rsid w:val="009C6AD5"/>
    <w:rsid w:val="009C6C67"/>
    <w:rsid w:val="009D084F"/>
    <w:rsid w:val="009D14B7"/>
    <w:rsid w:val="009D278F"/>
    <w:rsid w:val="009D73A4"/>
    <w:rsid w:val="009D75A8"/>
    <w:rsid w:val="009D7940"/>
    <w:rsid w:val="009E0461"/>
    <w:rsid w:val="009E4644"/>
    <w:rsid w:val="009E4F78"/>
    <w:rsid w:val="009E53B4"/>
    <w:rsid w:val="009E62B6"/>
    <w:rsid w:val="009E690E"/>
    <w:rsid w:val="009E6A9F"/>
    <w:rsid w:val="009F157A"/>
    <w:rsid w:val="009F15EB"/>
    <w:rsid w:val="009F306D"/>
    <w:rsid w:val="009F340A"/>
    <w:rsid w:val="009F3E32"/>
    <w:rsid w:val="009F5ED9"/>
    <w:rsid w:val="009F7213"/>
    <w:rsid w:val="00A0234D"/>
    <w:rsid w:val="00A02600"/>
    <w:rsid w:val="00A02C75"/>
    <w:rsid w:val="00A05478"/>
    <w:rsid w:val="00A06FDE"/>
    <w:rsid w:val="00A07D0F"/>
    <w:rsid w:val="00A11DB5"/>
    <w:rsid w:val="00A11E23"/>
    <w:rsid w:val="00A149E5"/>
    <w:rsid w:val="00A15C24"/>
    <w:rsid w:val="00A160E5"/>
    <w:rsid w:val="00A20CDE"/>
    <w:rsid w:val="00A22230"/>
    <w:rsid w:val="00A2224D"/>
    <w:rsid w:val="00A23695"/>
    <w:rsid w:val="00A24B3F"/>
    <w:rsid w:val="00A24B4C"/>
    <w:rsid w:val="00A24D31"/>
    <w:rsid w:val="00A24E22"/>
    <w:rsid w:val="00A26B45"/>
    <w:rsid w:val="00A26E15"/>
    <w:rsid w:val="00A27A73"/>
    <w:rsid w:val="00A3147F"/>
    <w:rsid w:val="00A32C94"/>
    <w:rsid w:val="00A32D2D"/>
    <w:rsid w:val="00A34A6F"/>
    <w:rsid w:val="00A34C9D"/>
    <w:rsid w:val="00A35263"/>
    <w:rsid w:val="00A353B1"/>
    <w:rsid w:val="00A40611"/>
    <w:rsid w:val="00A41BBF"/>
    <w:rsid w:val="00A420F9"/>
    <w:rsid w:val="00A42F84"/>
    <w:rsid w:val="00A431C9"/>
    <w:rsid w:val="00A44252"/>
    <w:rsid w:val="00A444DE"/>
    <w:rsid w:val="00A45412"/>
    <w:rsid w:val="00A45423"/>
    <w:rsid w:val="00A47789"/>
    <w:rsid w:val="00A50095"/>
    <w:rsid w:val="00A51148"/>
    <w:rsid w:val="00A51B08"/>
    <w:rsid w:val="00A51B9F"/>
    <w:rsid w:val="00A53CA3"/>
    <w:rsid w:val="00A546C6"/>
    <w:rsid w:val="00A54FA7"/>
    <w:rsid w:val="00A55DE3"/>
    <w:rsid w:val="00A57921"/>
    <w:rsid w:val="00A57D3D"/>
    <w:rsid w:val="00A6074A"/>
    <w:rsid w:val="00A62860"/>
    <w:rsid w:val="00A62C9A"/>
    <w:rsid w:val="00A63235"/>
    <w:rsid w:val="00A63300"/>
    <w:rsid w:val="00A63629"/>
    <w:rsid w:val="00A65EDC"/>
    <w:rsid w:val="00A6630C"/>
    <w:rsid w:val="00A671B8"/>
    <w:rsid w:val="00A70E28"/>
    <w:rsid w:val="00A71526"/>
    <w:rsid w:val="00A73A86"/>
    <w:rsid w:val="00A753C7"/>
    <w:rsid w:val="00A75E6D"/>
    <w:rsid w:val="00A77C31"/>
    <w:rsid w:val="00A807A6"/>
    <w:rsid w:val="00A80AD5"/>
    <w:rsid w:val="00A8171B"/>
    <w:rsid w:val="00A8193E"/>
    <w:rsid w:val="00A83002"/>
    <w:rsid w:val="00A83C18"/>
    <w:rsid w:val="00A83CC2"/>
    <w:rsid w:val="00A84807"/>
    <w:rsid w:val="00A85C14"/>
    <w:rsid w:val="00A905A4"/>
    <w:rsid w:val="00A90797"/>
    <w:rsid w:val="00A94449"/>
    <w:rsid w:val="00A947FE"/>
    <w:rsid w:val="00A94A82"/>
    <w:rsid w:val="00A96ADF"/>
    <w:rsid w:val="00A97C29"/>
    <w:rsid w:val="00A97C58"/>
    <w:rsid w:val="00AA06B3"/>
    <w:rsid w:val="00AA0A68"/>
    <w:rsid w:val="00AA1840"/>
    <w:rsid w:val="00AA5F05"/>
    <w:rsid w:val="00AA6C13"/>
    <w:rsid w:val="00AA79CD"/>
    <w:rsid w:val="00AB386C"/>
    <w:rsid w:val="00AB637F"/>
    <w:rsid w:val="00AC0DE8"/>
    <w:rsid w:val="00AC2E42"/>
    <w:rsid w:val="00AC367A"/>
    <w:rsid w:val="00AC386E"/>
    <w:rsid w:val="00AC53B4"/>
    <w:rsid w:val="00AC6578"/>
    <w:rsid w:val="00AC662D"/>
    <w:rsid w:val="00AC7D9B"/>
    <w:rsid w:val="00AD025D"/>
    <w:rsid w:val="00AD1FF9"/>
    <w:rsid w:val="00AD3EA5"/>
    <w:rsid w:val="00AD4880"/>
    <w:rsid w:val="00AD49BD"/>
    <w:rsid w:val="00AD6322"/>
    <w:rsid w:val="00AE17D1"/>
    <w:rsid w:val="00AE20EC"/>
    <w:rsid w:val="00AE2724"/>
    <w:rsid w:val="00AE2918"/>
    <w:rsid w:val="00AE2B13"/>
    <w:rsid w:val="00AE33F3"/>
    <w:rsid w:val="00AE46B7"/>
    <w:rsid w:val="00AE5DC4"/>
    <w:rsid w:val="00AF031C"/>
    <w:rsid w:val="00AF0753"/>
    <w:rsid w:val="00AF1B97"/>
    <w:rsid w:val="00AF2E33"/>
    <w:rsid w:val="00AF5427"/>
    <w:rsid w:val="00AF566C"/>
    <w:rsid w:val="00B039E5"/>
    <w:rsid w:val="00B06BF9"/>
    <w:rsid w:val="00B100E0"/>
    <w:rsid w:val="00B10F34"/>
    <w:rsid w:val="00B110AD"/>
    <w:rsid w:val="00B11692"/>
    <w:rsid w:val="00B11CC9"/>
    <w:rsid w:val="00B13CB5"/>
    <w:rsid w:val="00B13D23"/>
    <w:rsid w:val="00B1478C"/>
    <w:rsid w:val="00B14B3B"/>
    <w:rsid w:val="00B15916"/>
    <w:rsid w:val="00B17A94"/>
    <w:rsid w:val="00B17CFC"/>
    <w:rsid w:val="00B2035A"/>
    <w:rsid w:val="00B20ABD"/>
    <w:rsid w:val="00B21908"/>
    <w:rsid w:val="00B21D4C"/>
    <w:rsid w:val="00B232A7"/>
    <w:rsid w:val="00B23E82"/>
    <w:rsid w:val="00B24843"/>
    <w:rsid w:val="00B263A0"/>
    <w:rsid w:val="00B269ED"/>
    <w:rsid w:val="00B27AFF"/>
    <w:rsid w:val="00B30457"/>
    <w:rsid w:val="00B314E9"/>
    <w:rsid w:val="00B31A20"/>
    <w:rsid w:val="00B344A1"/>
    <w:rsid w:val="00B35867"/>
    <w:rsid w:val="00B365CF"/>
    <w:rsid w:val="00B36A2D"/>
    <w:rsid w:val="00B36F11"/>
    <w:rsid w:val="00B41C33"/>
    <w:rsid w:val="00B4352D"/>
    <w:rsid w:val="00B440C8"/>
    <w:rsid w:val="00B4490B"/>
    <w:rsid w:val="00B4677C"/>
    <w:rsid w:val="00B46B6C"/>
    <w:rsid w:val="00B475A7"/>
    <w:rsid w:val="00B5168E"/>
    <w:rsid w:val="00B518EB"/>
    <w:rsid w:val="00B52608"/>
    <w:rsid w:val="00B52835"/>
    <w:rsid w:val="00B541FF"/>
    <w:rsid w:val="00B54D91"/>
    <w:rsid w:val="00B551FB"/>
    <w:rsid w:val="00B5737D"/>
    <w:rsid w:val="00B61829"/>
    <w:rsid w:val="00B621FA"/>
    <w:rsid w:val="00B6223F"/>
    <w:rsid w:val="00B62B3E"/>
    <w:rsid w:val="00B62E77"/>
    <w:rsid w:val="00B63221"/>
    <w:rsid w:val="00B6561E"/>
    <w:rsid w:val="00B67416"/>
    <w:rsid w:val="00B676BF"/>
    <w:rsid w:val="00B7052E"/>
    <w:rsid w:val="00B70DFB"/>
    <w:rsid w:val="00B71D68"/>
    <w:rsid w:val="00B732F4"/>
    <w:rsid w:val="00B747B6"/>
    <w:rsid w:val="00B75361"/>
    <w:rsid w:val="00B756DE"/>
    <w:rsid w:val="00B75C6D"/>
    <w:rsid w:val="00B7602A"/>
    <w:rsid w:val="00B802F3"/>
    <w:rsid w:val="00B803D8"/>
    <w:rsid w:val="00B8060E"/>
    <w:rsid w:val="00B82C89"/>
    <w:rsid w:val="00B83414"/>
    <w:rsid w:val="00B84EFD"/>
    <w:rsid w:val="00B8582D"/>
    <w:rsid w:val="00B85BCE"/>
    <w:rsid w:val="00B86D92"/>
    <w:rsid w:val="00B87103"/>
    <w:rsid w:val="00B92CF5"/>
    <w:rsid w:val="00B92D58"/>
    <w:rsid w:val="00B95056"/>
    <w:rsid w:val="00B95DB0"/>
    <w:rsid w:val="00B95F36"/>
    <w:rsid w:val="00B97800"/>
    <w:rsid w:val="00BA03C4"/>
    <w:rsid w:val="00BA0E09"/>
    <w:rsid w:val="00BA1516"/>
    <w:rsid w:val="00BA1BF1"/>
    <w:rsid w:val="00BA1D55"/>
    <w:rsid w:val="00BA2802"/>
    <w:rsid w:val="00BA53BF"/>
    <w:rsid w:val="00BA6EDB"/>
    <w:rsid w:val="00BA7DBF"/>
    <w:rsid w:val="00BB00C9"/>
    <w:rsid w:val="00BB357A"/>
    <w:rsid w:val="00BB4196"/>
    <w:rsid w:val="00BB4E38"/>
    <w:rsid w:val="00BB541E"/>
    <w:rsid w:val="00BB7770"/>
    <w:rsid w:val="00BB7A45"/>
    <w:rsid w:val="00BC0CD8"/>
    <w:rsid w:val="00BC26D9"/>
    <w:rsid w:val="00BC5070"/>
    <w:rsid w:val="00BC6F70"/>
    <w:rsid w:val="00BC7343"/>
    <w:rsid w:val="00BD0592"/>
    <w:rsid w:val="00BD1A4A"/>
    <w:rsid w:val="00BD2CFE"/>
    <w:rsid w:val="00BD3ACD"/>
    <w:rsid w:val="00BD594C"/>
    <w:rsid w:val="00BD62FA"/>
    <w:rsid w:val="00BD65F7"/>
    <w:rsid w:val="00BD77E1"/>
    <w:rsid w:val="00BD7904"/>
    <w:rsid w:val="00BE01CC"/>
    <w:rsid w:val="00BE1E12"/>
    <w:rsid w:val="00BE3ACB"/>
    <w:rsid w:val="00BE3B4F"/>
    <w:rsid w:val="00BE451D"/>
    <w:rsid w:val="00BE471E"/>
    <w:rsid w:val="00BE5973"/>
    <w:rsid w:val="00BE6A03"/>
    <w:rsid w:val="00BE7184"/>
    <w:rsid w:val="00BE727E"/>
    <w:rsid w:val="00BE769A"/>
    <w:rsid w:val="00BF2661"/>
    <w:rsid w:val="00BF38D6"/>
    <w:rsid w:val="00BF40F1"/>
    <w:rsid w:val="00BF6780"/>
    <w:rsid w:val="00C0086B"/>
    <w:rsid w:val="00C01232"/>
    <w:rsid w:val="00C02DB9"/>
    <w:rsid w:val="00C1144A"/>
    <w:rsid w:val="00C1256C"/>
    <w:rsid w:val="00C12996"/>
    <w:rsid w:val="00C13553"/>
    <w:rsid w:val="00C140DA"/>
    <w:rsid w:val="00C155A5"/>
    <w:rsid w:val="00C16066"/>
    <w:rsid w:val="00C21A99"/>
    <w:rsid w:val="00C223C7"/>
    <w:rsid w:val="00C22910"/>
    <w:rsid w:val="00C22D36"/>
    <w:rsid w:val="00C2394B"/>
    <w:rsid w:val="00C23C33"/>
    <w:rsid w:val="00C2577E"/>
    <w:rsid w:val="00C25F85"/>
    <w:rsid w:val="00C30070"/>
    <w:rsid w:val="00C329F9"/>
    <w:rsid w:val="00C33C6B"/>
    <w:rsid w:val="00C34032"/>
    <w:rsid w:val="00C34591"/>
    <w:rsid w:val="00C350A0"/>
    <w:rsid w:val="00C36237"/>
    <w:rsid w:val="00C365B1"/>
    <w:rsid w:val="00C44A35"/>
    <w:rsid w:val="00C452D3"/>
    <w:rsid w:val="00C477AC"/>
    <w:rsid w:val="00C52393"/>
    <w:rsid w:val="00C52B62"/>
    <w:rsid w:val="00C5353F"/>
    <w:rsid w:val="00C568A1"/>
    <w:rsid w:val="00C60208"/>
    <w:rsid w:val="00C62A8C"/>
    <w:rsid w:val="00C647FD"/>
    <w:rsid w:val="00C64A30"/>
    <w:rsid w:val="00C65474"/>
    <w:rsid w:val="00C67B5E"/>
    <w:rsid w:val="00C70D30"/>
    <w:rsid w:val="00C7136E"/>
    <w:rsid w:val="00C71891"/>
    <w:rsid w:val="00C734EC"/>
    <w:rsid w:val="00C7398E"/>
    <w:rsid w:val="00C747F8"/>
    <w:rsid w:val="00C75D00"/>
    <w:rsid w:val="00C75FF7"/>
    <w:rsid w:val="00C76067"/>
    <w:rsid w:val="00C7669D"/>
    <w:rsid w:val="00C77682"/>
    <w:rsid w:val="00C80269"/>
    <w:rsid w:val="00C82F5D"/>
    <w:rsid w:val="00C85979"/>
    <w:rsid w:val="00C8713C"/>
    <w:rsid w:val="00C875AF"/>
    <w:rsid w:val="00C91B0E"/>
    <w:rsid w:val="00C9389F"/>
    <w:rsid w:val="00C94611"/>
    <w:rsid w:val="00C967CD"/>
    <w:rsid w:val="00C97191"/>
    <w:rsid w:val="00CA0490"/>
    <w:rsid w:val="00CA0DFD"/>
    <w:rsid w:val="00CA2196"/>
    <w:rsid w:val="00CA30E4"/>
    <w:rsid w:val="00CA3197"/>
    <w:rsid w:val="00CA34A4"/>
    <w:rsid w:val="00CA4B60"/>
    <w:rsid w:val="00CA4D30"/>
    <w:rsid w:val="00CA516B"/>
    <w:rsid w:val="00CA6165"/>
    <w:rsid w:val="00CB0CD9"/>
    <w:rsid w:val="00CB5525"/>
    <w:rsid w:val="00CB63CE"/>
    <w:rsid w:val="00CB6AB0"/>
    <w:rsid w:val="00CB78E8"/>
    <w:rsid w:val="00CC02B5"/>
    <w:rsid w:val="00CC06E5"/>
    <w:rsid w:val="00CC08F6"/>
    <w:rsid w:val="00CC0FCA"/>
    <w:rsid w:val="00CD07E8"/>
    <w:rsid w:val="00CD0DC7"/>
    <w:rsid w:val="00CD1005"/>
    <w:rsid w:val="00CD1F3D"/>
    <w:rsid w:val="00CD271D"/>
    <w:rsid w:val="00CD3966"/>
    <w:rsid w:val="00CD3B05"/>
    <w:rsid w:val="00CD453F"/>
    <w:rsid w:val="00CD4AE2"/>
    <w:rsid w:val="00CD5C49"/>
    <w:rsid w:val="00CD5D2D"/>
    <w:rsid w:val="00CD6B2E"/>
    <w:rsid w:val="00CE02E9"/>
    <w:rsid w:val="00CE2D82"/>
    <w:rsid w:val="00CE379D"/>
    <w:rsid w:val="00CE4A08"/>
    <w:rsid w:val="00CF279F"/>
    <w:rsid w:val="00CF2CC2"/>
    <w:rsid w:val="00CF5857"/>
    <w:rsid w:val="00CF59D5"/>
    <w:rsid w:val="00CF5B7A"/>
    <w:rsid w:val="00CF69CF"/>
    <w:rsid w:val="00D006A0"/>
    <w:rsid w:val="00D00EDC"/>
    <w:rsid w:val="00D0146A"/>
    <w:rsid w:val="00D05A15"/>
    <w:rsid w:val="00D0690B"/>
    <w:rsid w:val="00D07D9B"/>
    <w:rsid w:val="00D10E5B"/>
    <w:rsid w:val="00D1153C"/>
    <w:rsid w:val="00D133BC"/>
    <w:rsid w:val="00D13DE6"/>
    <w:rsid w:val="00D154C6"/>
    <w:rsid w:val="00D1792D"/>
    <w:rsid w:val="00D17BC4"/>
    <w:rsid w:val="00D221B3"/>
    <w:rsid w:val="00D22B47"/>
    <w:rsid w:val="00D22D92"/>
    <w:rsid w:val="00D23576"/>
    <w:rsid w:val="00D24B0C"/>
    <w:rsid w:val="00D26C7A"/>
    <w:rsid w:val="00D30D91"/>
    <w:rsid w:val="00D3124D"/>
    <w:rsid w:val="00D3286B"/>
    <w:rsid w:val="00D3343D"/>
    <w:rsid w:val="00D3409A"/>
    <w:rsid w:val="00D34180"/>
    <w:rsid w:val="00D35A32"/>
    <w:rsid w:val="00D4007A"/>
    <w:rsid w:val="00D42AF5"/>
    <w:rsid w:val="00D42B36"/>
    <w:rsid w:val="00D43509"/>
    <w:rsid w:val="00D43683"/>
    <w:rsid w:val="00D43E68"/>
    <w:rsid w:val="00D46EEE"/>
    <w:rsid w:val="00D47152"/>
    <w:rsid w:val="00D47A7B"/>
    <w:rsid w:val="00D50ED4"/>
    <w:rsid w:val="00D5281E"/>
    <w:rsid w:val="00D52E1D"/>
    <w:rsid w:val="00D535AB"/>
    <w:rsid w:val="00D54E6E"/>
    <w:rsid w:val="00D61FAD"/>
    <w:rsid w:val="00D62618"/>
    <w:rsid w:val="00D62650"/>
    <w:rsid w:val="00D631E7"/>
    <w:rsid w:val="00D65625"/>
    <w:rsid w:val="00D6562B"/>
    <w:rsid w:val="00D669E3"/>
    <w:rsid w:val="00D71851"/>
    <w:rsid w:val="00D724BA"/>
    <w:rsid w:val="00D74D2A"/>
    <w:rsid w:val="00D8219D"/>
    <w:rsid w:val="00D83BAD"/>
    <w:rsid w:val="00D84BD4"/>
    <w:rsid w:val="00D84DAD"/>
    <w:rsid w:val="00D850C2"/>
    <w:rsid w:val="00D855C1"/>
    <w:rsid w:val="00D866DE"/>
    <w:rsid w:val="00D91C7E"/>
    <w:rsid w:val="00D92F82"/>
    <w:rsid w:val="00D93F23"/>
    <w:rsid w:val="00D947C9"/>
    <w:rsid w:val="00D94851"/>
    <w:rsid w:val="00D94D91"/>
    <w:rsid w:val="00D95AF1"/>
    <w:rsid w:val="00D96B5D"/>
    <w:rsid w:val="00D96FF4"/>
    <w:rsid w:val="00D97D81"/>
    <w:rsid w:val="00DA0C48"/>
    <w:rsid w:val="00DA1DFC"/>
    <w:rsid w:val="00DA2C8E"/>
    <w:rsid w:val="00DA3532"/>
    <w:rsid w:val="00DA402A"/>
    <w:rsid w:val="00DA440E"/>
    <w:rsid w:val="00DA511C"/>
    <w:rsid w:val="00DA52F1"/>
    <w:rsid w:val="00DA671B"/>
    <w:rsid w:val="00DA71B3"/>
    <w:rsid w:val="00DB09AD"/>
    <w:rsid w:val="00DB0F54"/>
    <w:rsid w:val="00DB3F0B"/>
    <w:rsid w:val="00DB5F8F"/>
    <w:rsid w:val="00DB6776"/>
    <w:rsid w:val="00DB682F"/>
    <w:rsid w:val="00DC0309"/>
    <w:rsid w:val="00DC0A6D"/>
    <w:rsid w:val="00DC14EB"/>
    <w:rsid w:val="00DC17BB"/>
    <w:rsid w:val="00DC21B3"/>
    <w:rsid w:val="00DC22F2"/>
    <w:rsid w:val="00DC292A"/>
    <w:rsid w:val="00DC3408"/>
    <w:rsid w:val="00DC4E12"/>
    <w:rsid w:val="00DC57A8"/>
    <w:rsid w:val="00DC590A"/>
    <w:rsid w:val="00DC5B37"/>
    <w:rsid w:val="00DC61F9"/>
    <w:rsid w:val="00DC6F95"/>
    <w:rsid w:val="00DD209A"/>
    <w:rsid w:val="00DD56B5"/>
    <w:rsid w:val="00DD68CF"/>
    <w:rsid w:val="00DD761D"/>
    <w:rsid w:val="00DE1D84"/>
    <w:rsid w:val="00DE44CC"/>
    <w:rsid w:val="00DE4730"/>
    <w:rsid w:val="00DE5434"/>
    <w:rsid w:val="00DE5526"/>
    <w:rsid w:val="00DE579D"/>
    <w:rsid w:val="00DE6583"/>
    <w:rsid w:val="00DE6858"/>
    <w:rsid w:val="00DE7886"/>
    <w:rsid w:val="00DF113C"/>
    <w:rsid w:val="00DF28D3"/>
    <w:rsid w:val="00DF5299"/>
    <w:rsid w:val="00DF6034"/>
    <w:rsid w:val="00E000A8"/>
    <w:rsid w:val="00E0052F"/>
    <w:rsid w:val="00E00890"/>
    <w:rsid w:val="00E01F01"/>
    <w:rsid w:val="00E03288"/>
    <w:rsid w:val="00E04CA8"/>
    <w:rsid w:val="00E058EF"/>
    <w:rsid w:val="00E068B3"/>
    <w:rsid w:val="00E06B77"/>
    <w:rsid w:val="00E11F06"/>
    <w:rsid w:val="00E1233A"/>
    <w:rsid w:val="00E139CD"/>
    <w:rsid w:val="00E14DDD"/>
    <w:rsid w:val="00E20518"/>
    <w:rsid w:val="00E20828"/>
    <w:rsid w:val="00E20BFE"/>
    <w:rsid w:val="00E20C46"/>
    <w:rsid w:val="00E2334A"/>
    <w:rsid w:val="00E23D38"/>
    <w:rsid w:val="00E2487E"/>
    <w:rsid w:val="00E26196"/>
    <w:rsid w:val="00E277FF"/>
    <w:rsid w:val="00E30529"/>
    <w:rsid w:val="00E31741"/>
    <w:rsid w:val="00E31E92"/>
    <w:rsid w:val="00E3257C"/>
    <w:rsid w:val="00E33AF6"/>
    <w:rsid w:val="00E33C1B"/>
    <w:rsid w:val="00E35D3D"/>
    <w:rsid w:val="00E36246"/>
    <w:rsid w:val="00E3659C"/>
    <w:rsid w:val="00E403EF"/>
    <w:rsid w:val="00E4062C"/>
    <w:rsid w:val="00E436D6"/>
    <w:rsid w:val="00E443EE"/>
    <w:rsid w:val="00E44725"/>
    <w:rsid w:val="00E452FD"/>
    <w:rsid w:val="00E467BA"/>
    <w:rsid w:val="00E477C2"/>
    <w:rsid w:val="00E4780F"/>
    <w:rsid w:val="00E504CE"/>
    <w:rsid w:val="00E5104C"/>
    <w:rsid w:val="00E52238"/>
    <w:rsid w:val="00E537A2"/>
    <w:rsid w:val="00E53AE7"/>
    <w:rsid w:val="00E53D0D"/>
    <w:rsid w:val="00E56194"/>
    <w:rsid w:val="00E56211"/>
    <w:rsid w:val="00E56273"/>
    <w:rsid w:val="00E603EB"/>
    <w:rsid w:val="00E61993"/>
    <w:rsid w:val="00E61B41"/>
    <w:rsid w:val="00E636E5"/>
    <w:rsid w:val="00E637A0"/>
    <w:rsid w:val="00E66E0F"/>
    <w:rsid w:val="00E719EA"/>
    <w:rsid w:val="00E71DDB"/>
    <w:rsid w:val="00E72630"/>
    <w:rsid w:val="00E73340"/>
    <w:rsid w:val="00E73F70"/>
    <w:rsid w:val="00E74992"/>
    <w:rsid w:val="00E74C08"/>
    <w:rsid w:val="00E75881"/>
    <w:rsid w:val="00E77C77"/>
    <w:rsid w:val="00E836DF"/>
    <w:rsid w:val="00E85F0A"/>
    <w:rsid w:val="00E87BFE"/>
    <w:rsid w:val="00E908CE"/>
    <w:rsid w:val="00E93996"/>
    <w:rsid w:val="00E94819"/>
    <w:rsid w:val="00E95525"/>
    <w:rsid w:val="00E95D7F"/>
    <w:rsid w:val="00E97522"/>
    <w:rsid w:val="00EA00B8"/>
    <w:rsid w:val="00EA25B1"/>
    <w:rsid w:val="00EA2CF9"/>
    <w:rsid w:val="00EA3BDA"/>
    <w:rsid w:val="00EA3C4C"/>
    <w:rsid w:val="00EA40F7"/>
    <w:rsid w:val="00EA45A2"/>
    <w:rsid w:val="00EA7B96"/>
    <w:rsid w:val="00EA7BD5"/>
    <w:rsid w:val="00EB02E2"/>
    <w:rsid w:val="00EB07C0"/>
    <w:rsid w:val="00EB0CD6"/>
    <w:rsid w:val="00EB1274"/>
    <w:rsid w:val="00EB238B"/>
    <w:rsid w:val="00EB4D68"/>
    <w:rsid w:val="00EB54F9"/>
    <w:rsid w:val="00EB6C81"/>
    <w:rsid w:val="00EB7E46"/>
    <w:rsid w:val="00EC0778"/>
    <w:rsid w:val="00EC1791"/>
    <w:rsid w:val="00EC179C"/>
    <w:rsid w:val="00EC1DB1"/>
    <w:rsid w:val="00EC249A"/>
    <w:rsid w:val="00EC28C0"/>
    <w:rsid w:val="00EC304B"/>
    <w:rsid w:val="00EC30BC"/>
    <w:rsid w:val="00EC3944"/>
    <w:rsid w:val="00EC3EE7"/>
    <w:rsid w:val="00EC4498"/>
    <w:rsid w:val="00EC4D38"/>
    <w:rsid w:val="00EC5FCC"/>
    <w:rsid w:val="00EC6E63"/>
    <w:rsid w:val="00EC725F"/>
    <w:rsid w:val="00ED1953"/>
    <w:rsid w:val="00ED2D6B"/>
    <w:rsid w:val="00ED3936"/>
    <w:rsid w:val="00ED5233"/>
    <w:rsid w:val="00ED5DC2"/>
    <w:rsid w:val="00ED6F2C"/>
    <w:rsid w:val="00ED74E2"/>
    <w:rsid w:val="00ED782F"/>
    <w:rsid w:val="00EE0153"/>
    <w:rsid w:val="00EE0BB2"/>
    <w:rsid w:val="00EE2A27"/>
    <w:rsid w:val="00EE34C3"/>
    <w:rsid w:val="00EE4248"/>
    <w:rsid w:val="00EE4736"/>
    <w:rsid w:val="00EE49DC"/>
    <w:rsid w:val="00EE52EC"/>
    <w:rsid w:val="00EE5C1F"/>
    <w:rsid w:val="00EF0D41"/>
    <w:rsid w:val="00EF2ED4"/>
    <w:rsid w:val="00EF4A16"/>
    <w:rsid w:val="00EF4EC0"/>
    <w:rsid w:val="00EF5A79"/>
    <w:rsid w:val="00EF6B5E"/>
    <w:rsid w:val="00F01266"/>
    <w:rsid w:val="00F01FD7"/>
    <w:rsid w:val="00F034A4"/>
    <w:rsid w:val="00F049BA"/>
    <w:rsid w:val="00F04ECF"/>
    <w:rsid w:val="00F116B7"/>
    <w:rsid w:val="00F1205B"/>
    <w:rsid w:val="00F12642"/>
    <w:rsid w:val="00F13946"/>
    <w:rsid w:val="00F13F3A"/>
    <w:rsid w:val="00F14DE5"/>
    <w:rsid w:val="00F163C6"/>
    <w:rsid w:val="00F17DEF"/>
    <w:rsid w:val="00F203B8"/>
    <w:rsid w:val="00F21766"/>
    <w:rsid w:val="00F23A0E"/>
    <w:rsid w:val="00F24B1A"/>
    <w:rsid w:val="00F25A57"/>
    <w:rsid w:val="00F26AAA"/>
    <w:rsid w:val="00F3090F"/>
    <w:rsid w:val="00F311AB"/>
    <w:rsid w:val="00F32F62"/>
    <w:rsid w:val="00F33FED"/>
    <w:rsid w:val="00F3588F"/>
    <w:rsid w:val="00F361B6"/>
    <w:rsid w:val="00F3726B"/>
    <w:rsid w:val="00F401B2"/>
    <w:rsid w:val="00F410E7"/>
    <w:rsid w:val="00F4113D"/>
    <w:rsid w:val="00F41AFA"/>
    <w:rsid w:val="00F44F18"/>
    <w:rsid w:val="00F4514B"/>
    <w:rsid w:val="00F46C36"/>
    <w:rsid w:val="00F47175"/>
    <w:rsid w:val="00F47630"/>
    <w:rsid w:val="00F52C0F"/>
    <w:rsid w:val="00F54B67"/>
    <w:rsid w:val="00F55404"/>
    <w:rsid w:val="00F5547E"/>
    <w:rsid w:val="00F557FB"/>
    <w:rsid w:val="00F55C19"/>
    <w:rsid w:val="00F55D61"/>
    <w:rsid w:val="00F56992"/>
    <w:rsid w:val="00F6115A"/>
    <w:rsid w:val="00F62AE7"/>
    <w:rsid w:val="00F62F01"/>
    <w:rsid w:val="00F63D75"/>
    <w:rsid w:val="00F644E7"/>
    <w:rsid w:val="00F65B28"/>
    <w:rsid w:val="00F6684F"/>
    <w:rsid w:val="00F66B45"/>
    <w:rsid w:val="00F670F5"/>
    <w:rsid w:val="00F67FAB"/>
    <w:rsid w:val="00F7010E"/>
    <w:rsid w:val="00F73AFB"/>
    <w:rsid w:val="00F73D82"/>
    <w:rsid w:val="00F740A9"/>
    <w:rsid w:val="00F74EA6"/>
    <w:rsid w:val="00F76F86"/>
    <w:rsid w:val="00F8044D"/>
    <w:rsid w:val="00F8115C"/>
    <w:rsid w:val="00F81818"/>
    <w:rsid w:val="00F85621"/>
    <w:rsid w:val="00F861C3"/>
    <w:rsid w:val="00F86580"/>
    <w:rsid w:val="00F87D7A"/>
    <w:rsid w:val="00F90AC2"/>
    <w:rsid w:val="00F917EE"/>
    <w:rsid w:val="00F95641"/>
    <w:rsid w:val="00F96024"/>
    <w:rsid w:val="00F96217"/>
    <w:rsid w:val="00F96FCA"/>
    <w:rsid w:val="00FA171A"/>
    <w:rsid w:val="00FA182A"/>
    <w:rsid w:val="00FA1C3F"/>
    <w:rsid w:val="00FA2BCF"/>
    <w:rsid w:val="00FA2E5C"/>
    <w:rsid w:val="00FA47A8"/>
    <w:rsid w:val="00FA584D"/>
    <w:rsid w:val="00FA6076"/>
    <w:rsid w:val="00FA6DF9"/>
    <w:rsid w:val="00FA6ED7"/>
    <w:rsid w:val="00FA7500"/>
    <w:rsid w:val="00FB25EC"/>
    <w:rsid w:val="00FB26E2"/>
    <w:rsid w:val="00FB3D16"/>
    <w:rsid w:val="00FB4048"/>
    <w:rsid w:val="00FB4898"/>
    <w:rsid w:val="00FB4D28"/>
    <w:rsid w:val="00FC1731"/>
    <w:rsid w:val="00FC285D"/>
    <w:rsid w:val="00FC2B63"/>
    <w:rsid w:val="00FC7A12"/>
    <w:rsid w:val="00FD0FEC"/>
    <w:rsid w:val="00FD18E0"/>
    <w:rsid w:val="00FD1B3F"/>
    <w:rsid w:val="00FD2573"/>
    <w:rsid w:val="00FD4525"/>
    <w:rsid w:val="00FD5A27"/>
    <w:rsid w:val="00FD5CB1"/>
    <w:rsid w:val="00FD7FD3"/>
    <w:rsid w:val="00FE029C"/>
    <w:rsid w:val="00FE1523"/>
    <w:rsid w:val="00FE1527"/>
    <w:rsid w:val="00FE451F"/>
    <w:rsid w:val="00FE45E1"/>
    <w:rsid w:val="00FE58E7"/>
    <w:rsid w:val="00FE6187"/>
    <w:rsid w:val="00FE6872"/>
    <w:rsid w:val="00FE7E3B"/>
    <w:rsid w:val="00FF050F"/>
    <w:rsid w:val="00FF2392"/>
    <w:rsid w:val="00FF27A0"/>
    <w:rsid w:val="00FF2847"/>
    <w:rsid w:val="00FF3E6C"/>
    <w:rsid w:val="00FF4D75"/>
    <w:rsid w:val="00FF606A"/>
    <w:rsid w:val="00FF7F12"/>
    <w:rsid w:val="01E31F94"/>
    <w:rsid w:val="025617F5"/>
    <w:rsid w:val="02A227A1"/>
    <w:rsid w:val="02DC7C81"/>
    <w:rsid w:val="04AC0BD2"/>
    <w:rsid w:val="058B0F2C"/>
    <w:rsid w:val="05963F2D"/>
    <w:rsid w:val="05B747B5"/>
    <w:rsid w:val="05E215D8"/>
    <w:rsid w:val="0858402D"/>
    <w:rsid w:val="089821DC"/>
    <w:rsid w:val="0A461421"/>
    <w:rsid w:val="0AF862D5"/>
    <w:rsid w:val="0CC503B2"/>
    <w:rsid w:val="0D3B1F65"/>
    <w:rsid w:val="0D891142"/>
    <w:rsid w:val="0DA13CAB"/>
    <w:rsid w:val="1198193E"/>
    <w:rsid w:val="133B10BF"/>
    <w:rsid w:val="152B7A9E"/>
    <w:rsid w:val="15423EE4"/>
    <w:rsid w:val="15B14D7D"/>
    <w:rsid w:val="15CA22E2"/>
    <w:rsid w:val="16EA2C3C"/>
    <w:rsid w:val="19337176"/>
    <w:rsid w:val="19871903"/>
    <w:rsid w:val="19B14345"/>
    <w:rsid w:val="1A4E28A9"/>
    <w:rsid w:val="1AAD38BA"/>
    <w:rsid w:val="1B051985"/>
    <w:rsid w:val="1CAA0778"/>
    <w:rsid w:val="1DC617D9"/>
    <w:rsid w:val="1EDA5344"/>
    <w:rsid w:val="20F31C34"/>
    <w:rsid w:val="217A696B"/>
    <w:rsid w:val="22AB167C"/>
    <w:rsid w:val="247F3ECB"/>
    <w:rsid w:val="253901D2"/>
    <w:rsid w:val="255045B2"/>
    <w:rsid w:val="26BD1A32"/>
    <w:rsid w:val="282F02FA"/>
    <w:rsid w:val="28CE2C0F"/>
    <w:rsid w:val="291018E3"/>
    <w:rsid w:val="2944442E"/>
    <w:rsid w:val="296E3259"/>
    <w:rsid w:val="298B709D"/>
    <w:rsid w:val="299D6BA6"/>
    <w:rsid w:val="2B1533ED"/>
    <w:rsid w:val="2B590636"/>
    <w:rsid w:val="2B830B12"/>
    <w:rsid w:val="2C2D2971"/>
    <w:rsid w:val="2CC857FD"/>
    <w:rsid w:val="2CEA52EC"/>
    <w:rsid w:val="2CF96145"/>
    <w:rsid w:val="2D383746"/>
    <w:rsid w:val="2F4341F6"/>
    <w:rsid w:val="2FB910EE"/>
    <w:rsid w:val="30381652"/>
    <w:rsid w:val="333031BD"/>
    <w:rsid w:val="348B29E4"/>
    <w:rsid w:val="34ED02A3"/>
    <w:rsid w:val="351D3D85"/>
    <w:rsid w:val="355157DD"/>
    <w:rsid w:val="35A83B1E"/>
    <w:rsid w:val="379245B6"/>
    <w:rsid w:val="38170F5F"/>
    <w:rsid w:val="38413E7E"/>
    <w:rsid w:val="39002DFE"/>
    <w:rsid w:val="39C649EB"/>
    <w:rsid w:val="3B5F50F7"/>
    <w:rsid w:val="3CA75C68"/>
    <w:rsid w:val="3E091D4A"/>
    <w:rsid w:val="3EDC25BB"/>
    <w:rsid w:val="3F0B2763"/>
    <w:rsid w:val="3F780CFF"/>
    <w:rsid w:val="40736F4F"/>
    <w:rsid w:val="415D36FB"/>
    <w:rsid w:val="41F20537"/>
    <w:rsid w:val="42611755"/>
    <w:rsid w:val="43195B8C"/>
    <w:rsid w:val="43BA32D8"/>
    <w:rsid w:val="43F26E2B"/>
    <w:rsid w:val="45A454A5"/>
    <w:rsid w:val="45AF31B0"/>
    <w:rsid w:val="46997637"/>
    <w:rsid w:val="47905167"/>
    <w:rsid w:val="47A0687C"/>
    <w:rsid w:val="47E75A21"/>
    <w:rsid w:val="48E96000"/>
    <w:rsid w:val="4A085681"/>
    <w:rsid w:val="4B7923AE"/>
    <w:rsid w:val="4BAF3531"/>
    <w:rsid w:val="4D9741FF"/>
    <w:rsid w:val="4E201107"/>
    <w:rsid w:val="4E8A3DE2"/>
    <w:rsid w:val="4ECC264C"/>
    <w:rsid w:val="4F381A8F"/>
    <w:rsid w:val="4F4C264F"/>
    <w:rsid w:val="4F9C2F0C"/>
    <w:rsid w:val="4F9E4464"/>
    <w:rsid w:val="5061689C"/>
    <w:rsid w:val="51894DD2"/>
    <w:rsid w:val="520774F7"/>
    <w:rsid w:val="526B3F2A"/>
    <w:rsid w:val="54247757"/>
    <w:rsid w:val="54670888"/>
    <w:rsid w:val="54C548B9"/>
    <w:rsid w:val="558020F9"/>
    <w:rsid w:val="560B1CAC"/>
    <w:rsid w:val="56554CD5"/>
    <w:rsid w:val="56631A1F"/>
    <w:rsid w:val="5C7A3771"/>
    <w:rsid w:val="5D11008D"/>
    <w:rsid w:val="5F252E2E"/>
    <w:rsid w:val="5FA32F55"/>
    <w:rsid w:val="60AD41F5"/>
    <w:rsid w:val="61A66376"/>
    <w:rsid w:val="64A34893"/>
    <w:rsid w:val="655F347A"/>
    <w:rsid w:val="658C0FBD"/>
    <w:rsid w:val="668D2FDF"/>
    <w:rsid w:val="669D75A3"/>
    <w:rsid w:val="66E005EB"/>
    <w:rsid w:val="674D6CCD"/>
    <w:rsid w:val="687D27DC"/>
    <w:rsid w:val="688A1AA3"/>
    <w:rsid w:val="68F02173"/>
    <w:rsid w:val="694607E8"/>
    <w:rsid w:val="699F799A"/>
    <w:rsid w:val="6A4C0B4E"/>
    <w:rsid w:val="6CFC3CA5"/>
    <w:rsid w:val="6F901373"/>
    <w:rsid w:val="727069CC"/>
    <w:rsid w:val="729B0215"/>
    <w:rsid w:val="729C3F60"/>
    <w:rsid w:val="73C179F6"/>
    <w:rsid w:val="74C6617B"/>
    <w:rsid w:val="75071439"/>
    <w:rsid w:val="75A43DC5"/>
    <w:rsid w:val="75DE663D"/>
    <w:rsid w:val="76852DCA"/>
    <w:rsid w:val="76896E93"/>
    <w:rsid w:val="77374D44"/>
    <w:rsid w:val="787657E3"/>
    <w:rsid w:val="7DFF610B"/>
    <w:rsid w:val="7FF02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unhideWhenUsed/>
    <w:qFormat/>
    <w:uiPriority w:val="9"/>
    <w:pPr>
      <w:keepNext/>
      <w:numPr>
        <w:ilvl w:val="2"/>
        <w:numId w:val="1"/>
      </w:numPr>
      <w:spacing w:before="60" w:after="60"/>
      <w:ind w:firstLine="200" w:firstLineChars="200"/>
      <w:outlineLvl w:val="2"/>
    </w:pPr>
    <w:rPr>
      <w:rFonts w:ascii="Calibri Light" w:hAnsi="Calibri Light"/>
      <w:b/>
      <w:bCs/>
      <w:kern w:val="30"/>
      <w:szCs w:val="26"/>
    </w:rPr>
  </w:style>
  <w:style w:type="paragraph" w:styleId="6">
    <w:name w:val="heading 4"/>
    <w:basedOn w:val="1"/>
    <w:next w:val="1"/>
    <w:unhideWhenUsed/>
    <w:qFormat/>
    <w:uiPriority w:val="9"/>
    <w:pPr>
      <w:keepNext/>
      <w:keepLines/>
      <w:spacing w:before="280" w:after="290" w:line="374" w:lineRule="auto"/>
      <w:outlineLvl w:val="3"/>
    </w:pPr>
    <w:rPr>
      <w:rFonts w:ascii="等线 Light" w:hAnsi="等线 Light" w:eastAsia="等线 Light"/>
      <w:b/>
      <w:bCs/>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qFormat/>
    <w:uiPriority w:val="99"/>
    <w:pPr>
      <w:adjustRightInd w:val="0"/>
      <w:spacing w:line="336" w:lineRule="auto"/>
      <w:jc w:val="left"/>
    </w:pPr>
    <w:rPr>
      <w:rFonts w:ascii="Arial" w:hAnsi="Arial"/>
      <w:kern w:val="0"/>
      <w:sz w:val="24"/>
    </w:rPr>
  </w:style>
  <w:style w:type="paragraph" w:styleId="9">
    <w:name w:val="Body Text Indent"/>
    <w:basedOn w:val="1"/>
    <w:next w:val="1"/>
    <w:qFormat/>
    <w:uiPriority w:val="0"/>
    <w:pPr>
      <w:ind w:firstLine="552"/>
    </w:pPr>
    <w:rPr>
      <w:rFonts w:ascii="宋体"/>
      <w:sz w:val="28"/>
    </w:rPr>
  </w:style>
  <w:style w:type="paragraph" w:styleId="10">
    <w:name w:val="Block Text"/>
    <w:basedOn w:val="1"/>
    <w:qFormat/>
    <w:uiPriority w:val="0"/>
    <w:pPr>
      <w:spacing w:after="120"/>
      <w:ind w:left="1440" w:leftChars="700" w:right="1440" w:rightChars="700"/>
    </w:pPr>
    <w:rPr>
      <w:rFonts w:ascii="Calibri" w:hAnsi="Calibri"/>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rPr>
  </w:style>
  <w:style w:type="paragraph" w:styleId="13">
    <w:name w:val="Date"/>
    <w:basedOn w:val="1"/>
    <w:next w:val="1"/>
    <w:qFormat/>
    <w:uiPriority w:val="0"/>
    <w:rPr>
      <w:rFonts w:ascii="宋体"/>
      <w:sz w:val="24"/>
    </w:rPr>
  </w:style>
  <w:style w:type="paragraph" w:styleId="14">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Body Text 2"/>
    <w:basedOn w:val="1"/>
    <w:qFormat/>
    <w:uiPriority w:val="0"/>
    <w:pPr>
      <w:jc w:val="left"/>
    </w:pPr>
    <w:rPr>
      <w:rFonts w:ascii="仿宋_GB2312" w:hAnsi="宋体" w:eastAsia="仿宋_GB2312"/>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1">
    <w:name w:val="Body Text First Indent 2"/>
    <w:basedOn w:val="9"/>
    <w:next w:val="1"/>
    <w:qFormat/>
    <w:uiPriority w:val="0"/>
    <w:pPr>
      <w:ind w:firstLine="420" w:firstLineChars="200"/>
    </w:pPr>
    <w:rPr>
      <w:szCs w:val="24"/>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FollowedHyperlink"/>
    <w:basedOn w:val="24"/>
    <w:qFormat/>
    <w:uiPriority w:val="0"/>
    <w:rPr>
      <w:color w:val="800080"/>
      <w:u w:val="single"/>
    </w:rPr>
  </w:style>
  <w:style w:type="character" w:styleId="28">
    <w:name w:val="Hyperlink"/>
    <w:basedOn w:val="24"/>
    <w:qFormat/>
    <w:uiPriority w:val="0"/>
    <w:rPr>
      <w:color w:val="0000FF"/>
      <w:u w:val="single"/>
    </w:rPr>
  </w:style>
  <w:style w:type="paragraph" w:customStyle="1" w:styleId="2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0">
    <w:name w:val="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1">
    <w:name w:val="Char2"/>
    <w:basedOn w:val="1"/>
    <w:qFormat/>
    <w:uiPriority w:val="0"/>
    <w:rPr>
      <w:rFonts w:ascii="Tahoma" w:hAnsi="Tahoma"/>
      <w:sz w:val="24"/>
    </w:rPr>
  </w:style>
  <w:style w:type="paragraph" w:styleId="32">
    <w:name w:val="List Paragraph"/>
    <w:basedOn w:val="1"/>
    <w:qFormat/>
    <w:uiPriority w:val="34"/>
    <w:pPr>
      <w:ind w:firstLine="420" w:firstLineChars="200"/>
    </w:pPr>
    <w:rPr>
      <w:rFonts w:ascii="Calibri" w:hAnsi="Calibri"/>
      <w:szCs w:val="22"/>
    </w:rPr>
  </w:style>
  <w:style w:type="paragraph" w:customStyle="1" w:styleId="33">
    <w:name w:val="样式2"/>
    <w:basedOn w:val="34"/>
    <w:qFormat/>
    <w:uiPriority w:val="0"/>
    <w:pPr>
      <w:spacing w:line="560" w:lineRule="exact"/>
      <w:ind w:firstLine="643" w:firstLineChars="200"/>
      <w:jc w:val="both"/>
    </w:pPr>
    <w:rPr>
      <w:rFonts w:ascii="仿宋_GB2312" w:hAnsi="仿宋" w:eastAsia="仿宋_GB2312"/>
      <w:b/>
      <w:bCs/>
      <w:szCs w:val="32"/>
    </w:rPr>
  </w:style>
  <w:style w:type="paragraph" w:customStyle="1" w:styleId="34">
    <w:name w:val="@标题"/>
    <w:basedOn w:val="1"/>
    <w:next w:val="35"/>
    <w:qFormat/>
    <w:uiPriority w:val="0"/>
    <w:pPr>
      <w:keepNext/>
      <w:spacing w:before="50" w:beforeLines="50" w:after="50" w:afterLines="50"/>
      <w:jc w:val="center"/>
      <w:outlineLvl w:val="1"/>
    </w:pPr>
    <w:rPr>
      <w:rFonts w:ascii="Calibri" w:hAnsi="Calibri" w:eastAsia="黑体"/>
      <w:kern w:val="32"/>
      <w:sz w:val="32"/>
    </w:rPr>
  </w:style>
  <w:style w:type="paragraph" w:customStyle="1" w:styleId="35">
    <w:name w:val="@正文"/>
    <w:basedOn w:val="36"/>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36">
    <w:name w:val="※正文"/>
    <w:basedOn w:val="1"/>
    <w:next w:val="1"/>
    <w:qFormat/>
    <w:uiPriority w:val="0"/>
    <w:pPr>
      <w:wordWrap w:val="0"/>
      <w:spacing w:line="400" w:lineRule="exact"/>
    </w:pPr>
    <w:rPr>
      <w:rFonts w:ascii="Calibri Light" w:hAnsi="Calibri Light" w:eastAsia="华文仿宋"/>
      <w:sz w:val="28"/>
      <w:szCs w:val="28"/>
    </w:rPr>
  </w:style>
  <w:style w:type="character" w:customStyle="1" w:styleId="37">
    <w:name w:val="NormalCharacter"/>
    <w:link w:val="38"/>
    <w:qFormat/>
    <w:locked/>
    <w:uiPriority w:val="99"/>
  </w:style>
  <w:style w:type="paragraph" w:customStyle="1" w:styleId="38">
    <w:name w:val="UserStyle_4"/>
    <w:basedOn w:val="1"/>
    <w:link w:val="37"/>
    <w:qFormat/>
    <w:uiPriority w:val="99"/>
  </w:style>
  <w:style w:type="paragraph" w:customStyle="1" w:styleId="39">
    <w:name w:val="Heading3"/>
    <w:basedOn w:val="1"/>
    <w:next w:val="1"/>
    <w:qFormat/>
    <w:uiPriority w:val="99"/>
    <w:pPr>
      <w:keepNext/>
      <w:keepLines/>
      <w:spacing w:before="260" w:after="260" w:line="413" w:lineRule="auto"/>
    </w:pPr>
    <w:rPr>
      <w:b/>
      <w:sz w:val="32"/>
    </w:rPr>
  </w:style>
  <w:style w:type="paragraph" w:customStyle="1" w:styleId="40">
    <w:name w:val="Table Text"/>
    <w:basedOn w:val="1"/>
    <w:semiHidden/>
    <w:qFormat/>
    <w:uiPriority w:val="0"/>
    <w:rPr>
      <w:rFonts w:ascii="宋体" w:hAnsi="宋体" w:cs="宋体"/>
      <w:sz w:val="24"/>
      <w:szCs w:val="24"/>
      <w:lang w:eastAsia="en-US"/>
    </w:rPr>
  </w:style>
  <w:style w:type="paragraph" w:customStyle="1" w:styleId="41">
    <w:name w:val="列出段落1"/>
    <w:basedOn w:val="1"/>
    <w:qFormat/>
    <w:uiPriority w:val="0"/>
    <w:pPr>
      <w:ind w:firstLine="420" w:firstLineChars="200"/>
    </w:pPr>
    <w:rPr>
      <w:szCs w:val="21"/>
    </w:rPr>
  </w:style>
  <w:style w:type="paragraph" w:customStyle="1" w:styleId="4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null3"/>
    <w:qFormat/>
    <w:uiPriority w:val="0"/>
    <w:rPr>
      <w:rFonts w:hint="eastAsia" w:ascii="Calibri" w:hAnsi="Calibri" w:eastAsia="宋体" w:cs="Times New Roman"/>
      <w:lang w:val="en-US" w:eastAsia="zh-Hans" w:bidi="ar-SA"/>
    </w:rPr>
  </w:style>
  <w:style w:type="paragraph" w:customStyle="1" w:styleId="4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0"/>
      <w:sz w:val="28"/>
      <w:szCs w:val="20"/>
    </w:rPr>
  </w:style>
  <w:style w:type="paragraph" w:customStyle="1" w:styleId="45">
    <w:name w:val="_Style 1"/>
    <w:basedOn w:val="1"/>
    <w:qFormat/>
    <w:uiPriority w:val="34"/>
    <w:pPr>
      <w:ind w:firstLine="420" w:firstLineChars="200"/>
    </w:pPr>
    <w:rPr>
      <w:rFonts w:ascii="Calibri" w:hAnsi="Calibri"/>
      <w:szCs w:val="22"/>
    </w:rPr>
  </w:style>
  <w:style w:type="paragraph" w:customStyle="1" w:styleId="46">
    <w:name w:val="p0"/>
    <w:basedOn w:val="1"/>
    <w:qFormat/>
    <w:uiPriority w:val="0"/>
    <w:pPr>
      <w:widowControl/>
    </w:pPr>
    <w:rPr>
      <w:kern w:val="0"/>
      <w:szCs w:val="21"/>
    </w:rPr>
  </w:style>
  <w:style w:type="paragraph" w:styleId="47">
    <w:name w:val="No Spacing"/>
    <w:qFormat/>
    <w:uiPriority w:val="1"/>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84</Pages>
  <Words>17841</Words>
  <Characters>19438</Characters>
  <Lines>62</Lines>
  <Paragraphs>97</Paragraphs>
  <TotalTime>3</TotalTime>
  <ScaleCrop>false</ScaleCrop>
  <LinksUpToDate>false</LinksUpToDate>
  <CharactersWithSpaces>19593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2021-10-19T02:24:00Z</dcterms:created>
  <dc:creator>User</dc:creator>
  <cp:lastModifiedBy>xb19</cp:lastModifiedBy>
  <cp:lastPrinted>2017-09-19T09:21:00Z</cp:lastPrinted>
  <dcterms:modified xsi:type="dcterms:W3CDTF">2026-07-28T05:19:46Z</dcterms:modified>
  <dc:title>政府采购货物和服务项目</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05303021AC124D0D82104A3477B099AD_13</vt:lpwstr>
  </property>
  <property fmtid="{D5CDD505-2E9C-101B-9397-08002B2CF9AE}" pid="4" name="KSOTemplateDocerSaveRecord">
    <vt:lpwstr>eyJoZGlkIjoiZTA1OTEyZDI1Y2RmODkxZWU5ZGZiODZmZTBlMjkxMTEiLCJ1c2VySWQiOiIzMjAxODgyOTIifQ==</vt:lpwstr>
  </property>
</Properties>
</file>