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版本号：HYTF-20260503320260605001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西安市政务应用系统信创改造技术咨询服务项目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HYTF-202605033</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西安市政务应用系统信创改造技术咨询服务项目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HYTF-202605033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西安市政务应用系统信创改造技术咨询服务项目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西安市政务应用系统信创改造技术咨询服务项目，1项。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采购包1（西安市政务应用系统信创改造技术咨询服务项目）：属于专门面向中小企业采购。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029-67096142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采购包1：1,747,817.00元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下浮35%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西安市数据局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西安市政务应用系统信创改造技术咨询服务项目，1项。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1,747,817.00</w:t>
      </w:r>
    </w:p>
    <w:p>
      <w:pPr>
        <w:pStyle w:val="null3"/>
      </w:pPr>
      <w:r>
        <w:rPr>
          <w:rFonts w:ascii="仿宋_GB2312" w:hAnsi="仿宋_GB2312" w:cs="仿宋_GB2312" w:eastAsia="仿宋_GB2312"/>
        </w:rPr>
        <w:t>采购包最高限价（元）: 1,747,817.00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西安市政务应用系统信创改造技术咨询服务项目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1,747,817.00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标的名称：西安市政务应用系统信创改造技术咨询服务项目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w:t>
            </w:r>
            <w:r>
              <w:rPr>
                <w:rFonts w:ascii="仿宋_GB2312" w:hAnsi="仿宋_GB2312" w:cs="仿宋_GB2312" w:eastAsia="仿宋_GB2312"/>
                <w:sz w:val="24"/>
                <w:b/>
              </w:rPr>
              <w:t>概况</w:t>
            </w:r>
          </w:p>
          <w:p>
            <w:pPr>
              <w:pStyle w:val="null3"/>
              <w:ind w:firstLine="480"/>
            </w:pPr>
            <w:r>
              <w:rPr>
                <w:rFonts w:ascii="仿宋_GB2312" w:hAnsi="仿宋_GB2312" w:cs="仿宋_GB2312" w:eastAsia="仿宋_GB2312"/>
                <w:sz w:val="24"/>
              </w:rPr>
              <w:t>为有序推进我市政务应用系统信创适配整合迁移工作，确保信创改造需求提报的科学性和准确性，提升财政资金使用效益，拟采购第三方专业机构服务，对信创改造的必要性与合理性进行评估，对于建而不用、效能低下的政务应用系统予以关停，对于政务服务和协同办公等业务应用系统予以整合，对于业务相对专业、技术架构相对独立等业务应用系统予以信创适配改造。</w:t>
            </w:r>
          </w:p>
          <w:p>
            <w:pPr>
              <w:pStyle w:val="null3"/>
              <w:ind w:firstLine="480"/>
            </w:pPr>
            <w:r>
              <w:rPr>
                <w:rFonts w:ascii="仿宋_GB2312" w:hAnsi="仿宋_GB2312" w:cs="仿宋_GB2312" w:eastAsia="仿宋_GB2312"/>
                <w:sz w:val="24"/>
              </w:rPr>
              <w:t>主要内容包括：</w:t>
            </w:r>
            <w:r>
              <w:rPr>
                <w:rFonts w:ascii="仿宋_GB2312" w:hAnsi="仿宋_GB2312" w:cs="仿宋_GB2312" w:eastAsia="仿宋_GB2312"/>
                <w:sz w:val="24"/>
              </w:rPr>
              <w:t>①建立</w:t>
            </w:r>
            <w:r>
              <w:rPr>
                <w:rFonts w:ascii="仿宋_GB2312" w:hAnsi="仿宋_GB2312" w:cs="仿宋_GB2312" w:eastAsia="仿宋_GB2312"/>
                <w:sz w:val="24"/>
              </w:rPr>
              <w:t>全市统一的信创改造技术框架</w:t>
            </w:r>
            <w:r>
              <w:rPr>
                <w:rFonts w:ascii="仿宋_GB2312" w:hAnsi="仿宋_GB2312" w:cs="仿宋_GB2312" w:eastAsia="仿宋_GB2312"/>
                <w:sz w:val="24"/>
              </w:rPr>
              <w:t>和管理体系；</w:t>
            </w:r>
            <w:r>
              <w:rPr>
                <w:rFonts w:ascii="仿宋_GB2312" w:hAnsi="仿宋_GB2312" w:cs="仿宋_GB2312" w:eastAsia="仿宋_GB2312"/>
                <w:sz w:val="24"/>
              </w:rPr>
              <w:t>②</w:t>
            </w:r>
            <w:r>
              <w:rPr>
                <w:rFonts w:ascii="仿宋_GB2312" w:hAnsi="仿宋_GB2312" w:cs="仿宋_GB2312" w:eastAsia="仿宋_GB2312"/>
                <w:sz w:val="24"/>
              </w:rPr>
              <w:t>通过现场调研、系统摸排、座谈交流等方式，对</w:t>
            </w:r>
            <w:r>
              <w:rPr>
                <w:rFonts w:ascii="仿宋_GB2312" w:hAnsi="仿宋_GB2312" w:cs="仿宋_GB2312" w:eastAsia="仿宋_GB2312"/>
                <w:sz w:val="24"/>
              </w:rPr>
              <w:t>不少于</w:t>
            </w:r>
            <w:r>
              <w:rPr>
                <w:rFonts w:ascii="仿宋_GB2312" w:hAnsi="仿宋_GB2312" w:cs="仿宋_GB2312" w:eastAsia="仿宋_GB2312"/>
                <w:sz w:val="24"/>
              </w:rPr>
              <w:t>41个市级部门（不含公检法）168个政务应用系统进行摸排诊断</w:t>
            </w:r>
            <w:r>
              <w:rPr>
                <w:rFonts w:ascii="仿宋_GB2312" w:hAnsi="仿宋_GB2312" w:cs="仿宋_GB2312" w:eastAsia="仿宋_GB2312"/>
                <w:sz w:val="24"/>
              </w:rPr>
              <w:t>、逐一论证（</w:t>
            </w:r>
            <w:r>
              <w:rPr>
                <w:rFonts w:ascii="仿宋_GB2312" w:hAnsi="仿宋_GB2312" w:cs="仿宋_GB2312" w:eastAsia="仿宋_GB2312"/>
                <w:sz w:val="24"/>
              </w:rPr>
              <w:t>政务应用系统</w:t>
            </w:r>
            <w:r>
              <w:rPr>
                <w:rFonts w:ascii="仿宋_GB2312" w:hAnsi="仿宋_GB2312" w:cs="仿宋_GB2312" w:eastAsia="仿宋_GB2312"/>
                <w:sz w:val="24"/>
              </w:rPr>
              <w:t>清单详见附件，具体以实际为准）；</w:t>
            </w:r>
            <w:r>
              <w:rPr>
                <w:rFonts w:ascii="仿宋_GB2312" w:hAnsi="仿宋_GB2312" w:cs="仿宋_GB2312" w:eastAsia="仿宋_GB2312"/>
                <w:sz w:val="24"/>
              </w:rPr>
              <w:t>③开展信创改造培训，提供技术答疑、疑难问题解决建议等咨询服务</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二、</w:t>
            </w:r>
            <w:r>
              <w:rPr>
                <w:rFonts w:ascii="仿宋_GB2312" w:hAnsi="仿宋_GB2312" w:cs="仿宋_GB2312" w:eastAsia="仿宋_GB2312"/>
                <w:sz w:val="24"/>
                <w:b/>
              </w:rPr>
              <w:t>采购内容</w:t>
            </w:r>
          </w:p>
          <w:p>
            <w:pPr>
              <w:pStyle w:val="null3"/>
              <w:ind w:firstLine="480"/>
            </w:pPr>
            <w:r>
              <w:rPr>
                <w:rFonts w:ascii="仿宋_GB2312" w:hAnsi="仿宋_GB2312" w:cs="仿宋_GB2312" w:eastAsia="仿宋_GB2312"/>
                <w:sz w:val="24"/>
              </w:rPr>
              <w:t>1.顶层设计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制定《政务系统信创改造分类分级标准》《信创改造方案编制指南》《信创适配改造技术规范》《信创项目验收标准规范》等4项规范要求，作为市级相关部门开展信创改造工作的依据和内部指导文件，确保41个单位在同一框架下协同推进，避免各自为政、标准不一造成的重复建设和资源浪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2）提供标准规范宣贯、信创改造培训服务，形成信创技术培训资料成果，指导各单位信息化人员掌握信创技术体系，提升自主运维能力。</w:t>
            </w:r>
          </w:p>
          <w:p>
            <w:pPr>
              <w:pStyle w:val="null3"/>
              <w:ind w:firstLine="480"/>
            </w:pPr>
            <w:r>
              <w:rPr>
                <w:rFonts w:ascii="仿宋_GB2312" w:hAnsi="仿宋_GB2312" w:cs="仿宋_GB2312" w:eastAsia="仿宋_GB2312"/>
                <w:sz w:val="24"/>
              </w:rPr>
              <w:t>2.系统评估</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通过现场调研、系统摸排、座谈交流等方式，对不少于41个市级部门（不含公检法）168个政务应用系统进行摸排诊断，形成《政务应用系统调研报告》《政务应用系统信创改造评估表》等2项调研摸排成果；邀请行业专家进行论证，逐一提出“整合、关停、改造”等建议，</w:t>
            </w:r>
            <w:r>
              <w:rPr>
                <w:rFonts w:ascii="仿宋_GB2312" w:hAnsi="仿宋_GB2312" w:cs="仿宋_GB2312" w:eastAsia="仿宋_GB2312"/>
                <w:sz w:val="24"/>
              </w:rPr>
              <w:t>编制评估报告摘要、评估概述、评估目的、评估原则、总体评估结果、部门</w:t>
            </w:r>
            <w:r>
              <w:rPr>
                <w:rFonts w:ascii="仿宋_GB2312" w:hAnsi="仿宋_GB2312" w:cs="仿宋_GB2312" w:eastAsia="仿宋_GB2312"/>
                <w:sz w:val="24"/>
              </w:rPr>
              <w:t>/系统</w:t>
            </w:r>
            <w:r>
              <w:rPr>
                <w:rFonts w:ascii="仿宋_GB2312" w:hAnsi="仿宋_GB2312" w:cs="仿宋_GB2312" w:eastAsia="仿宋_GB2312"/>
                <w:sz w:val="24"/>
              </w:rPr>
              <w:t>维度分析、问题诊断、优化建议等内容，</w:t>
            </w:r>
            <w:r>
              <w:rPr>
                <w:rFonts w:ascii="仿宋_GB2312" w:hAnsi="仿宋_GB2312" w:cs="仿宋_GB2312" w:eastAsia="仿宋_GB2312"/>
                <w:sz w:val="24"/>
              </w:rPr>
              <w:t>形成《政务应用系统效能评估报告》《政务应用系统分类决策总表》《建议整合系统清单及整合方向建议》《建议关停系统清单及数据处置建议》《建议改造系统清单及改造实施建议》等</w:t>
            </w:r>
            <w:r>
              <w:rPr>
                <w:rFonts w:ascii="仿宋_GB2312" w:hAnsi="仿宋_GB2312" w:cs="仿宋_GB2312" w:eastAsia="仿宋_GB2312"/>
                <w:sz w:val="24"/>
              </w:rPr>
              <w:t>5项系统评估成果。</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2）通过问题解答、共同研判、上门服务等方式，结合各单位业务特点和技术能力，提供技术答疑、疑难问题解决建议等技术咨询服务，形成《技术咨询解答汇编》。</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服务成果</w:t>
            </w:r>
          </w:p>
          <w:p>
            <w:pPr>
              <w:pStyle w:val="null3"/>
              <w:ind w:firstLine="480"/>
            </w:pPr>
            <w:r>
              <w:rPr>
                <w:rFonts w:ascii="仿宋_GB2312" w:hAnsi="仿宋_GB2312" w:cs="仿宋_GB2312" w:eastAsia="仿宋_GB2312"/>
                <w:sz w:val="24"/>
              </w:rPr>
              <w:t>服务成果以资料汇编形式提交，</w:t>
            </w:r>
            <w:r>
              <w:rPr>
                <w:rFonts w:ascii="仿宋_GB2312" w:hAnsi="仿宋_GB2312" w:cs="仿宋_GB2312" w:eastAsia="仿宋_GB2312"/>
                <w:sz w:val="24"/>
              </w:rPr>
              <w:t>供应商提供不少于</w:t>
            </w:r>
            <w:r>
              <w:rPr>
                <w:rFonts w:ascii="仿宋_GB2312" w:hAnsi="仿宋_GB2312" w:cs="仿宋_GB2312" w:eastAsia="仿宋_GB2312"/>
                <w:sz w:val="24"/>
              </w:rPr>
              <w:t>3次专家评审服务（包括顶层设计咨询成果、系统评估咨询成果、履约验收等重要环节评审）。自检验收合格</w:t>
            </w:r>
            <w:r>
              <w:rPr>
                <w:rFonts w:ascii="仿宋_GB2312" w:hAnsi="仿宋_GB2312" w:cs="仿宋_GB2312" w:eastAsia="仿宋_GB2312"/>
                <w:sz w:val="24"/>
              </w:rPr>
              <w:t>后，</w:t>
            </w:r>
            <w:r>
              <w:rPr>
                <w:rFonts w:ascii="仿宋_GB2312" w:hAnsi="仿宋_GB2312" w:cs="仿宋_GB2312" w:eastAsia="仿宋_GB2312"/>
                <w:sz w:val="24"/>
              </w:rPr>
              <w:t>采购人组织验收</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.人员</w:t>
            </w:r>
            <w:r>
              <w:rPr>
                <w:rFonts w:ascii="仿宋_GB2312" w:hAnsi="仿宋_GB2312" w:cs="仿宋_GB2312" w:eastAsia="仿宋_GB2312"/>
                <w:sz w:val="24"/>
              </w:rPr>
              <w:t>配备</w:t>
            </w:r>
          </w:p>
          <w:p>
            <w:pPr>
              <w:pStyle w:val="null3"/>
              <w:ind w:firstLine="480"/>
            </w:pPr>
            <w:r>
              <w:rPr>
                <w:rFonts w:ascii="仿宋_GB2312" w:hAnsi="仿宋_GB2312" w:cs="仿宋_GB2312" w:eastAsia="仿宋_GB2312"/>
                <w:sz w:val="24"/>
              </w:rPr>
              <w:t>成交供应商须提供拟指派的</w:t>
            </w:r>
            <w:r>
              <w:rPr>
                <w:rFonts w:ascii="仿宋_GB2312" w:hAnsi="仿宋_GB2312" w:cs="仿宋_GB2312" w:eastAsia="仿宋_GB2312"/>
                <w:sz w:val="24"/>
              </w:rPr>
              <w:t>项目负责人、主要技术人员、日常联络人及联系方式等情况</w:t>
            </w:r>
            <w:r>
              <w:rPr>
                <w:rFonts w:ascii="仿宋_GB2312" w:hAnsi="仿宋_GB2312" w:cs="仿宋_GB2312" w:eastAsia="仿宋_GB2312"/>
                <w:sz w:val="24"/>
              </w:rPr>
              <w:t>，项目总人数不少于</w:t>
            </w:r>
            <w:r>
              <w:rPr>
                <w:rFonts w:ascii="仿宋_GB2312" w:hAnsi="仿宋_GB2312" w:cs="仿宋_GB2312" w:eastAsia="仿宋_GB2312"/>
                <w:sz w:val="24"/>
              </w:rPr>
              <w:t>24人，其中项目负责人1名、顶层设计模块不少于9人、系统评估模块不少于14人，各模块人员可以根据任务动态调整。成交供应商应具有健全的内控制度，对报告质量、相关数据和结论的真实性负责，并承担相关保密责任。</w:t>
            </w:r>
          </w:p>
          <w:p>
            <w:pPr>
              <w:pStyle w:val="null3"/>
              <w:ind w:firstLine="480"/>
            </w:pPr>
            <w:r>
              <w:rPr>
                <w:rFonts w:ascii="仿宋_GB2312" w:hAnsi="仿宋_GB2312" w:cs="仿宋_GB2312" w:eastAsia="仿宋_GB2312"/>
                <w:sz w:val="24"/>
              </w:rPr>
              <w:t>2.服务标准</w:t>
            </w:r>
          </w:p>
          <w:p>
            <w:pPr>
              <w:pStyle w:val="null3"/>
              <w:ind w:firstLine="480"/>
            </w:pPr>
            <w:r>
              <w:rPr>
                <w:rFonts w:ascii="仿宋_GB2312" w:hAnsi="仿宋_GB2312" w:cs="仿宋_GB2312" w:eastAsia="仿宋_GB2312"/>
                <w:sz w:val="24"/>
              </w:rPr>
              <w:t>咨询服务过程应参考《</w:t>
            </w:r>
            <w:r>
              <w:rPr>
                <w:rFonts w:ascii="仿宋_GB2312" w:hAnsi="仿宋_GB2312" w:cs="仿宋_GB2312" w:eastAsia="仿宋_GB2312"/>
                <w:sz w:val="24"/>
              </w:rPr>
              <w:t>GB/T 42652-2023政府和社会资本合作 咨询服务要求》</w:t>
            </w:r>
            <w:r>
              <w:rPr>
                <w:rFonts w:ascii="仿宋_GB2312" w:hAnsi="仿宋_GB2312" w:cs="仿宋_GB2312" w:eastAsia="仿宋_GB2312"/>
                <w:sz w:val="24"/>
              </w:rPr>
              <w:t>等</w:t>
            </w:r>
            <w:r>
              <w:rPr>
                <w:rFonts w:ascii="仿宋_GB2312" w:hAnsi="仿宋_GB2312" w:cs="仿宋_GB2312" w:eastAsia="仿宋_GB2312"/>
                <w:sz w:val="24"/>
              </w:rPr>
              <w:t>国家标准执行，评估方法和指标体系应参考《</w:t>
            </w:r>
            <w:r>
              <w:rPr>
                <w:rFonts w:ascii="仿宋_GB2312" w:hAnsi="仿宋_GB2312" w:cs="仿宋_GB2312" w:eastAsia="仿宋_GB2312"/>
                <w:sz w:val="24"/>
              </w:rPr>
              <w:t>GB/T 42584-2023 信息化项目综合绩效评估规范》等相关国家标准，项目管理过程应参考《GB/T 42994-2023 管理咨询服务指南 项目管理》等相关国家标准执行。</w:t>
            </w:r>
          </w:p>
          <w:p>
            <w:pPr>
              <w:pStyle w:val="null3"/>
              <w:ind w:firstLine="480"/>
            </w:pPr>
            <w:r>
              <w:rPr>
                <w:rFonts w:ascii="仿宋_GB2312" w:hAnsi="仿宋_GB2312" w:cs="仿宋_GB2312" w:eastAsia="仿宋_GB2312"/>
                <w:sz w:val="24"/>
              </w:rPr>
              <w:t>3.验收要求</w:t>
            </w:r>
          </w:p>
          <w:p>
            <w:pPr>
              <w:pStyle w:val="null3"/>
              <w:ind w:firstLine="480"/>
            </w:pPr>
            <w:r>
              <w:rPr>
                <w:rFonts w:ascii="仿宋_GB2312" w:hAnsi="仿宋_GB2312" w:cs="仿宋_GB2312" w:eastAsia="仿宋_GB2312"/>
                <w:sz w:val="24"/>
              </w:rPr>
              <w:t>项目验收</w:t>
            </w:r>
            <w:r>
              <w:rPr>
                <w:rFonts w:ascii="仿宋_GB2312" w:hAnsi="仿宋_GB2312" w:cs="仿宋_GB2312" w:eastAsia="仿宋_GB2312"/>
                <w:sz w:val="24"/>
              </w:rPr>
              <w:t>按照</w:t>
            </w:r>
            <w:r>
              <w:rPr>
                <w:rFonts w:ascii="仿宋_GB2312" w:hAnsi="仿宋_GB2312" w:cs="仿宋_GB2312" w:eastAsia="仿宋_GB2312"/>
                <w:sz w:val="24"/>
              </w:rPr>
              <w:t>《</w:t>
            </w:r>
            <w:r>
              <w:rPr>
                <w:rFonts w:ascii="仿宋_GB2312" w:hAnsi="仿宋_GB2312" w:cs="仿宋_GB2312" w:eastAsia="仿宋_GB2312"/>
                <w:sz w:val="24"/>
              </w:rPr>
              <w:t>西安市信息化项目验收实施细则（试行）</w:t>
            </w:r>
            <w:r>
              <w:rPr>
                <w:rFonts w:ascii="仿宋_GB2312" w:hAnsi="仿宋_GB2312" w:cs="仿宋_GB2312" w:eastAsia="仿宋_GB2312"/>
                <w:sz w:val="24"/>
              </w:rPr>
              <w:t>》</w:t>
            </w:r>
            <w:r>
              <w:rPr>
                <w:rFonts w:ascii="仿宋_GB2312" w:hAnsi="仿宋_GB2312" w:cs="仿宋_GB2312" w:eastAsia="仿宋_GB2312"/>
                <w:sz w:val="24"/>
              </w:rPr>
              <w:t>等</w:t>
            </w:r>
            <w:r>
              <w:rPr>
                <w:rFonts w:ascii="仿宋_GB2312" w:hAnsi="仿宋_GB2312" w:cs="仿宋_GB2312" w:eastAsia="仿宋_GB2312"/>
                <w:sz w:val="24"/>
              </w:rPr>
              <w:t>有关规定执行，验收依据包括</w:t>
            </w:r>
            <w:r>
              <w:rPr>
                <w:rFonts w:ascii="仿宋_GB2312" w:hAnsi="仿宋_GB2312" w:cs="仿宋_GB2312" w:eastAsia="仿宋_GB2312"/>
                <w:sz w:val="24"/>
              </w:rPr>
              <w:t>但不限于</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采购</w:t>
            </w:r>
            <w:r>
              <w:rPr>
                <w:rFonts w:ascii="仿宋_GB2312" w:hAnsi="仿宋_GB2312" w:cs="仿宋_GB2312" w:eastAsia="仿宋_GB2312"/>
                <w:sz w:val="24"/>
              </w:rPr>
              <w:t>合同、</w:t>
            </w:r>
            <w:r>
              <w:rPr>
                <w:rFonts w:ascii="仿宋_GB2312" w:hAnsi="仿宋_GB2312" w:cs="仿宋_GB2312" w:eastAsia="仿宋_GB2312"/>
                <w:sz w:val="24"/>
              </w:rPr>
              <w:t>竞争性磋商</w:t>
            </w:r>
            <w:r>
              <w:rPr>
                <w:rFonts w:ascii="仿宋_GB2312" w:hAnsi="仿宋_GB2312" w:cs="仿宋_GB2312" w:eastAsia="仿宋_GB2312"/>
                <w:sz w:val="24"/>
              </w:rPr>
              <w:t>文件、</w:t>
            </w:r>
            <w:r>
              <w:rPr>
                <w:rFonts w:ascii="仿宋_GB2312" w:hAnsi="仿宋_GB2312" w:cs="仿宋_GB2312" w:eastAsia="仿宋_GB2312"/>
                <w:sz w:val="24"/>
              </w:rPr>
              <w:t>成交供应商响应</w:t>
            </w:r>
            <w:r>
              <w:rPr>
                <w:rFonts w:ascii="仿宋_GB2312" w:hAnsi="仿宋_GB2312" w:cs="仿宋_GB2312" w:eastAsia="仿宋_GB2312"/>
                <w:sz w:val="24"/>
              </w:rPr>
              <w:t>文件明确的服务内容；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根据采购</w:t>
            </w:r>
            <w:r>
              <w:rPr>
                <w:rFonts w:ascii="仿宋_GB2312" w:hAnsi="仿宋_GB2312" w:cs="仿宋_GB2312" w:eastAsia="仿宋_GB2312"/>
                <w:sz w:val="24"/>
              </w:rPr>
              <w:t>文件所编写的</w:t>
            </w:r>
            <w:r>
              <w:rPr>
                <w:rFonts w:ascii="仿宋_GB2312" w:hAnsi="仿宋_GB2312" w:cs="仿宋_GB2312" w:eastAsia="仿宋_GB2312"/>
                <w:sz w:val="24"/>
              </w:rPr>
              <w:t>响应</w:t>
            </w:r>
            <w:r>
              <w:rPr>
                <w:rFonts w:ascii="仿宋_GB2312" w:hAnsi="仿宋_GB2312" w:cs="仿宋_GB2312" w:eastAsia="仿宋_GB2312"/>
                <w:sz w:val="24"/>
              </w:rPr>
              <w:t>文件</w:t>
            </w:r>
            <w:r>
              <w:rPr>
                <w:rFonts w:ascii="仿宋_GB2312" w:hAnsi="仿宋_GB2312" w:cs="仿宋_GB2312" w:eastAsia="仿宋_GB2312"/>
                <w:sz w:val="24"/>
              </w:rPr>
              <w:t>及竞争性磋商过程中形成的</w:t>
            </w:r>
            <w:r>
              <w:rPr>
                <w:rFonts w:ascii="仿宋_GB2312" w:hAnsi="仿宋_GB2312" w:cs="仿宋_GB2312" w:eastAsia="仿宋_GB2312"/>
                <w:sz w:val="24"/>
              </w:rPr>
              <w:t>全部文档。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3）其他与项目实施相关的规范标准</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商务要求</w:t>
            </w:r>
          </w:p>
          <w:p>
            <w:pPr>
              <w:pStyle w:val="null3"/>
              <w:ind w:firstLine="480"/>
            </w:pPr>
            <w:r>
              <w:rPr>
                <w:rFonts w:ascii="仿宋_GB2312" w:hAnsi="仿宋_GB2312" w:cs="仿宋_GB2312" w:eastAsia="仿宋_GB2312"/>
                <w:sz w:val="24"/>
              </w:rPr>
              <w:t>1.服务期限</w:t>
            </w:r>
          </w:p>
          <w:p>
            <w:pPr>
              <w:pStyle w:val="null3"/>
              <w:ind w:firstLine="480"/>
            </w:pPr>
            <w:r>
              <w:rPr>
                <w:rFonts w:ascii="仿宋_GB2312" w:hAnsi="仿宋_GB2312" w:cs="仿宋_GB2312" w:eastAsia="仿宋_GB2312"/>
                <w:sz w:val="24"/>
              </w:rPr>
              <w:t>本项目服务期限为</w:t>
            </w:r>
            <w:r>
              <w:rPr>
                <w:rFonts w:ascii="仿宋_GB2312" w:hAnsi="仿宋_GB2312" w:cs="仿宋_GB2312" w:eastAsia="仿宋_GB2312"/>
                <w:sz w:val="24"/>
              </w:rPr>
              <w:t>4个月，未按计划时限完成节点目标任务或项目延期等情形，纳入绩效评价考核与项目结算审核范畴。</w:t>
            </w:r>
          </w:p>
          <w:p>
            <w:pPr>
              <w:pStyle w:val="null3"/>
              <w:ind w:firstLine="480"/>
            </w:pPr>
            <w:r>
              <w:rPr>
                <w:rFonts w:ascii="仿宋_GB2312" w:hAnsi="仿宋_GB2312" w:cs="仿宋_GB2312" w:eastAsia="仿宋_GB2312"/>
                <w:sz w:val="24"/>
              </w:rPr>
              <w:t>2.服务地点</w:t>
            </w:r>
          </w:p>
          <w:p>
            <w:pPr>
              <w:pStyle w:val="null3"/>
              <w:ind w:firstLine="480"/>
            </w:pPr>
            <w:r>
              <w:rPr>
                <w:rFonts w:ascii="仿宋_GB2312" w:hAnsi="仿宋_GB2312" w:cs="仿宋_GB2312" w:eastAsia="仿宋_GB2312"/>
                <w:sz w:val="24"/>
              </w:rPr>
              <w:t>采购人指定服务地点。</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支付方式</w:t>
            </w:r>
          </w:p>
          <w:p>
            <w:pPr>
              <w:pStyle w:val="null3"/>
              <w:ind w:firstLine="480"/>
            </w:pPr>
            <w:r>
              <w:rPr>
                <w:rFonts w:ascii="仿宋_GB2312" w:hAnsi="仿宋_GB2312" w:cs="仿宋_GB2312" w:eastAsia="仿宋_GB2312"/>
                <w:sz w:val="24"/>
              </w:rPr>
              <w:t>合同完成签订后，</w:t>
            </w:r>
            <w:r>
              <w:rPr>
                <w:rFonts w:ascii="仿宋_GB2312" w:hAnsi="仿宋_GB2312" w:cs="仿宋_GB2312" w:eastAsia="仿宋_GB2312"/>
                <w:sz w:val="24"/>
              </w:rPr>
              <w:t>10个工作日内支付合同总价款的40%；合同执行完毕后，乙方应向甲方提交结算报告，经项目验收合格后，10个工作日内依据结算审核情况和绩效评价考核情况据实支付剩余合同款。甲方支付款项前，乙方应向甲方开具等额的增值税发票。</w:t>
            </w:r>
          </w:p>
          <w:p>
            <w:pPr>
              <w:pStyle w:val="null3"/>
              <w:ind w:firstLine="482"/>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其他要求</w:t>
            </w:r>
          </w:p>
          <w:p>
            <w:pPr>
              <w:pStyle w:val="null3"/>
              <w:ind w:firstLine="480"/>
            </w:pPr>
            <w:r>
              <w:rPr>
                <w:rFonts w:ascii="仿宋_GB2312" w:hAnsi="仿宋_GB2312" w:cs="仿宋_GB2312" w:eastAsia="仿宋_GB2312"/>
                <w:sz w:val="24"/>
              </w:rPr>
              <w:t>1.本项目实施过程中，乙方</w:t>
            </w:r>
            <w:r>
              <w:rPr>
                <w:rFonts w:ascii="仿宋_GB2312" w:hAnsi="仿宋_GB2312" w:cs="仿宋_GB2312" w:eastAsia="仿宋_GB2312"/>
                <w:sz w:val="24"/>
              </w:rPr>
              <w:t>编制的</w:t>
            </w:r>
            <w:r>
              <w:rPr>
                <w:rFonts w:ascii="仿宋_GB2312" w:hAnsi="仿宋_GB2312" w:cs="仿宋_GB2312" w:eastAsia="仿宋_GB2312"/>
                <w:sz w:val="24"/>
              </w:rPr>
              <w:t>技术框架</w:t>
            </w:r>
            <w:r>
              <w:rPr>
                <w:rFonts w:ascii="仿宋_GB2312" w:hAnsi="仿宋_GB2312" w:cs="仿宋_GB2312" w:eastAsia="仿宋_GB2312"/>
                <w:sz w:val="24"/>
              </w:rPr>
              <w:t>和管理体系、评估成果材料</w:t>
            </w:r>
            <w:r>
              <w:rPr>
                <w:rFonts w:ascii="仿宋_GB2312" w:hAnsi="仿宋_GB2312" w:cs="仿宋_GB2312" w:eastAsia="仿宋_GB2312"/>
                <w:sz w:val="24"/>
              </w:rPr>
              <w:t>，其知识产权归甲方所有。</w:t>
            </w:r>
          </w:p>
          <w:p>
            <w:pPr>
              <w:pStyle w:val="null3"/>
            </w:pPr>
            <w:r>
              <w:rPr>
                <w:rFonts w:ascii="仿宋_GB2312" w:hAnsi="仿宋_GB2312" w:cs="仿宋_GB2312" w:eastAsia="仿宋_GB2312"/>
                <w:sz w:val="24"/>
              </w:rPr>
              <w:t xml:space="preserve">        2</w:t>
            </w:r>
            <w:r>
              <w:rPr>
                <w:rFonts w:ascii="仿宋_GB2312" w:hAnsi="仿宋_GB2312" w:cs="仿宋_GB2312" w:eastAsia="仿宋_GB2312"/>
                <w:sz w:val="24"/>
              </w:rPr>
              <w:t>.乙方对甲方提供的所有业务技术资料、文档，有责任对第三方保密。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服务期限：4个月。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预付款，合同完成签订后，达到付款条件起10个工作日内，支付合同总金额的40.0%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其他，合同执行完毕后，乙方应向甲方提交结算报告，经项目验收合格后，依据结算审核情况和绩效评价考核情况据实支付剩余合同款，达到付款条件起10个工作日内，支付合同总金额的60.0%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市政务应用系统信创改造技术咨询服务项目”对应的中小企业划分标准所属行业为：软件和信息技术服务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本项3.3.5条支付约定因系统设置原因，具体支付比例以技术参数与性能指标中的要求为准。4、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提供针对本项目的需求分析，包含但不限于：①对中省市信创适配改造工作有关政策的理解；②对政务应用系统信创适配改造主要工作内容的理解分析；③对本项目业务需求理解分析。共3项，每项满分4分。内容完整，可行性针对性强，完全满足采购需求得满分，每有一处内容存在缺陷，扣1分，扣完为止。注：缺陷是指内容不合理未完善、逻辑混乱、缺少关键点、需求有偏差、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包含但不限于：①咨询服务目标与原则；②顶层设计咨询服务内容、设计方法、工作流程及标准宣贯；③系统评估咨询服务内容、评估方法、工作流程及技术答疑保障机制；④咨询服务过程重难点问题分析及解决思路；⑤咨询成果质量及落地配合服务。共5项，每项满分4分。方案内容完整、思路清晰、实施办法科学可行，能够详细说明咨询服务过程流程，准确描述交付成果要点，可操作性针对性专业性强，完全满足采购需求得满分，每有一处内容存在缺陷，扣1分，扣完为止。注：缺陷是指内容不合理未完善、逻辑混乱、缺少关键点、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供应商提供针对本项目实施计划，包含但不限于：①项目实施进度计划；②资源配置计划；③关键环节或过程风险因素分析及进度控制策略。共3项，每项满分4分。内容完整，可行性针对性强，完全满足采购需求得满分，每有一处内容存在缺陷，扣1分，扣完为止。注：缺陷是指内容不合理未完善、逻辑混乱、缺少关键点、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质量措施</w:t>
            </w:r>
          </w:p>
        </w:tc>
        <w:tc>
          <w:tcPr>
            <w:tcW w:type="dxa" w:w="2492"/>
          </w:tcPr>
          <w:p>
            <w:pPr>
              <w:pStyle w:val="null3"/>
            </w:pPr>
            <w:r>
              <w:rPr>
                <w:rFonts w:ascii="仿宋_GB2312" w:hAnsi="仿宋_GB2312" w:cs="仿宋_GB2312" w:eastAsia="仿宋_GB2312"/>
              </w:rPr>
              <w:t>供应商提供针对本项目质量控制措施，包含但不限于：①质量管理体系；②服务过程风险因素分析及质量控制方法措施；③成果交付质量控制。共3项，每项满分4分。内容完整，可行性针对性强，每有一处内容存在缺陷，扣1分，扣完为止。注：缺陷是指内容不合理未完善、逻辑混乱、缺少关键点、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包含但不限于：①项目人员管理架构及资源调度方案；②保密管理及承诺；③培训计划安排方案。共3项，每项满分3分。内容完整，可行性针对性强，每有一处内容存在缺陷，扣1分，扣完为止。注：缺陷是指内容不合理未完善、逻辑混乱、缺少关键点、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应具备相应的专业技术能力及统筹管理能力：具有信创、软考等由政府行政主管部门颁发与项目实施相关类专业证书，高级证书任意1项计3分，中级证书任意1项计1分，其余为0分，满分6分。注：同一专业证书以最高证书计，须同时提供人员相关证书及在本单位所缴纳的开标前三个月内任意一个月的社会保险凭证，并加盖公章，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拟投入团队人员（不包含项目负责人）：团队人员具有信创、软考等由政府行政主管部门颁发与项目实施相关类专业证书，任意一项专业高级证书计3分，中级证书计1分，满分15分。注：须同时提供人员相关证书及在本单位所缴纳的开标前三个月内任意一个月的社会保险凭证，并加盖公章，未提供或提供不全不得分。（同一人员持有多专业证书， 只选取1个最高证书计分，其余不同专业证书不再计分）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信息化类项目规划咨询、信创评估咨询等类似项目业绩（以合同签订日期为准），每提供1个得2分，最多得4分，未提供不得分。备注：供应商需提供服务合同复印件（含合同首页、服务内容页、金额页、盖章页），时限要求不符、服务内容及金额不清晰的合同均无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