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8917" w:type="dxa"/>
        <w:tblInd w:w="1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636"/>
        <w:gridCol w:w="5681"/>
        <w:gridCol w:w="820"/>
      </w:tblGrid>
      <w:tr w14:paraId="5263F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780" w:type="dxa"/>
            <w:noWrap w:val="0"/>
            <w:vAlign w:val="center"/>
          </w:tcPr>
          <w:p w14:paraId="2478D5EC">
            <w:pPr>
              <w:spacing w:line="360" w:lineRule="auto"/>
              <w:jc w:val="center"/>
              <w:rPr>
                <w:rFonts w:hint="eastAsia" w:ascii="宋体" w:hAnsi="宋体" w:cs="宋体"/>
                <w:sz w:val="24"/>
              </w:rPr>
            </w:pPr>
            <w:r>
              <w:rPr>
                <w:rFonts w:hint="eastAsia" w:ascii="宋体" w:hAnsi="宋体" w:cs="宋体"/>
                <w:sz w:val="24"/>
              </w:rPr>
              <w:t>序号</w:t>
            </w:r>
          </w:p>
        </w:tc>
        <w:tc>
          <w:tcPr>
            <w:tcW w:w="1636" w:type="dxa"/>
            <w:noWrap w:val="0"/>
            <w:vAlign w:val="center"/>
          </w:tcPr>
          <w:p w14:paraId="003FC29C">
            <w:pPr>
              <w:spacing w:line="360" w:lineRule="auto"/>
              <w:jc w:val="center"/>
              <w:rPr>
                <w:rFonts w:hint="eastAsia" w:ascii="宋体" w:hAnsi="宋体" w:cs="宋体"/>
                <w:sz w:val="24"/>
              </w:rPr>
            </w:pPr>
            <w:r>
              <w:rPr>
                <w:rFonts w:hint="eastAsia" w:ascii="宋体" w:hAnsi="宋体" w:cs="宋体"/>
                <w:sz w:val="24"/>
              </w:rPr>
              <w:t>服务名称</w:t>
            </w:r>
          </w:p>
        </w:tc>
        <w:tc>
          <w:tcPr>
            <w:tcW w:w="5681" w:type="dxa"/>
            <w:noWrap w:val="0"/>
            <w:vAlign w:val="center"/>
          </w:tcPr>
          <w:p w14:paraId="4E71137A">
            <w:pPr>
              <w:spacing w:line="360" w:lineRule="auto"/>
              <w:rPr>
                <w:rFonts w:hint="eastAsia" w:ascii="宋体" w:hAnsi="宋体" w:cs="宋体"/>
                <w:sz w:val="24"/>
              </w:rPr>
            </w:pPr>
            <w:r>
              <w:rPr>
                <w:rFonts w:hint="eastAsia" w:ascii="宋体" w:hAnsi="宋体" w:cs="宋体"/>
                <w:sz w:val="24"/>
              </w:rPr>
              <w:t>技术参数与性能指标</w:t>
            </w:r>
          </w:p>
        </w:tc>
        <w:tc>
          <w:tcPr>
            <w:tcW w:w="820" w:type="dxa"/>
            <w:noWrap w:val="0"/>
            <w:vAlign w:val="center"/>
          </w:tcPr>
          <w:p w14:paraId="3B6E20F4">
            <w:pPr>
              <w:spacing w:line="360" w:lineRule="auto"/>
              <w:jc w:val="center"/>
              <w:rPr>
                <w:rFonts w:hint="eastAsia" w:ascii="宋体" w:hAnsi="宋体" w:cs="宋体"/>
                <w:sz w:val="24"/>
              </w:rPr>
            </w:pPr>
            <w:r>
              <w:rPr>
                <w:rFonts w:hint="eastAsia" w:ascii="宋体" w:hAnsi="宋体" w:cs="宋体"/>
                <w:sz w:val="24"/>
              </w:rPr>
              <w:t>数量</w:t>
            </w:r>
          </w:p>
        </w:tc>
      </w:tr>
      <w:tr w14:paraId="45204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noWrap w:val="0"/>
            <w:vAlign w:val="center"/>
          </w:tcPr>
          <w:p w14:paraId="3986DDFD">
            <w:pPr>
              <w:spacing w:line="360" w:lineRule="auto"/>
              <w:jc w:val="center"/>
              <w:rPr>
                <w:rFonts w:hint="eastAsia" w:ascii="宋体" w:hAnsi="宋体" w:cs="宋体"/>
                <w:sz w:val="24"/>
              </w:rPr>
            </w:pPr>
            <w:r>
              <w:rPr>
                <w:rFonts w:hint="eastAsia" w:ascii="宋体" w:hAnsi="宋体" w:cs="宋体"/>
                <w:sz w:val="24"/>
              </w:rPr>
              <w:t>1</w:t>
            </w:r>
          </w:p>
        </w:tc>
        <w:tc>
          <w:tcPr>
            <w:tcW w:w="1636" w:type="dxa"/>
            <w:noWrap w:val="0"/>
            <w:vAlign w:val="center"/>
          </w:tcPr>
          <w:p w14:paraId="29162876">
            <w:pPr>
              <w:spacing w:line="360" w:lineRule="auto"/>
              <w:jc w:val="center"/>
              <w:rPr>
                <w:rFonts w:hint="eastAsia" w:ascii="宋体" w:hAnsi="宋体" w:cs="宋体"/>
                <w:sz w:val="24"/>
              </w:rPr>
            </w:pPr>
            <w:r>
              <w:rPr>
                <w:rFonts w:hint="eastAsia" w:ascii="宋体" w:hAnsi="宋体" w:cs="宋体"/>
                <w:sz w:val="24"/>
              </w:rPr>
              <w:t>安全态势感知平台维保服务</w:t>
            </w:r>
          </w:p>
        </w:tc>
        <w:tc>
          <w:tcPr>
            <w:tcW w:w="5681" w:type="dxa"/>
            <w:noWrap w:val="0"/>
            <w:vAlign w:val="center"/>
          </w:tcPr>
          <w:p w14:paraId="630DAE02">
            <w:pPr>
              <w:spacing w:line="360" w:lineRule="auto"/>
              <w:rPr>
                <w:rFonts w:hint="eastAsia" w:ascii="宋体" w:hAnsi="宋体" w:cs="宋体"/>
                <w:sz w:val="24"/>
              </w:rPr>
            </w:pPr>
            <w:r>
              <w:rPr>
                <w:rFonts w:hint="eastAsia" w:ascii="宋体" w:hAnsi="宋体" w:cs="宋体"/>
                <w:sz w:val="24"/>
              </w:rPr>
              <w:t>1.提供安全态势感知平台平台系统软件的基础维保服务，包括用于修复产品问题（软件无法正常运行）和功能问题（功能无法正常使用）的软件更新服务。</w:t>
            </w:r>
          </w:p>
          <w:p w14:paraId="17F9AF1B">
            <w:pPr>
              <w:spacing w:line="360" w:lineRule="auto"/>
              <w:rPr>
                <w:rFonts w:hint="eastAsia" w:ascii="宋体" w:hAnsi="宋体" w:cs="宋体"/>
                <w:sz w:val="24"/>
              </w:rPr>
            </w:pPr>
            <w:r>
              <w:rPr>
                <w:rFonts w:hint="eastAsia" w:ascii="宋体" w:hAnsi="宋体" w:cs="宋体"/>
                <w:sz w:val="24"/>
                <w:highlight w:val="none"/>
              </w:rPr>
              <w:t>2.服务期限：2年。</w:t>
            </w:r>
          </w:p>
        </w:tc>
        <w:tc>
          <w:tcPr>
            <w:tcW w:w="820" w:type="dxa"/>
            <w:noWrap w:val="0"/>
            <w:vAlign w:val="center"/>
          </w:tcPr>
          <w:p w14:paraId="670C0203">
            <w:pPr>
              <w:spacing w:line="360" w:lineRule="auto"/>
              <w:jc w:val="center"/>
              <w:rPr>
                <w:rFonts w:hint="eastAsia" w:ascii="宋体" w:hAnsi="宋体" w:cs="宋体"/>
                <w:sz w:val="24"/>
              </w:rPr>
            </w:pPr>
            <w:r>
              <w:rPr>
                <w:rFonts w:hint="eastAsia" w:ascii="宋体" w:hAnsi="宋体" w:cs="宋体"/>
                <w:sz w:val="24"/>
              </w:rPr>
              <w:t>1</w:t>
            </w:r>
          </w:p>
        </w:tc>
      </w:tr>
      <w:tr w14:paraId="174C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noWrap w:val="0"/>
            <w:vAlign w:val="center"/>
          </w:tcPr>
          <w:p w14:paraId="16DBC75D">
            <w:pPr>
              <w:spacing w:line="360" w:lineRule="auto"/>
              <w:jc w:val="center"/>
              <w:rPr>
                <w:rFonts w:hint="eastAsia" w:ascii="宋体" w:hAnsi="宋体" w:cs="宋体"/>
                <w:sz w:val="24"/>
              </w:rPr>
            </w:pPr>
            <w:r>
              <w:rPr>
                <w:rFonts w:hint="eastAsia" w:ascii="宋体" w:hAnsi="宋体" w:cs="宋体"/>
                <w:sz w:val="24"/>
              </w:rPr>
              <w:t>2</w:t>
            </w:r>
          </w:p>
        </w:tc>
        <w:tc>
          <w:tcPr>
            <w:tcW w:w="1636" w:type="dxa"/>
            <w:noWrap w:val="0"/>
            <w:vAlign w:val="center"/>
          </w:tcPr>
          <w:p w14:paraId="0D7410D6">
            <w:pPr>
              <w:spacing w:line="360" w:lineRule="auto"/>
              <w:jc w:val="center"/>
              <w:rPr>
                <w:rFonts w:hint="eastAsia" w:ascii="宋体" w:hAnsi="宋体" w:cs="宋体"/>
                <w:sz w:val="24"/>
              </w:rPr>
            </w:pPr>
            <w:r>
              <w:rPr>
                <w:rFonts w:hint="eastAsia" w:ascii="宋体" w:hAnsi="宋体" w:cs="宋体"/>
                <w:sz w:val="24"/>
              </w:rPr>
              <w:t>云防护服务</w:t>
            </w:r>
          </w:p>
        </w:tc>
        <w:tc>
          <w:tcPr>
            <w:tcW w:w="5681" w:type="dxa"/>
            <w:noWrap w:val="0"/>
            <w:vAlign w:val="center"/>
          </w:tcPr>
          <w:p w14:paraId="0906DD74">
            <w:pPr>
              <w:numPr>
                <w:ilvl w:val="0"/>
                <w:numId w:val="1"/>
              </w:numPr>
              <w:spacing w:line="360" w:lineRule="auto"/>
              <w:rPr>
                <w:rFonts w:hint="eastAsia" w:ascii="宋体" w:hAnsi="宋体" w:cs="宋体"/>
                <w:sz w:val="24"/>
              </w:rPr>
            </w:pPr>
            <w:r>
              <w:rPr>
                <w:rFonts w:hint="eastAsia" w:ascii="宋体" w:hAnsi="宋体" w:cs="宋体"/>
                <w:sz w:val="24"/>
              </w:rPr>
              <w:t>域名：根域名数≥1 个；子域名数量上限≥15 个；清洁流量≥20TB。</w:t>
            </w:r>
            <w:r>
              <w:rPr>
                <w:rFonts w:hint="eastAsia" w:ascii="宋体" w:hAnsi="宋体" w:cs="宋体"/>
                <w:sz w:val="24"/>
              </w:rPr>
              <w:br w:type="textWrapping"/>
            </w:r>
            <w:r>
              <w:rPr>
                <w:rFonts w:hint="eastAsia" w:ascii="宋体" w:hAnsi="宋体" w:cs="宋体"/>
                <w:sz w:val="24"/>
              </w:rPr>
              <w:t>2.带宽：带宽上限无限制。</w:t>
            </w:r>
            <w:r>
              <w:rPr>
                <w:rFonts w:hint="eastAsia" w:ascii="宋体" w:hAnsi="宋体" w:cs="宋体"/>
                <w:sz w:val="24"/>
              </w:rPr>
              <w:br w:type="textWrapping"/>
            </w:r>
            <w:r>
              <w:rPr>
                <w:rFonts w:hint="eastAsia" w:ascii="宋体" w:hAnsi="宋体" w:cs="宋体"/>
                <w:sz w:val="24"/>
              </w:rPr>
              <w:t>3.流量：流量上限≥20T/年</w:t>
            </w:r>
            <w:r>
              <w:rPr>
                <w:rFonts w:hint="eastAsia" w:ascii="宋体" w:hAnsi="宋体" w:cs="宋体"/>
                <w:sz w:val="24"/>
              </w:rPr>
              <w:br w:type="textWrapping"/>
            </w:r>
            <w:r>
              <w:rPr>
                <w:rFonts w:hint="eastAsia" w:ascii="宋体" w:hAnsi="宋体" w:cs="宋体"/>
                <w:sz w:val="24"/>
              </w:rPr>
              <w:t>4.智能DNS：提供DNS域名解析，支持NS和cname方式。</w:t>
            </w:r>
            <w:r>
              <w:rPr>
                <w:rFonts w:hint="eastAsia" w:ascii="宋体" w:hAnsi="宋体" w:cs="宋体"/>
                <w:sz w:val="24"/>
              </w:rPr>
              <w:br w:type="textWrapping"/>
            </w:r>
            <w:r>
              <w:rPr>
                <w:rFonts w:hint="eastAsia" w:ascii="宋体" w:hAnsi="宋体" w:cs="宋体"/>
                <w:sz w:val="24"/>
              </w:rPr>
              <w:t>5.网站防火墙：可防护SQL注入、命令注入、跨站脚本、文件包含、信息探测等常见攻击，防止网站因为漏洞导致被篡改，被拖库，被入侵。</w:t>
            </w:r>
            <w:r>
              <w:rPr>
                <w:rFonts w:hint="eastAsia" w:ascii="宋体" w:hAnsi="宋体" w:cs="宋体"/>
                <w:sz w:val="24"/>
              </w:rPr>
              <w:br w:type="textWrapping"/>
            </w:r>
            <w:r>
              <w:rPr>
                <w:rFonts w:hint="eastAsia" w:ascii="宋体" w:hAnsi="宋体" w:cs="宋体"/>
                <w:sz w:val="24"/>
              </w:rPr>
              <w:t>6.防火墙策略白名单：对指定的Web防火墙策略不进行拦截≥100条。</w:t>
            </w:r>
            <w:r>
              <w:rPr>
                <w:rFonts w:hint="eastAsia" w:ascii="宋体" w:hAnsi="宋体" w:cs="宋体"/>
                <w:sz w:val="24"/>
              </w:rPr>
              <w:br w:type="textWrapping"/>
            </w:r>
            <w:r>
              <w:rPr>
                <w:rFonts w:hint="eastAsia" w:ascii="宋体" w:hAnsi="宋体" w:cs="宋体"/>
                <w:sz w:val="24"/>
              </w:rPr>
              <w:t>7.浏览器安全检查：为首次访问您业务系统的客户端浏览器进行全方位安全检查。</w:t>
            </w:r>
            <w:r>
              <w:rPr>
                <w:rFonts w:hint="eastAsia" w:ascii="宋体" w:hAnsi="宋体" w:cs="宋体"/>
                <w:sz w:val="24"/>
              </w:rPr>
              <w:br w:type="textWrapping"/>
            </w:r>
            <w:r>
              <w:rPr>
                <w:rFonts w:hint="eastAsia" w:ascii="宋体" w:hAnsi="宋体" w:cs="宋体"/>
                <w:sz w:val="24"/>
              </w:rPr>
              <w:t>8.可视化：支持网站概况显示，安全报告，实时攻击显示等功能。</w:t>
            </w:r>
            <w:r>
              <w:rPr>
                <w:rFonts w:hint="eastAsia" w:ascii="宋体" w:hAnsi="宋体" w:cs="宋体"/>
                <w:sz w:val="24"/>
              </w:rPr>
              <w:br w:type="textWrapping"/>
            </w:r>
            <w:r>
              <w:rPr>
                <w:rFonts w:hint="eastAsia" w:ascii="宋体" w:hAnsi="宋体" w:cs="宋体"/>
                <w:sz w:val="24"/>
              </w:rPr>
              <w:t>9.日志审计：提供用户在平台上的操作日志和登录日志，并提供查询功能。</w:t>
            </w:r>
            <w:r>
              <w:rPr>
                <w:rFonts w:hint="eastAsia" w:ascii="宋体" w:hAnsi="宋体" w:cs="宋体"/>
                <w:sz w:val="24"/>
              </w:rPr>
              <w:br w:type="textWrapping"/>
            </w:r>
            <w:r>
              <w:rPr>
                <w:rFonts w:hint="eastAsia" w:ascii="宋体" w:hAnsi="宋体" w:cs="宋体"/>
                <w:sz w:val="24"/>
                <w:highlight w:val="none"/>
              </w:rPr>
              <w:t>10.服务期限：2年。</w:t>
            </w:r>
          </w:p>
        </w:tc>
        <w:tc>
          <w:tcPr>
            <w:tcW w:w="820" w:type="dxa"/>
            <w:noWrap w:val="0"/>
            <w:vAlign w:val="center"/>
          </w:tcPr>
          <w:p w14:paraId="75C713D0">
            <w:pPr>
              <w:spacing w:line="360" w:lineRule="auto"/>
              <w:jc w:val="center"/>
              <w:rPr>
                <w:rFonts w:hint="eastAsia" w:ascii="宋体" w:hAnsi="宋体" w:cs="宋体"/>
                <w:sz w:val="24"/>
              </w:rPr>
            </w:pPr>
            <w:r>
              <w:rPr>
                <w:rFonts w:hint="eastAsia" w:ascii="宋体" w:hAnsi="宋体" w:cs="宋体"/>
                <w:sz w:val="24"/>
              </w:rPr>
              <w:t>1</w:t>
            </w:r>
          </w:p>
        </w:tc>
      </w:tr>
      <w:tr w14:paraId="53C7C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noWrap w:val="0"/>
            <w:vAlign w:val="center"/>
          </w:tcPr>
          <w:p w14:paraId="0921CA84">
            <w:pPr>
              <w:spacing w:line="360" w:lineRule="auto"/>
              <w:jc w:val="center"/>
              <w:rPr>
                <w:rFonts w:hint="eastAsia" w:ascii="宋体" w:hAnsi="宋体" w:cs="宋体"/>
                <w:sz w:val="24"/>
              </w:rPr>
            </w:pPr>
            <w:r>
              <w:rPr>
                <w:rFonts w:hint="eastAsia" w:ascii="宋体" w:hAnsi="宋体" w:cs="宋体"/>
                <w:sz w:val="24"/>
              </w:rPr>
              <w:t>3</w:t>
            </w:r>
          </w:p>
        </w:tc>
        <w:tc>
          <w:tcPr>
            <w:tcW w:w="1636" w:type="dxa"/>
            <w:noWrap w:val="0"/>
            <w:vAlign w:val="center"/>
          </w:tcPr>
          <w:p w14:paraId="2D3D67CF">
            <w:pPr>
              <w:spacing w:line="360" w:lineRule="auto"/>
              <w:jc w:val="center"/>
              <w:rPr>
                <w:rFonts w:hint="eastAsia" w:ascii="宋体" w:hAnsi="宋体" w:cs="宋体"/>
                <w:sz w:val="24"/>
              </w:rPr>
            </w:pPr>
            <w:r>
              <w:rPr>
                <w:rFonts w:hint="eastAsia" w:ascii="宋体" w:hAnsi="宋体" w:cs="宋体"/>
                <w:sz w:val="24"/>
              </w:rPr>
              <w:t>Web应用防火墙维保服务</w:t>
            </w:r>
          </w:p>
        </w:tc>
        <w:tc>
          <w:tcPr>
            <w:tcW w:w="5681" w:type="dxa"/>
            <w:noWrap w:val="0"/>
            <w:vAlign w:val="center"/>
          </w:tcPr>
          <w:p w14:paraId="5D5E5EF3">
            <w:pPr>
              <w:spacing w:line="360" w:lineRule="auto"/>
              <w:rPr>
                <w:rFonts w:hint="eastAsia" w:ascii="宋体" w:hAnsi="宋体" w:cs="宋体"/>
                <w:sz w:val="24"/>
              </w:rPr>
            </w:pPr>
            <w:r>
              <w:rPr>
                <w:rFonts w:hint="eastAsia" w:ascii="宋体" w:hAnsi="宋体" w:cs="宋体"/>
                <w:sz w:val="24"/>
              </w:rPr>
              <w:t>1.防火墙策略集：可防护SQL注入、命令注入、跨站脚本、文件包含、信息探测等常见攻击，防止网站因为漏洞导致被篡改，被拖库，被入侵。支持防护策略集打开关闭，常规防护策略集包括：扫描器/爬虫防御策略集，异常HTTP请求防御策略集，SQL注入防护策略，POST请求SQL注入防护策略，Webshell防护策略，XSS防护策略，POST请求XSS防护策略，命令/代码执行防护策略，文件包含/注入防护策略。高级防护策略包括：OWASP高级防护策略集，特定web应用防护策略集。</w:t>
            </w:r>
          </w:p>
          <w:p w14:paraId="5E195314">
            <w:pPr>
              <w:spacing w:line="360" w:lineRule="auto"/>
              <w:rPr>
                <w:rFonts w:hint="eastAsia" w:ascii="宋体" w:hAnsi="宋体" w:cs="宋体"/>
                <w:sz w:val="24"/>
              </w:rPr>
            </w:pPr>
            <w:r>
              <w:rPr>
                <w:rFonts w:hint="eastAsia" w:ascii="宋体" w:hAnsi="宋体" w:cs="宋体"/>
                <w:sz w:val="24"/>
              </w:rPr>
              <w:t>2.拟态防御：支持模拟不同的动态请求访问交互模式实现拟态防御效果，进而迷惑攻击者使其无法形成实质有效攻击。</w:t>
            </w:r>
          </w:p>
          <w:p w14:paraId="4027DFA0">
            <w:pPr>
              <w:spacing w:line="360" w:lineRule="auto"/>
              <w:rPr>
                <w:rFonts w:hint="eastAsia" w:ascii="宋体" w:hAnsi="宋体" w:cs="宋体"/>
                <w:sz w:val="24"/>
              </w:rPr>
            </w:pPr>
            <w:r>
              <w:rPr>
                <w:rFonts w:hint="eastAsia" w:ascii="宋体" w:hAnsi="宋体" w:cs="宋体"/>
                <w:sz w:val="24"/>
              </w:rPr>
              <w:t>3.区域访问控制：限制境外IP访问，由于攻击者大量使用国外跳板进行攻击，开启本功能可极大减少此类威胁；限制不同省份、特区的IP进行访问。</w:t>
            </w:r>
          </w:p>
          <w:p w14:paraId="75329D58">
            <w:pPr>
              <w:spacing w:line="360" w:lineRule="auto"/>
              <w:rPr>
                <w:rFonts w:hint="eastAsia" w:ascii="宋体" w:hAnsi="宋体" w:cs="宋体"/>
                <w:sz w:val="24"/>
              </w:rPr>
            </w:pPr>
            <w:r>
              <w:rPr>
                <w:rFonts w:hint="eastAsia" w:ascii="宋体" w:hAnsi="宋体" w:cs="宋体"/>
                <w:sz w:val="24"/>
              </w:rPr>
              <w:t>4.精准访问控制：对http请求头中的多个字段进行精细化访问控制。</w:t>
            </w:r>
          </w:p>
          <w:p w14:paraId="354C3D2F">
            <w:pPr>
              <w:spacing w:line="360" w:lineRule="auto"/>
              <w:rPr>
                <w:rFonts w:hint="eastAsia" w:ascii="宋体" w:hAnsi="宋体" w:cs="宋体"/>
                <w:sz w:val="24"/>
              </w:rPr>
            </w:pPr>
            <w:r>
              <w:rPr>
                <w:rFonts w:hint="eastAsia" w:ascii="宋体" w:hAnsi="宋体" w:cs="宋体"/>
                <w:sz w:val="24"/>
              </w:rPr>
              <w:t>5.高级扫描防护：针对高频的恶意目录遍历或扫描行为，对其IP实施自定义访问封禁。</w:t>
            </w:r>
          </w:p>
          <w:p w14:paraId="6A60EA84">
            <w:pPr>
              <w:spacing w:line="360" w:lineRule="auto"/>
              <w:rPr>
                <w:rFonts w:hint="eastAsia" w:ascii="宋体" w:hAnsi="宋体" w:cs="宋体"/>
                <w:sz w:val="24"/>
              </w:rPr>
            </w:pPr>
            <w:r>
              <w:rPr>
                <w:rFonts w:hint="eastAsia" w:ascii="宋体" w:hAnsi="宋体" w:cs="宋体"/>
                <w:sz w:val="24"/>
              </w:rPr>
              <w:t>6.智能攻击防御：可精准识别多种自动化扫描和攻击软件，深度解析编码过的、畸形的恶意代码，并阻断其请求，减少90%以上的恶意攻击。</w:t>
            </w:r>
          </w:p>
          <w:p w14:paraId="766BC096">
            <w:pPr>
              <w:spacing w:line="360" w:lineRule="auto"/>
              <w:rPr>
                <w:rFonts w:hint="eastAsia" w:ascii="宋体" w:hAnsi="宋体" w:cs="宋体"/>
                <w:sz w:val="24"/>
              </w:rPr>
            </w:pPr>
            <w:r>
              <w:rPr>
                <w:rFonts w:hint="eastAsia" w:ascii="宋体" w:hAnsi="宋体" w:cs="宋体"/>
                <w:sz w:val="24"/>
              </w:rPr>
              <w:t>7.浏览器安全检查：为首次访问您业务系统的客户端浏览器进行全方位安全检查。</w:t>
            </w:r>
          </w:p>
          <w:p w14:paraId="2EF6F5F3">
            <w:pPr>
              <w:spacing w:line="360" w:lineRule="auto"/>
              <w:rPr>
                <w:rFonts w:hint="eastAsia" w:ascii="宋体" w:hAnsi="宋体" w:cs="宋体"/>
                <w:sz w:val="24"/>
              </w:rPr>
            </w:pPr>
            <w:r>
              <w:rPr>
                <w:rFonts w:hint="eastAsia" w:ascii="宋体" w:hAnsi="宋体" w:cs="宋体"/>
                <w:sz w:val="24"/>
              </w:rPr>
              <w:t>8.资产接入：支持域名或 IP 类型业务资产接入防护。</w:t>
            </w:r>
          </w:p>
          <w:p w14:paraId="24392E4D">
            <w:pPr>
              <w:spacing w:line="360" w:lineRule="auto"/>
              <w:rPr>
                <w:rFonts w:hint="eastAsia" w:ascii="宋体" w:hAnsi="宋体" w:cs="宋体"/>
                <w:sz w:val="24"/>
              </w:rPr>
            </w:pPr>
            <w:r>
              <w:rPr>
                <w:rFonts w:hint="eastAsia" w:ascii="宋体" w:hAnsi="宋体" w:cs="宋体"/>
                <w:sz w:val="24"/>
              </w:rPr>
              <w:t>9.智能限速：通过对特定网址（URL）单个IP请求频率进行限速设置，广泛应用于API接口攻击、秒杀防刷等业务场景。</w:t>
            </w:r>
          </w:p>
          <w:p w14:paraId="1A6793E9">
            <w:pPr>
              <w:spacing w:line="360" w:lineRule="auto"/>
              <w:rPr>
                <w:rFonts w:hint="eastAsia" w:ascii="宋体" w:hAnsi="宋体" w:cs="宋体"/>
                <w:sz w:val="24"/>
              </w:rPr>
            </w:pPr>
            <w:r>
              <w:rPr>
                <w:rFonts w:hint="eastAsia" w:ascii="宋体" w:hAnsi="宋体" w:cs="宋体"/>
                <w:sz w:val="24"/>
              </w:rPr>
              <w:t>10.告警中心：提供按照攻击阈值设定安全告警、系统负载告警功能，支持邮件、飞书、钉钉、企业微信等方式推送告警信息。</w:t>
            </w:r>
          </w:p>
          <w:p w14:paraId="554D1AE3">
            <w:pPr>
              <w:spacing w:line="360" w:lineRule="auto"/>
              <w:rPr>
                <w:rFonts w:hint="eastAsia" w:ascii="宋体" w:hAnsi="宋体" w:cs="宋体"/>
                <w:sz w:val="24"/>
              </w:rPr>
            </w:pPr>
            <w:r>
              <w:rPr>
                <w:rFonts w:hint="eastAsia" w:ascii="宋体" w:hAnsi="宋体" w:cs="宋体"/>
                <w:sz w:val="24"/>
              </w:rPr>
              <w:t>11.</w:t>
            </w:r>
            <w:r>
              <w:rPr>
                <w:rFonts w:hint="eastAsia" w:ascii="宋体" w:hAnsi="宋体" w:cs="宋体"/>
                <w:sz w:val="24"/>
                <w:highlight w:val="none"/>
              </w:rPr>
              <w:t>提供2年维保服务</w:t>
            </w:r>
            <w:r>
              <w:rPr>
                <w:rFonts w:hint="eastAsia" w:ascii="宋体" w:hAnsi="宋体" w:cs="宋体"/>
                <w:sz w:val="24"/>
              </w:rPr>
              <w:t>，包含特征库升级及维护服务。</w:t>
            </w:r>
          </w:p>
          <w:p w14:paraId="2C3E9A3E">
            <w:pPr>
              <w:spacing w:line="360" w:lineRule="auto"/>
              <w:rPr>
                <w:rFonts w:hint="eastAsia" w:ascii="宋体" w:hAnsi="宋体" w:cs="宋体"/>
                <w:sz w:val="24"/>
              </w:rPr>
            </w:pPr>
            <w:r>
              <w:rPr>
                <w:rFonts w:hint="eastAsia" w:ascii="宋体" w:hAnsi="宋体" w:cs="宋体"/>
                <w:sz w:val="24"/>
                <w:highlight w:val="none"/>
              </w:rPr>
              <w:t>12.服务期限：2年。</w:t>
            </w:r>
          </w:p>
        </w:tc>
        <w:tc>
          <w:tcPr>
            <w:tcW w:w="820" w:type="dxa"/>
            <w:noWrap w:val="0"/>
            <w:vAlign w:val="center"/>
          </w:tcPr>
          <w:p w14:paraId="677E021B">
            <w:pPr>
              <w:spacing w:line="360" w:lineRule="auto"/>
              <w:jc w:val="center"/>
              <w:rPr>
                <w:rFonts w:hint="eastAsia" w:ascii="宋体" w:hAnsi="宋体" w:cs="宋体"/>
                <w:sz w:val="24"/>
              </w:rPr>
            </w:pPr>
            <w:r>
              <w:rPr>
                <w:rFonts w:hint="eastAsia" w:ascii="宋体" w:hAnsi="宋体" w:cs="宋体"/>
                <w:sz w:val="24"/>
              </w:rPr>
              <w:t>1</w:t>
            </w:r>
          </w:p>
        </w:tc>
      </w:tr>
      <w:tr w14:paraId="5E685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noWrap w:val="0"/>
            <w:vAlign w:val="center"/>
          </w:tcPr>
          <w:p w14:paraId="062F8EB0">
            <w:pPr>
              <w:spacing w:line="360" w:lineRule="auto"/>
              <w:jc w:val="center"/>
              <w:rPr>
                <w:rFonts w:hint="eastAsia" w:ascii="宋体" w:hAnsi="宋体" w:cs="宋体"/>
                <w:sz w:val="24"/>
              </w:rPr>
            </w:pPr>
            <w:r>
              <w:rPr>
                <w:rFonts w:hint="eastAsia" w:ascii="宋体" w:hAnsi="宋体" w:cs="宋体"/>
                <w:sz w:val="24"/>
              </w:rPr>
              <w:t>4</w:t>
            </w:r>
          </w:p>
        </w:tc>
        <w:tc>
          <w:tcPr>
            <w:tcW w:w="1636" w:type="dxa"/>
            <w:noWrap w:val="0"/>
            <w:vAlign w:val="center"/>
          </w:tcPr>
          <w:p w14:paraId="7F81EFBC">
            <w:pPr>
              <w:spacing w:line="360" w:lineRule="auto"/>
              <w:jc w:val="center"/>
              <w:rPr>
                <w:rFonts w:hint="eastAsia" w:ascii="宋体" w:hAnsi="宋体" w:cs="宋体"/>
                <w:sz w:val="24"/>
              </w:rPr>
            </w:pPr>
            <w:r>
              <w:rPr>
                <w:rFonts w:hint="eastAsia" w:ascii="宋体" w:hAnsi="宋体" w:cs="宋体"/>
                <w:sz w:val="24"/>
              </w:rPr>
              <w:t>数据库审计系统服务</w:t>
            </w:r>
          </w:p>
        </w:tc>
        <w:tc>
          <w:tcPr>
            <w:tcW w:w="5681" w:type="dxa"/>
            <w:noWrap w:val="0"/>
            <w:vAlign w:val="center"/>
          </w:tcPr>
          <w:p w14:paraId="3568B86B">
            <w:pPr>
              <w:numPr>
                <w:ilvl w:val="0"/>
                <w:numId w:val="2"/>
              </w:numPr>
              <w:spacing w:line="360" w:lineRule="auto"/>
              <w:rPr>
                <w:rFonts w:hint="eastAsia" w:ascii="宋体" w:hAnsi="宋体" w:cs="宋体"/>
                <w:sz w:val="24"/>
              </w:rPr>
            </w:pPr>
            <w:r>
              <w:rPr>
                <w:rFonts w:hint="eastAsia" w:ascii="宋体" w:hAnsi="宋体" w:cs="宋体"/>
                <w:sz w:val="24"/>
              </w:rPr>
              <w:t>主要参数≥1U,内存≥32G，机械硬盘≥4T，≥6个千兆电口（1个管理，1个HA），≥4个千兆光口（光口均自带光模块），支持国产化操作系统,冗余电源,≥2个扩展槽位,吞吐：≥1Gbps 可审计流量：≥200Mbps SQL处理能力：≥10000条/s，默认含应用识别功能。</w:t>
            </w:r>
          </w:p>
          <w:p w14:paraId="12847C60">
            <w:pPr>
              <w:numPr>
                <w:ilvl w:val="0"/>
                <w:numId w:val="2"/>
              </w:numPr>
              <w:spacing w:line="360" w:lineRule="auto"/>
              <w:rPr>
                <w:rFonts w:hint="eastAsia" w:ascii="宋体" w:hAnsi="宋体" w:cs="宋体"/>
                <w:sz w:val="24"/>
              </w:rPr>
            </w:pPr>
            <w:r>
              <w:rPr>
                <w:rFonts w:hint="eastAsia" w:ascii="宋体" w:hAnsi="宋体" w:cs="宋体"/>
                <w:sz w:val="24"/>
              </w:rPr>
              <w:t>协议支持：支持国内外≥40余种主流数据库协议，包括国产化/非国产化的关系型数据库、非关系型数据库等；支持旁路部署、串联部署、代理部署、分布式部署等多种部署模式。内置多种数据库协议默认管控规则，包括Oracle、MySQL、SQLserver、PostgreSQL、Dameng、OSCAR、MongoDB、Sybase、DB2、Kingbase、SequoiaDB、Cassandra等多种协议分类，提供用户登录、高风险操作、SQL命令等出厂默认规则组，用户无需自定义可直接引用；支持数据库请求和返回的双向审计，特别是SQL返回结果集、SQL语句响应时间、连接时长、表影响的字段、影响行数等内容；支持查看会话回放，支持倍速回放，至少包括2倍速、3倍速、4倍速等，完整还原数据库操作情况；</w:t>
            </w:r>
          </w:p>
          <w:p w14:paraId="3DF2A55A">
            <w:pPr>
              <w:pStyle w:val="2"/>
              <w:tabs>
                <w:tab w:val="left" w:pos="720"/>
              </w:tabs>
              <w:spacing w:line="360" w:lineRule="auto"/>
              <w:rPr>
                <w:rFonts w:hint="eastAsia" w:ascii="宋体" w:hAnsi="宋体" w:cs="宋体"/>
              </w:rPr>
            </w:pPr>
            <w:r>
              <w:rPr>
                <w:rFonts w:hint="eastAsia" w:ascii="宋体" w:hAnsi="宋体" w:cs="宋体"/>
                <w:color w:val="auto"/>
                <w:highlight w:val="none"/>
              </w:rPr>
              <w:t>3.服务期限：2年。</w:t>
            </w:r>
          </w:p>
        </w:tc>
        <w:tc>
          <w:tcPr>
            <w:tcW w:w="820" w:type="dxa"/>
            <w:noWrap w:val="0"/>
            <w:vAlign w:val="center"/>
          </w:tcPr>
          <w:p w14:paraId="6643ED3C">
            <w:pPr>
              <w:spacing w:line="360" w:lineRule="auto"/>
              <w:jc w:val="center"/>
              <w:rPr>
                <w:rFonts w:hint="eastAsia" w:ascii="宋体" w:hAnsi="宋体" w:cs="宋体"/>
                <w:sz w:val="24"/>
              </w:rPr>
            </w:pPr>
            <w:r>
              <w:rPr>
                <w:rFonts w:hint="eastAsia" w:ascii="宋体" w:hAnsi="宋体" w:cs="宋体"/>
                <w:sz w:val="24"/>
              </w:rPr>
              <w:t>1</w:t>
            </w:r>
          </w:p>
        </w:tc>
      </w:tr>
      <w:tr w14:paraId="7B4C5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780" w:type="dxa"/>
            <w:noWrap w:val="0"/>
            <w:vAlign w:val="center"/>
          </w:tcPr>
          <w:p w14:paraId="4793893A">
            <w:pPr>
              <w:spacing w:line="360" w:lineRule="auto"/>
              <w:jc w:val="center"/>
              <w:rPr>
                <w:rFonts w:hint="eastAsia" w:ascii="宋体" w:hAnsi="宋体" w:cs="宋体"/>
                <w:sz w:val="24"/>
              </w:rPr>
            </w:pPr>
            <w:r>
              <w:rPr>
                <w:rFonts w:hint="eastAsia" w:ascii="宋体" w:hAnsi="宋体" w:cs="宋体"/>
                <w:sz w:val="24"/>
              </w:rPr>
              <w:t>5</w:t>
            </w:r>
          </w:p>
        </w:tc>
        <w:tc>
          <w:tcPr>
            <w:tcW w:w="1636" w:type="dxa"/>
            <w:noWrap w:val="0"/>
            <w:vAlign w:val="center"/>
          </w:tcPr>
          <w:p w14:paraId="350BC227">
            <w:pPr>
              <w:spacing w:line="360" w:lineRule="auto"/>
              <w:jc w:val="center"/>
              <w:rPr>
                <w:rFonts w:hint="eastAsia" w:ascii="宋体" w:hAnsi="宋体" w:cs="宋体"/>
                <w:sz w:val="24"/>
              </w:rPr>
            </w:pPr>
            <w:r>
              <w:rPr>
                <w:rFonts w:hint="eastAsia" w:ascii="宋体" w:hAnsi="宋体" w:cs="宋体"/>
                <w:sz w:val="24"/>
              </w:rPr>
              <w:t>自适应安全防御系统升级服务</w:t>
            </w:r>
          </w:p>
        </w:tc>
        <w:tc>
          <w:tcPr>
            <w:tcW w:w="5681" w:type="dxa"/>
            <w:noWrap w:val="0"/>
            <w:vAlign w:val="center"/>
          </w:tcPr>
          <w:p w14:paraId="3C5864F0">
            <w:pPr>
              <w:numPr>
                <w:ilvl w:val="0"/>
                <w:numId w:val="3"/>
              </w:numPr>
              <w:spacing w:line="360" w:lineRule="auto"/>
              <w:rPr>
                <w:rFonts w:hint="eastAsia" w:ascii="宋体" w:hAnsi="宋体" w:cs="宋体"/>
                <w:sz w:val="24"/>
              </w:rPr>
            </w:pPr>
            <w:r>
              <w:rPr>
                <w:rFonts w:hint="eastAsia" w:ascii="宋体" w:hAnsi="宋体" w:cs="宋体"/>
                <w:sz w:val="24"/>
              </w:rPr>
              <w:t>提供主机、资产、IP 三维度视图与全局分级视图，可从不同维度查询或统计主机信息资产。</w:t>
            </w:r>
          </w:p>
          <w:p w14:paraId="064BDD35">
            <w:pPr>
              <w:numPr>
                <w:ilvl w:val="0"/>
                <w:numId w:val="3"/>
              </w:numPr>
              <w:spacing w:line="360" w:lineRule="auto"/>
              <w:rPr>
                <w:rFonts w:hint="eastAsia" w:ascii="宋体" w:hAnsi="宋体" w:cs="宋体"/>
                <w:sz w:val="24"/>
              </w:rPr>
            </w:pPr>
            <w:r>
              <w:rPr>
                <w:rFonts w:hint="eastAsia" w:ascii="宋体" w:hAnsi="宋体" w:cs="宋体"/>
                <w:sz w:val="24"/>
              </w:rPr>
              <w:t>全面发现主机脆弱性，涵盖系统、中间件、数据库漏洞，弱口令、账号风险、配置缺陷、文件完整性、对外访问性等。检测病毒木马、暴力破解等入侵事件。</w:t>
            </w:r>
          </w:p>
          <w:p w14:paraId="3CADA343">
            <w:pPr>
              <w:numPr>
                <w:ilvl w:val="0"/>
                <w:numId w:val="3"/>
              </w:numPr>
              <w:spacing w:line="360" w:lineRule="auto"/>
              <w:rPr>
                <w:rFonts w:hint="eastAsia" w:ascii="宋体" w:hAnsi="宋体" w:cs="宋体"/>
                <w:sz w:val="24"/>
              </w:rPr>
            </w:pPr>
            <w:r>
              <w:rPr>
                <w:rFonts w:hint="eastAsia" w:ascii="宋体" w:hAnsi="宋体" w:cs="宋体"/>
                <w:sz w:val="24"/>
              </w:rPr>
              <w:t xml:space="preserve">提供 CIS、等保 2.0 合规基线检查，覆盖主流操作系统、中间件、数据库，还能通过自定义基线扩展检查标准。 </w:t>
            </w:r>
          </w:p>
          <w:p w14:paraId="0EB42695">
            <w:pPr>
              <w:numPr>
                <w:ilvl w:val="0"/>
                <w:numId w:val="3"/>
              </w:numPr>
              <w:spacing w:line="360" w:lineRule="auto"/>
              <w:rPr>
                <w:rFonts w:hint="eastAsia" w:ascii="宋体" w:hAnsi="宋体" w:cs="宋体"/>
                <w:sz w:val="24"/>
              </w:rPr>
            </w:pPr>
            <w:r>
              <w:rPr>
                <w:rFonts w:hint="eastAsia" w:ascii="宋体" w:hAnsi="宋体" w:cs="宋体"/>
                <w:sz w:val="24"/>
              </w:rPr>
              <w:t>配置≥260个（云）主机。</w:t>
            </w:r>
          </w:p>
          <w:p w14:paraId="057D323E">
            <w:pPr>
              <w:numPr>
                <w:ilvl w:val="0"/>
                <w:numId w:val="3"/>
              </w:numPr>
              <w:spacing w:line="360" w:lineRule="auto"/>
              <w:rPr>
                <w:rFonts w:hint="eastAsia" w:ascii="宋体" w:hAnsi="宋体" w:cs="宋体"/>
                <w:sz w:val="24"/>
              </w:rPr>
            </w:pPr>
            <w:r>
              <w:rPr>
                <w:rFonts w:hint="eastAsia" w:ascii="宋体" w:hAnsi="宋体" w:cs="宋体"/>
                <w:sz w:val="24"/>
                <w:highlight w:val="none"/>
              </w:rPr>
              <w:t>服务期限：2年安全规则升级服务</w:t>
            </w:r>
            <w:r>
              <w:rPr>
                <w:rFonts w:hint="eastAsia" w:ascii="宋体" w:hAnsi="宋体" w:cs="宋体"/>
                <w:sz w:val="24"/>
              </w:rPr>
              <w:t>。</w:t>
            </w:r>
          </w:p>
        </w:tc>
        <w:tc>
          <w:tcPr>
            <w:tcW w:w="820" w:type="dxa"/>
            <w:noWrap w:val="0"/>
            <w:vAlign w:val="center"/>
          </w:tcPr>
          <w:p w14:paraId="744E874F">
            <w:pPr>
              <w:spacing w:line="360" w:lineRule="auto"/>
              <w:jc w:val="center"/>
              <w:rPr>
                <w:rFonts w:hint="eastAsia" w:ascii="宋体" w:hAnsi="宋体" w:cs="宋体"/>
                <w:sz w:val="24"/>
              </w:rPr>
            </w:pPr>
            <w:r>
              <w:rPr>
                <w:rFonts w:hint="eastAsia" w:ascii="宋体" w:hAnsi="宋体" w:cs="宋体"/>
                <w:sz w:val="24"/>
              </w:rPr>
              <w:t>1</w:t>
            </w:r>
          </w:p>
        </w:tc>
      </w:tr>
      <w:tr w14:paraId="1F28C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780" w:type="dxa"/>
            <w:noWrap w:val="0"/>
            <w:vAlign w:val="center"/>
          </w:tcPr>
          <w:p w14:paraId="3933D7E8">
            <w:pPr>
              <w:spacing w:line="360" w:lineRule="auto"/>
              <w:jc w:val="center"/>
              <w:rPr>
                <w:rFonts w:hint="eastAsia" w:ascii="宋体" w:hAnsi="宋体" w:cs="宋体"/>
                <w:sz w:val="24"/>
              </w:rPr>
            </w:pPr>
            <w:r>
              <w:rPr>
                <w:rFonts w:hint="eastAsia" w:ascii="宋体" w:hAnsi="宋体" w:cs="宋体"/>
                <w:sz w:val="24"/>
              </w:rPr>
              <w:t>6</w:t>
            </w:r>
          </w:p>
        </w:tc>
        <w:tc>
          <w:tcPr>
            <w:tcW w:w="1636" w:type="dxa"/>
            <w:noWrap w:val="0"/>
            <w:vAlign w:val="center"/>
          </w:tcPr>
          <w:p w14:paraId="659BEF04">
            <w:pPr>
              <w:spacing w:line="360" w:lineRule="auto"/>
              <w:jc w:val="center"/>
              <w:rPr>
                <w:rFonts w:hint="eastAsia" w:ascii="宋体" w:hAnsi="宋体" w:cs="宋体"/>
                <w:sz w:val="24"/>
              </w:rPr>
            </w:pPr>
            <w:r>
              <w:rPr>
                <w:rFonts w:hint="eastAsia" w:ascii="宋体" w:hAnsi="宋体" w:cs="宋体"/>
                <w:sz w:val="24"/>
              </w:rPr>
              <w:t>二级等保测评服务</w:t>
            </w:r>
          </w:p>
        </w:tc>
        <w:tc>
          <w:tcPr>
            <w:tcW w:w="5681" w:type="dxa"/>
            <w:noWrap w:val="0"/>
            <w:vAlign w:val="center"/>
          </w:tcPr>
          <w:p w14:paraId="0E107461">
            <w:pPr>
              <w:spacing w:line="360" w:lineRule="auto"/>
              <w:rPr>
                <w:rFonts w:hint="eastAsia" w:ascii="宋体" w:hAnsi="宋体" w:cs="宋体"/>
                <w:sz w:val="24"/>
              </w:rPr>
            </w:pPr>
            <w:r>
              <w:rPr>
                <w:rFonts w:hint="eastAsia" w:cs="Segoe UI Emoji"/>
              </w:rPr>
              <w:t>★</w:t>
            </w:r>
            <w:r>
              <w:rPr>
                <w:rFonts w:hint="eastAsia" w:ascii="宋体" w:hAnsi="宋体" w:cs="宋体"/>
                <w:sz w:val="24"/>
              </w:rPr>
              <w:t>1.根据国家《信息安全技术 网络安全等级保护基本要求》、《信息安全技术 网络安全等级保护测评要求》等相关等级保护测评要求，协助学校完善网络安全等级保护管理制度和办法，梳理和规划学校网络安全等级保护工作，结合学校实际，本次对站群管理、教学综合管理、数字化校园信息平台、智慧财务管理、智慧学工信息系统5个二级系统开展等级保护测评工作。</w:t>
            </w:r>
          </w:p>
          <w:p w14:paraId="70397FE8">
            <w:pPr>
              <w:spacing w:line="360" w:lineRule="auto"/>
              <w:rPr>
                <w:rFonts w:hint="eastAsia" w:ascii="宋体" w:hAnsi="宋体" w:cs="宋体"/>
                <w:sz w:val="24"/>
              </w:rPr>
            </w:pPr>
            <w:r>
              <w:rPr>
                <w:rFonts w:hint="eastAsia" w:ascii="宋体" w:hAnsi="宋体" w:cs="宋体"/>
                <w:sz w:val="24"/>
              </w:rPr>
              <w:t>2.系统调研：在系统相关人员的协助下，对信息系统进行调研和梳理，了解系统当前信息系统资产现状。</w:t>
            </w:r>
          </w:p>
          <w:p w14:paraId="358B3F46">
            <w:pPr>
              <w:spacing w:line="360" w:lineRule="auto"/>
              <w:rPr>
                <w:rFonts w:hint="eastAsia" w:ascii="宋体" w:hAnsi="宋体" w:cs="宋体"/>
                <w:sz w:val="24"/>
              </w:rPr>
            </w:pPr>
            <w:r>
              <w:rPr>
                <w:rFonts w:hint="eastAsia" w:ascii="宋体" w:hAnsi="宋体" w:cs="宋体"/>
                <w:sz w:val="24"/>
              </w:rPr>
              <w:t>3.现场测评：根据国家等级测评的相关标准及已编制的相关等级保护测评指导书对信息系统中的相关资产进行测评项的检查、记录检查结果。</w:t>
            </w:r>
          </w:p>
          <w:p w14:paraId="15E05A96">
            <w:pPr>
              <w:spacing w:line="360" w:lineRule="auto"/>
              <w:rPr>
                <w:rFonts w:hint="eastAsia" w:ascii="宋体" w:hAnsi="宋体" w:cs="宋体"/>
                <w:sz w:val="24"/>
              </w:rPr>
            </w:pPr>
            <w:r>
              <w:rPr>
                <w:rFonts w:hint="eastAsia" w:ascii="宋体" w:hAnsi="宋体" w:cs="宋体"/>
                <w:sz w:val="24"/>
              </w:rPr>
              <w:t>4.分析整改：根据前述工作内容，分析信息系统安全情况与等级保护基本要求的差距,提供差异化测评服务，并进行风险分析，可根据现场情况出具科学合理的整改建议及整改方案，配合采购单位安全整改工作。</w:t>
            </w:r>
          </w:p>
          <w:p w14:paraId="7144FB37">
            <w:pPr>
              <w:spacing w:line="360" w:lineRule="auto"/>
              <w:rPr>
                <w:rFonts w:hint="eastAsia" w:ascii="宋体" w:hAnsi="宋体" w:cs="宋体"/>
                <w:sz w:val="24"/>
              </w:rPr>
            </w:pPr>
            <w:r>
              <w:rPr>
                <w:rFonts w:hint="eastAsia" w:ascii="宋体" w:hAnsi="宋体" w:cs="宋体"/>
                <w:sz w:val="24"/>
              </w:rPr>
              <w:t>5.结论报告：根据前述工作内容，分析当前信息系统安全保护能力是否符合相应等级的安全要求，针对整改项进行再次测评,提供安全等级符合性测评服务，出具相关系统测评报告。</w:t>
            </w:r>
          </w:p>
          <w:p w14:paraId="5B6C5D3A">
            <w:pPr>
              <w:spacing w:line="360" w:lineRule="auto"/>
              <w:rPr>
                <w:rFonts w:hint="eastAsia" w:ascii="宋体" w:hAnsi="宋体" w:cs="宋体"/>
                <w:sz w:val="24"/>
              </w:rPr>
            </w:pPr>
            <w:r>
              <w:rPr>
                <w:rFonts w:hint="eastAsia" w:ascii="宋体" w:hAnsi="宋体" w:cs="宋体"/>
                <w:sz w:val="24"/>
              </w:rPr>
              <w:t>6.配合验收：整理项目过程中所有相关的过程文档，提交系统相关人员。</w:t>
            </w:r>
          </w:p>
          <w:p w14:paraId="4CD9459F">
            <w:pPr>
              <w:spacing w:line="360" w:lineRule="auto"/>
              <w:rPr>
                <w:rFonts w:hint="eastAsia" w:ascii="宋体" w:hAnsi="宋体" w:cs="宋体"/>
                <w:sz w:val="24"/>
              </w:rPr>
            </w:pPr>
            <w:r>
              <w:rPr>
                <w:rFonts w:hint="eastAsia" w:ascii="宋体" w:hAnsi="宋体" w:cs="宋体"/>
                <w:sz w:val="24"/>
              </w:rPr>
              <w:t>7.成果文档：</w:t>
            </w:r>
          </w:p>
          <w:p w14:paraId="345DB840">
            <w:pPr>
              <w:spacing w:line="360" w:lineRule="auto"/>
              <w:rPr>
                <w:rFonts w:hint="eastAsia" w:ascii="宋体" w:hAnsi="宋体" w:cs="宋体"/>
                <w:sz w:val="24"/>
              </w:rPr>
            </w:pPr>
            <w:r>
              <w:rPr>
                <w:rFonts w:hint="eastAsia" w:ascii="宋体" w:hAnsi="宋体" w:cs="宋体"/>
                <w:sz w:val="24"/>
              </w:rPr>
              <w:t xml:space="preserve">（1）《网络安全等级保护测评方案》（每个系统一份）；                           </w:t>
            </w:r>
          </w:p>
          <w:p w14:paraId="2D12B10E">
            <w:pPr>
              <w:spacing w:line="360" w:lineRule="auto"/>
              <w:rPr>
                <w:rFonts w:hint="eastAsia" w:ascii="宋体" w:hAnsi="宋体" w:cs="宋体"/>
                <w:sz w:val="24"/>
              </w:rPr>
            </w:pPr>
            <w:r>
              <w:rPr>
                <w:rFonts w:hint="eastAsia" w:ascii="宋体" w:hAnsi="宋体" w:cs="宋体"/>
                <w:sz w:val="24"/>
              </w:rPr>
              <w:t xml:space="preserve">（2）《网络安全等级保护测评报告》（每个系统一份）；                         </w:t>
            </w:r>
          </w:p>
          <w:p w14:paraId="25D1ED72">
            <w:pPr>
              <w:spacing w:line="360" w:lineRule="auto"/>
              <w:rPr>
                <w:rFonts w:hint="eastAsia" w:ascii="宋体" w:hAnsi="宋体" w:cs="宋体"/>
                <w:sz w:val="24"/>
              </w:rPr>
            </w:pPr>
            <w:r>
              <w:rPr>
                <w:rFonts w:hint="eastAsia" w:ascii="宋体" w:hAnsi="宋体" w:cs="宋体"/>
                <w:sz w:val="24"/>
              </w:rPr>
              <w:t xml:space="preserve">（3）《整改建议报告》（每个系统一份）。       </w:t>
            </w:r>
          </w:p>
          <w:p w14:paraId="2C0DBF4F">
            <w:pPr>
              <w:spacing w:line="360" w:lineRule="auto"/>
              <w:rPr>
                <w:rFonts w:hint="eastAsia" w:ascii="宋体" w:hAnsi="宋体" w:cs="宋体"/>
                <w:sz w:val="24"/>
              </w:rPr>
            </w:pPr>
            <w:r>
              <w:rPr>
                <w:rFonts w:hint="eastAsia" w:ascii="宋体" w:hAnsi="宋体" w:cs="宋体"/>
                <w:sz w:val="24"/>
              </w:rPr>
              <w:t xml:space="preserve">8.技术保障：参与此次测评人员需具备2年以上测评工作经验，参与此项目的人数不少于6人，现场测评人员不得少于4人，其中至少包含1名高级测评师，2名中级测评师，1名初级测评师。项目经理和质量负责人必须具备丰富的安全服务经验及相关资质认证，并提供人员管理及配备方案，并确保人员稳定。 </w:t>
            </w:r>
          </w:p>
          <w:p w14:paraId="0B94FD7B">
            <w:pPr>
              <w:spacing w:line="360" w:lineRule="auto"/>
              <w:rPr>
                <w:rFonts w:hint="eastAsia" w:ascii="宋体" w:hAnsi="宋体" w:cs="宋体"/>
                <w:sz w:val="24"/>
              </w:rPr>
            </w:pPr>
            <w:r>
              <w:rPr>
                <w:rFonts w:hint="eastAsia" w:ascii="宋体" w:hAnsi="宋体" w:cs="宋体"/>
                <w:sz w:val="24"/>
              </w:rPr>
              <w:t>9.质量保证：服务商具备质量管理体系认证，在项目实施过程中建立质量管理体系，并通过网络安全等级保护测评项目管理，严格控制项目风险，提供合理的管控措施和管控方法。</w:t>
            </w:r>
          </w:p>
          <w:p w14:paraId="31242FD7">
            <w:pPr>
              <w:spacing w:line="360" w:lineRule="auto"/>
              <w:rPr>
                <w:rFonts w:hint="eastAsia" w:ascii="宋体" w:hAnsi="宋体" w:cs="宋体"/>
                <w:sz w:val="24"/>
              </w:rPr>
            </w:pPr>
            <w:r>
              <w:rPr>
                <w:rFonts w:hint="eastAsia" w:ascii="宋体" w:hAnsi="宋体" w:cs="宋体"/>
                <w:sz w:val="24"/>
              </w:rPr>
              <w:t>10.售后服务：</w:t>
            </w:r>
            <w:r>
              <w:rPr>
                <w:rFonts w:hint="eastAsia" w:ascii="宋体" w:hAnsi="宋体" w:cs="宋体"/>
                <w:sz w:val="24"/>
                <w:highlight w:val="none"/>
              </w:rPr>
              <w:t>服务商需提供2年售后服务</w:t>
            </w:r>
            <w:r>
              <w:rPr>
                <w:rFonts w:hint="eastAsia" w:ascii="宋体" w:hAnsi="宋体" w:cs="宋体"/>
                <w:sz w:val="24"/>
              </w:rPr>
              <w:t xml:space="preserve">，提供包括应急响应、配合检查、电话支持、安全咨询等服务。在重大敏感期期间，提供现场技术服务，深入检查安全技术措施，保障信息系统的安全稳定运行，避免出现业务信息系统被非法篡改、挂马等安全事件发生。 </w:t>
            </w:r>
          </w:p>
          <w:p w14:paraId="4D9FF950">
            <w:pPr>
              <w:spacing w:line="360" w:lineRule="auto"/>
              <w:rPr>
                <w:rFonts w:ascii="宋体" w:hAnsi="宋体" w:cs="宋体"/>
                <w:sz w:val="24"/>
              </w:rPr>
            </w:pPr>
            <w:r>
              <w:rPr>
                <w:rFonts w:hint="eastAsia" w:ascii="宋体" w:hAnsi="宋体" w:cs="宋体"/>
                <w:sz w:val="24"/>
              </w:rPr>
              <w:t>11.应急响应：针对本次项目，应提供7*24的常规应急响应及灾难恢复专家服务。在接到故障报修电话10分钟内响应。对应用系统突发的信息安全事件进行响应、处理、恢复、取证、跟踪、事后分析的方法及过程。对于突发网络安全事件能够第一时间响应，及时采取措施，控制安全事件造成的影响范围，缩小损失，排查问题来源，提供基于安全事件的解决方案及后续处置措施。</w:t>
            </w:r>
          </w:p>
          <w:p w14:paraId="6904A549">
            <w:pPr>
              <w:spacing w:line="360" w:lineRule="auto"/>
              <w:rPr>
                <w:rFonts w:hint="eastAsia"/>
                <w:color w:val="FF0000"/>
              </w:rPr>
            </w:pPr>
            <w:r>
              <w:rPr>
                <w:rFonts w:hint="eastAsia" w:ascii="宋体" w:hAnsi="宋体" w:cs="宋体"/>
                <w:color w:val="auto"/>
                <w:sz w:val="24"/>
                <w:lang w:val="en-US" w:eastAsia="zh-CN"/>
              </w:rPr>
              <w:t>备注：</w:t>
            </w:r>
            <w:r>
              <w:rPr>
                <w:rFonts w:hint="eastAsia" w:ascii="宋体" w:hAnsi="宋体" w:cs="宋体"/>
                <w:color w:val="auto"/>
                <w:sz w:val="24"/>
              </w:rPr>
              <w:t>第1项(标</w:t>
            </w:r>
            <w:r>
              <w:rPr>
                <w:rFonts w:hint="eastAsia" w:ascii="宋体" w:hAnsi="宋体" w:eastAsia="宋体" w:cs="宋体"/>
                <w:color w:val="auto"/>
                <w:sz w:val="24"/>
              </w:rPr>
              <w:t>★项</w:t>
            </w:r>
            <w:r>
              <w:rPr>
                <w:rFonts w:hint="eastAsia" w:ascii="宋体" w:hAnsi="宋体" w:cs="宋体"/>
                <w:color w:val="auto"/>
                <w:sz w:val="24"/>
              </w:rPr>
              <w:t>)未满足则视为作废标处理，不再进入</w:t>
            </w:r>
            <w:r>
              <w:rPr>
                <w:rFonts w:hint="eastAsia" w:ascii="宋体" w:hAnsi="宋体" w:cs="宋体"/>
                <w:color w:val="auto"/>
                <w:sz w:val="24"/>
                <w:lang w:val="en-US" w:eastAsia="zh-CN"/>
              </w:rPr>
              <w:t>后续评审</w:t>
            </w:r>
            <w:r>
              <w:rPr>
                <w:rFonts w:hint="eastAsia" w:ascii="宋体" w:hAnsi="宋体" w:cs="宋体"/>
                <w:color w:val="auto"/>
                <w:sz w:val="24"/>
              </w:rPr>
              <w:t>。</w:t>
            </w:r>
          </w:p>
        </w:tc>
        <w:tc>
          <w:tcPr>
            <w:tcW w:w="820" w:type="dxa"/>
            <w:noWrap w:val="0"/>
            <w:vAlign w:val="center"/>
          </w:tcPr>
          <w:p w14:paraId="3AFDBE4D">
            <w:pPr>
              <w:spacing w:line="360" w:lineRule="auto"/>
              <w:jc w:val="center"/>
              <w:rPr>
                <w:rFonts w:hint="eastAsia" w:ascii="宋体" w:hAnsi="宋体" w:cs="宋体"/>
                <w:sz w:val="24"/>
              </w:rPr>
            </w:pPr>
            <w:r>
              <w:rPr>
                <w:rFonts w:hint="eastAsia" w:ascii="宋体" w:hAnsi="宋体" w:cs="宋体"/>
                <w:sz w:val="24"/>
              </w:rPr>
              <w:t>1</w:t>
            </w:r>
          </w:p>
        </w:tc>
      </w:tr>
      <w:tr w14:paraId="4D085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4" w:hRule="atLeast"/>
        </w:trPr>
        <w:tc>
          <w:tcPr>
            <w:tcW w:w="780" w:type="dxa"/>
            <w:noWrap w:val="0"/>
            <w:vAlign w:val="center"/>
          </w:tcPr>
          <w:p w14:paraId="3C5D89E7">
            <w:pPr>
              <w:spacing w:line="360" w:lineRule="auto"/>
              <w:jc w:val="center"/>
              <w:rPr>
                <w:rFonts w:hint="eastAsia" w:ascii="宋体" w:hAnsi="宋体" w:cs="宋体"/>
                <w:sz w:val="24"/>
              </w:rPr>
            </w:pPr>
            <w:r>
              <w:rPr>
                <w:rFonts w:hint="eastAsia" w:ascii="宋体" w:hAnsi="宋体" w:cs="宋体"/>
                <w:sz w:val="24"/>
              </w:rPr>
              <w:t>8</w:t>
            </w:r>
          </w:p>
        </w:tc>
        <w:tc>
          <w:tcPr>
            <w:tcW w:w="1636" w:type="dxa"/>
            <w:noWrap w:val="0"/>
            <w:vAlign w:val="center"/>
          </w:tcPr>
          <w:p w14:paraId="0359344C">
            <w:pPr>
              <w:spacing w:line="360" w:lineRule="auto"/>
              <w:jc w:val="center"/>
              <w:rPr>
                <w:rFonts w:hint="eastAsia" w:ascii="宋体" w:hAnsi="宋体" w:cs="宋体"/>
                <w:sz w:val="24"/>
              </w:rPr>
            </w:pPr>
            <w:r>
              <w:rPr>
                <w:rFonts w:hint="eastAsia" w:ascii="宋体" w:hAnsi="宋体" w:cs="宋体"/>
                <w:sz w:val="24"/>
              </w:rPr>
              <w:t>现场驻场运维服务</w:t>
            </w:r>
          </w:p>
        </w:tc>
        <w:tc>
          <w:tcPr>
            <w:tcW w:w="5681" w:type="dxa"/>
            <w:noWrap w:val="0"/>
            <w:vAlign w:val="center"/>
          </w:tcPr>
          <w:p w14:paraId="78FE56C5">
            <w:pPr>
              <w:pStyle w:val="3"/>
              <w:spacing w:beforeAutospacing="0" w:afterAutospacing="0" w:line="360" w:lineRule="auto"/>
              <w:rPr>
                <w:rFonts w:hint="eastAsia"/>
                <w:kern w:val="2"/>
              </w:rPr>
            </w:pPr>
            <w:r>
              <w:rPr>
                <w:rFonts w:hint="eastAsia" w:cs="Segoe UI Emoji"/>
              </w:rPr>
              <w:t>★</w:t>
            </w:r>
            <w:r>
              <w:rPr>
                <w:rFonts w:hint="eastAsia"/>
                <w:kern w:val="2"/>
              </w:rPr>
              <w:t>1.人员要求：提供不少于1名驻场人员，需具备1年以上网络或安全运维经验；人员不得随意更换，更换需提前一个月书面申请。</w:t>
            </w:r>
          </w:p>
          <w:p w14:paraId="07E254B7">
            <w:pPr>
              <w:pStyle w:val="3"/>
              <w:spacing w:beforeAutospacing="0" w:afterAutospacing="0" w:line="360" w:lineRule="auto"/>
              <w:rPr>
                <w:rFonts w:hint="eastAsia"/>
                <w:kern w:val="2"/>
              </w:rPr>
            </w:pPr>
            <w:r>
              <w:rPr>
                <w:rFonts w:hint="eastAsia"/>
                <w:kern w:val="2"/>
              </w:rPr>
              <w:t>2.驻场要求：工作日全天驻场，提供7×24小时应急响应技术支持。</w:t>
            </w:r>
          </w:p>
          <w:p w14:paraId="58946DD7">
            <w:pPr>
              <w:pStyle w:val="3"/>
              <w:spacing w:beforeAutospacing="0" w:afterAutospacing="0" w:line="360" w:lineRule="auto"/>
              <w:rPr>
                <w:kern w:val="2"/>
              </w:rPr>
            </w:pPr>
            <w:r>
              <w:rPr>
                <w:rFonts w:hint="eastAsia"/>
                <w:kern w:val="2"/>
              </w:rPr>
              <w:t>3.服务内容：负责学校网络安全设备日常运维，包括设备巡检、故障处理、日志分析、补丁升级、安全加固及应急保障，并配合完成等保测评、漏洞修复及学校其他相关的运维任务。</w:t>
            </w:r>
            <w:r>
              <w:rPr>
                <w:rFonts w:hint="eastAsia"/>
                <w:kern w:val="2"/>
              </w:rPr>
              <w:br w:type="textWrapping"/>
            </w:r>
            <w:r>
              <w:rPr>
                <w:rFonts w:hint="eastAsia"/>
                <w:kern w:val="2"/>
              </w:rPr>
              <w:t>4.</w:t>
            </w:r>
            <w:r>
              <w:rPr>
                <w:rFonts w:hint="eastAsia"/>
                <w:kern w:val="2"/>
                <w:highlight w:val="none"/>
              </w:rPr>
              <w:t>服务期限：2年。</w:t>
            </w:r>
          </w:p>
          <w:p w14:paraId="54417A4F">
            <w:pPr>
              <w:pStyle w:val="3"/>
              <w:spacing w:beforeAutospacing="0" w:afterAutospacing="0" w:line="360" w:lineRule="auto"/>
              <w:rPr>
                <w:rFonts w:hint="eastAsia"/>
                <w:color w:val="FF0000"/>
              </w:rPr>
            </w:pPr>
            <w:r>
              <w:rPr>
                <w:rFonts w:hint="eastAsia"/>
                <w:color w:val="auto"/>
                <w:kern w:val="2"/>
                <w:lang w:val="en-US" w:eastAsia="zh-CN"/>
              </w:rPr>
              <w:t>备</w:t>
            </w:r>
            <w:r>
              <w:rPr>
                <w:rFonts w:hint="eastAsia"/>
                <w:color w:val="auto"/>
                <w:lang w:val="en-US" w:eastAsia="zh-CN"/>
              </w:rPr>
              <w:t>注：</w:t>
            </w:r>
            <w:r>
              <w:rPr>
                <w:rFonts w:hint="eastAsia"/>
                <w:color w:val="auto"/>
              </w:rPr>
              <w:t>第1项(标</w:t>
            </w:r>
            <w:r>
              <w:rPr>
                <w:rFonts w:hint="eastAsia" w:eastAsia="宋体"/>
                <w:color w:val="auto"/>
              </w:rPr>
              <w:t>★项</w:t>
            </w:r>
            <w:r>
              <w:rPr>
                <w:rFonts w:hint="eastAsia"/>
                <w:color w:val="auto"/>
              </w:rPr>
              <w:t>)未满足则视为作废标处理，不再进入</w:t>
            </w:r>
            <w:r>
              <w:rPr>
                <w:rFonts w:hint="eastAsia"/>
                <w:color w:val="auto"/>
                <w:lang w:val="en-US" w:eastAsia="zh-CN"/>
              </w:rPr>
              <w:t>后续评审</w:t>
            </w:r>
            <w:r>
              <w:rPr>
                <w:rFonts w:hint="eastAsia"/>
                <w:color w:val="auto"/>
              </w:rPr>
              <w:t>。</w:t>
            </w:r>
          </w:p>
        </w:tc>
        <w:tc>
          <w:tcPr>
            <w:tcW w:w="820" w:type="dxa"/>
            <w:noWrap w:val="0"/>
            <w:vAlign w:val="center"/>
          </w:tcPr>
          <w:p w14:paraId="1F4EC3FA">
            <w:pPr>
              <w:spacing w:line="360" w:lineRule="auto"/>
              <w:jc w:val="center"/>
              <w:rPr>
                <w:rFonts w:hint="eastAsia" w:ascii="宋体" w:hAnsi="宋体" w:cs="宋体"/>
                <w:sz w:val="24"/>
              </w:rPr>
            </w:pPr>
            <w:r>
              <w:rPr>
                <w:rFonts w:hint="eastAsia" w:ascii="宋体" w:hAnsi="宋体" w:cs="宋体"/>
                <w:sz w:val="24"/>
              </w:rPr>
              <w:t>1</w:t>
            </w:r>
          </w:p>
        </w:tc>
      </w:tr>
    </w:tbl>
    <w:p w14:paraId="64FACACE">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Emoji">
    <w:panose1 w:val="020B0502040204020203"/>
    <w:charset w:val="00"/>
    <w:family w:val="swiss"/>
    <w:pitch w:val="default"/>
    <w:sig w:usb0="00000001" w:usb1="02000000" w:usb2="08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7AC1D9"/>
    <w:multiLevelType w:val="singleLevel"/>
    <w:tmpl w:val="8C7AC1D9"/>
    <w:lvl w:ilvl="0" w:tentative="0">
      <w:start w:val="1"/>
      <w:numFmt w:val="decimal"/>
      <w:lvlText w:val="%1."/>
      <w:lvlJc w:val="left"/>
      <w:pPr>
        <w:tabs>
          <w:tab w:val="left" w:pos="312"/>
        </w:tabs>
      </w:pPr>
    </w:lvl>
  </w:abstractNum>
  <w:abstractNum w:abstractNumId="1">
    <w:nsid w:val="A1580777"/>
    <w:multiLevelType w:val="singleLevel"/>
    <w:tmpl w:val="A1580777"/>
    <w:lvl w:ilvl="0" w:tentative="0">
      <w:start w:val="1"/>
      <w:numFmt w:val="decimal"/>
      <w:lvlText w:val="%1."/>
      <w:lvlJc w:val="left"/>
      <w:pPr>
        <w:tabs>
          <w:tab w:val="left" w:pos="312"/>
        </w:tabs>
      </w:pPr>
    </w:lvl>
  </w:abstractNum>
  <w:abstractNum w:abstractNumId="2">
    <w:nsid w:val="299EEC93"/>
    <w:multiLevelType w:val="singleLevel"/>
    <w:tmpl w:val="299EEC93"/>
    <w:lvl w:ilvl="0" w:tentative="0">
      <w:start w:val="1"/>
      <w:numFmt w:val="decimal"/>
      <w:lvlText w:val="%1."/>
      <w:lvlJc w:val="left"/>
      <w:pPr>
        <w:tabs>
          <w:tab w:val="left" w:pos="312"/>
        </w:tabs>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E00AAA"/>
    <w:rsid w:val="7AE00A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color w:val="993300"/>
      <w:sz w:val="24"/>
    </w:rPr>
  </w:style>
  <w:style w:type="paragraph" w:styleId="3">
    <w:name w:val="Normal (Web)"/>
    <w:basedOn w:val="1"/>
    <w:qFormat/>
    <w:uiPriority w:val="99"/>
    <w:pPr>
      <w:widowControl/>
      <w:spacing w:before="100" w:beforeLines="0" w:beforeAutospacing="1" w:after="100" w:afterLines="0" w:afterAutospacing="1" w:line="240" w:lineRule="auto"/>
      <w:jc w:val="left"/>
    </w:pPr>
    <w:rPr>
      <w:rFonts w:ascii="宋体" w:hAnsi="宋体" w:cs="宋体"/>
      <w:kern w:val="0"/>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2026-09-22T07:36:00Z</dcterms:created>
  <dc:creator>白日梦</dc:creator>
  <cp:lastModifiedBy>白日梦</cp:lastModifiedBy>
  <dcterms:modified xsi:type="dcterms:W3CDTF">2026-09-22T07:37:04Z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3B45F062AE4343E7B44B589E5C5C144E_11</vt:lpwstr>
  </property>
  <property fmtid="{D5CDD505-2E9C-101B-9397-08002B2CF9AE}" pid="4" name="KSOTemplateDocerSaveRecord">
    <vt:lpwstr>eyJoZGlkIjoiOTQyNjJhYWQ1Y2ZkMWY1OTgyN2E4ZDZkNGNkNDQwMjYiLCJ1c2VySWQiOiIzMTI3MDEwNzEifQ==</vt:lpwstr>
  </property>
</Properties>
</file>