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版本号：ZHZB-2026-8020260707001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职工餐厅外包（2026-2027年）项目采购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ZHZB-2026-80</w:t>
      </w:r>
      <w:r>
        <w:br/>
      </w:r>
      <w:r>
        <w:br/>
      </w:r>
      <w:r>
        <w:br/>
      </w:r>
    </w:p>
    <w:p>
      <w:pPr>
        <w:pStyle w:val="null3"/>
        <w:jc w:val="center"/>
        <w:outlineLvl w:val="2"/>
      </w:pPr>
      <w:r>
        <w:rPr>
          <w:rFonts w:ascii="仿宋_GB2312" w:hAnsi="仿宋_GB2312" w:cs="仿宋_GB2312" w:eastAsia="仿宋_GB2312"/>
          <w:sz w:val="28"/>
          <w:b/>
        </w:rPr>
        <w:t>铜川市市场监督管理局</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铜川市市场监督管理局</w:t>
      </w:r>
      <w:r>
        <w:rPr>
          <w:rFonts w:ascii="仿宋_GB2312" w:hAnsi="仿宋_GB2312" w:cs="仿宋_GB2312" w:eastAsia="仿宋_GB2312"/>
        </w:rPr>
        <w:t>委托，拟对</w:t>
      </w:r>
      <w:r>
        <w:rPr>
          <w:rFonts w:ascii="仿宋_GB2312" w:hAnsi="仿宋_GB2312" w:cs="仿宋_GB2312" w:eastAsia="仿宋_GB2312"/>
        </w:rPr>
        <w:t>职工餐厅外包（2026-2027年）项目采购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职工餐厅外包（2026-2027年）项目采购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职工餐厅外包（2026-2027年）项目采购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采购包1（职工餐厅外包（2026-2027年）项目采购）：属于专门面向中小企业采购。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1、营业执照：提供有效合格的统一社会信用代码的营业执照，其他组织经营的须提供合法凭证，自然人的提供身份证明文件；</w:t>
      </w:r>
    </w:p>
    <w:p>
      <w:pPr>
        <w:pStyle w:val="null3"/>
      </w:pPr>
      <w:r>
        <w:rPr>
          <w:rFonts w:ascii="仿宋_GB2312" w:hAnsi="仿宋_GB2312" w:cs="仿宋_GB2312" w:eastAsia="仿宋_GB2312"/>
        </w:rPr>
        <w:t>2、财务状况报告：提供2025 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5、资质许可：提供合法有效的《食品经营许可证》。</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9、信用查询：供应商未被列入信用中国网站(www.creditchina.gov.cn)“重大税收违法失信主体”；未被列入中国执行信息公开网(https://zxgk.court.gov.cn)“失信被执行人”；不处于中国政府采购网(www.ccgp.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10、非联合体投标：本项目不接受联合体投标，提供非联合体投标声明。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陕西省铜川市新区正阳路19号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冯希飞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15353222758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15991666329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采购包1：699,999.96元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代理服务费收费标准：按照《国家计委关于印发招标代理服务收费管理暂行办法的通知》（计 价格【2002】1980号）和国家发改委办公厅颁发的《关于招标代理服务收费有关问题的通知 》（发改办价格【2003】857号）文件规定的标准收取。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铜川市市场监督管理局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联系人：孙涛</w:t>
      </w:r>
    </w:p>
    <w:p>
      <w:pPr>
        <w:pStyle w:val="null3"/>
      </w:pPr>
      <w:r>
        <w:rPr>
          <w:rFonts w:ascii="仿宋_GB2312" w:hAnsi="仿宋_GB2312" w:cs="仿宋_GB2312" w:eastAsia="仿宋_GB2312"/>
        </w:rPr>
        <w:t>联系电话：15991666329</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本次铜川市市场监督管理局职工餐厅外包（2026-2027年）项目采购招标，招标服务内容包括：南北两个办公区职工餐厅运行中食品等原材料购进、加工及提供用餐服务；公务接待、会议、培训等工作用餐的加工等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699,999.96</w:t>
      </w:r>
    </w:p>
    <w:p>
      <w:pPr>
        <w:pStyle w:val="null3"/>
      </w:pPr>
      <w:r>
        <w:rPr>
          <w:rFonts w:ascii="仿宋_GB2312" w:hAnsi="仿宋_GB2312" w:cs="仿宋_GB2312" w:eastAsia="仿宋_GB2312"/>
        </w:rPr>
        <w:t>采购包最高限价（元）: 699,999.96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职工餐厅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699,999.96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标的名称：职工餐厅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p>
          <w:p>
            <w:pPr>
              <w:pStyle w:val="null3"/>
              <w:jc w:val="both"/>
            </w:pPr>
            <w:r>
              <w:rPr>
                <w:rFonts w:ascii="仿宋_GB2312" w:hAnsi="仿宋_GB2312" w:cs="仿宋_GB2312" w:eastAsia="仿宋_GB2312"/>
                <w:sz w:val="20"/>
              </w:rPr>
              <w:t>本次铜川市市场监督管理局职工餐厅外包（</w:t>
            </w:r>
            <w:r>
              <w:rPr>
                <w:rFonts w:ascii="仿宋_GB2312" w:hAnsi="仿宋_GB2312" w:cs="仿宋_GB2312" w:eastAsia="仿宋_GB2312"/>
                <w:sz w:val="20"/>
              </w:rPr>
              <w:t>2026-2027</w:t>
            </w:r>
            <w:r>
              <w:rPr>
                <w:rFonts w:ascii="仿宋_GB2312" w:hAnsi="仿宋_GB2312" w:cs="仿宋_GB2312" w:eastAsia="仿宋_GB2312"/>
                <w:sz w:val="20"/>
              </w:rPr>
              <w:t>年）项目采购招标，招标服务内容包括：南北两个办公区职工餐厅运行中食品等原材料购进、加工及提供用餐服务；公务接待、会议、培训等工作用餐的加工等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服务要求</w:t>
            </w:r>
            <w:r>
              <w:rPr>
                <w:rFonts w:ascii="仿宋_GB2312" w:hAnsi="仿宋_GB2312" w:cs="仿宋_GB2312" w:eastAsia="仿宋_GB2312"/>
                <w:sz w:val="20"/>
                <w:b/>
              </w:rPr>
              <w:t>（包括工作区域、工作内容等）</w:t>
            </w:r>
          </w:p>
          <w:p>
            <w:pPr>
              <w:pStyle w:val="null3"/>
              <w:ind w:firstLine="400"/>
              <w:jc w:val="both"/>
            </w:pPr>
            <w:r>
              <w:rPr>
                <w:rFonts w:ascii="仿宋_GB2312" w:hAnsi="仿宋_GB2312" w:cs="仿宋_GB2312" w:eastAsia="仿宋_GB2312"/>
                <w:sz w:val="20"/>
              </w:rPr>
              <w:t>本次采购面向中小微企业；根据铜川市市场监督管理局南、北两个职工餐厅的实际情况，至少需配置两名厨师长，工作服务人员</w:t>
            </w:r>
            <w:r>
              <w:rPr>
                <w:rFonts w:ascii="仿宋_GB2312" w:hAnsi="仿宋_GB2312" w:cs="仿宋_GB2312" w:eastAsia="仿宋_GB2312"/>
                <w:sz w:val="20"/>
              </w:rPr>
              <w:t>12</w:t>
            </w:r>
            <w:r>
              <w:rPr>
                <w:rFonts w:ascii="仿宋_GB2312" w:hAnsi="仿宋_GB2312" w:cs="仿宋_GB2312" w:eastAsia="仿宋_GB2312"/>
                <w:sz w:val="20"/>
              </w:rPr>
              <w:t>名，各岗位人员配备合理齐全。资格要求：具有合法有效的营业执照、食品经营许可证（食品经营管理、餐饮服务管理）等资质证件；服务人员具有满足供餐需求的相关证件及健康证。</w:t>
            </w:r>
          </w:p>
          <w:p>
            <w:pPr>
              <w:pStyle w:val="null3"/>
              <w:jc w:val="both"/>
            </w:pPr>
            <w:r>
              <w:rPr>
                <w:rFonts w:ascii="仿宋_GB2312" w:hAnsi="仿宋_GB2312" w:cs="仿宋_GB2312" w:eastAsia="仿宋_GB2312"/>
                <w:sz w:val="20"/>
              </w:rPr>
              <w:t>铜川市市场监督管理局采取职工餐厅由餐饮公司以自助餐的形式提供用餐服务，分别在市场监管局北院和南院设两个职工餐厅。北院职工餐厅就餐约</w:t>
            </w:r>
            <w:r>
              <w:rPr>
                <w:rFonts w:ascii="仿宋_GB2312" w:hAnsi="仿宋_GB2312" w:cs="仿宋_GB2312" w:eastAsia="仿宋_GB2312"/>
                <w:sz w:val="20"/>
              </w:rPr>
              <w:t>130</w:t>
            </w:r>
            <w:r>
              <w:rPr>
                <w:rFonts w:ascii="仿宋_GB2312" w:hAnsi="仿宋_GB2312" w:cs="仿宋_GB2312" w:eastAsia="仿宋_GB2312"/>
                <w:sz w:val="20"/>
              </w:rPr>
              <w:t>人，餐饮公司配备</w:t>
            </w:r>
            <w:r>
              <w:rPr>
                <w:rFonts w:ascii="仿宋_GB2312" w:hAnsi="仿宋_GB2312" w:cs="仿宋_GB2312" w:eastAsia="仿宋_GB2312"/>
                <w:sz w:val="20"/>
              </w:rPr>
              <w:t>6</w:t>
            </w:r>
            <w:r>
              <w:rPr>
                <w:rFonts w:ascii="仿宋_GB2312" w:hAnsi="仿宋_GB2312" w:cs="仿宋_GB2312" w:eastAsia="仿宋_GB2312"/>
                <w:sz w:val="20"/>
              </w:rPr>
              <w:t>名工作人员；南院职工餐厅就餐约</w:t>
            </w:r>
            <w:r>
              <w:rPr>
                <w:rFonts w:ascii="仿宋_GB2312" w:hAnsi="仿宋_GB2312" w:cs="仿宋_GB2312" w:eastAsia="仿宋_GB2312"/>
                <w:sz w:val="20"/>
              </w:rPr>
              <w:t>160</w:t>
            </w:r>
            <w:r>
              <w:rPr>
                <w:rFonts w:ascii="仿宋_GB2312" w:hAnsi="仿宋_GB2312" w:cs="仿宋_GB2312" w:eastAsia="仿宋_GB2312"/>
                <w:sz w:val="20"/>
              </w:rPr>
              <w:t>人，餐饮公司配备</w:t>
            </w:r>
            <w:r>
              <w:rPr>
                <w:rFonts w:ascii="仿宋_GB2312" w:hAnsi="仿宋_GB2312" w:cs="仿宋_GB2312" w:eastAsia="仿宋_GB2312"/>
                <w:sz w:val="20"/>
              </w:rPr>
              <w:t>6</w:t>
            </w:r>
            <w:r>
              <w:rPr>
                <w:rFonts w:ascii="仿宋_GB2312" w:hAnsi="仿宋_GB2312" w:cs="仿宋_GB2312" w:eastAsia="仿宋_GB2312"/>
                <w:sz w:val="20"/>
              </w:rPr>
              <w:t>名工作人员。餐饮公司根据《食品安全法》等相关法律法规规定以及甲方要求，按时、保质、保量完成甲方职工餐厅的食品采购、加工、供餐，同时承担公务接待、会议、培训等工作用餐。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首期服务期限1年，自合同签订之日起计算。首期服务期满前30日，采购人将对供应商全年履约服务质量开展综合考核；考核合格、年度预算保障到位的前提下，采购人有权自主决定续签，累计最多分两次续签，每次续签1年，合计续签总时长不超过2年，整体服务周期最长不超过3年。每次续签双方另行签订补充协议，续签期间服务标准、权利义务均按本合同原条款执行；采购人考核不合格或无续聘意向的，本合同到期自动终止，不再续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由采购人与成交单位签订合同前协商约定。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 按月结算，达到采购单位各项考核要求后，每月10日前结清上月费用，中标（成交）单位严格履行职责，制定质量保证体系，切实做好项目管理服务工作，人员必须各尽其职，保证符合各项工作质量要求，如安排不当、人员不能到位影响正常工作的，每次违例按合同内要求给予经济处罚，并在当月服务费用中扣除，直至服务期结束，达到付款条件起 10 日内，支付合同总金额的 8.33%，达到付款条件起10个工作日内，支付合同总金额的8.37%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提供有效合格的统一社会信用代码的营业执照，其他组织经营的须提供合法凭证，自然人的提供身份证明文件；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 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资质许可</w:t>
            </w:r>
          </w:p>
        </w:tc>
        <w:tc>
          <w:tcPr>
            <w:tcW w:type="dxa" w:w="3322"/>
          </w:tcPr>
          <w:p>
            <w:pPr>
              <w:pStyle w:val="null3"/>
            </w:pPr>
            <w:r>
              <w:rPr>
                <w:rFonts w:ascii="仿宋_GB2312" w:hAnsi="仿宋_GB2312" w:cs="仿宋_GB2312" w:eastAsia="仿宋_GB2312"/>
              </w:rPr>
              <w:t>提供合法有效的《食品经营许可证》。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响应文件唯一性</w:t>
            </w:r>
          </w:p>
        </w:tc>
        <w:tc>
          <w:tcPr>
            <w:tcW w:type="dxa" w:w="3322"/>
          </w:tcPr>
          <w:p>
            <w:pPr>
              <w:pStyle w:val="null3"/>
            </w:pPr>
            <w:r>
              <w:rPr>
                <w:rFonts w:ascii="仿宋_GB2312" w:hAnsi="仿宋_GB2312" w:cs="仿宋_GB2312" w:eastAsia="仿宋_GB2312"/>
              </w:rPr>
              <w:t>除竞争性磋商文件规定提交备选投标方案外，投标人不得递交两份或多份内容不同的响应文件，或在一份响应文件中对同一招标项目报有两个或多个报价，且未声明哪一个为最终报价的。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针对本项目的服务方案①管理方案；②服务定位；③营运方案；④工作流程。 二、评审标准： 1、完整性：方案须全面，对评审内容中的各项要求有详细描述及说明； 2、可实施性：切合本项目实际情况，实施步骤清晰、合理； 3、针对性：方案能够紧扣项目实际情况，内容科学合理； 上述4项评审内容全部满足评审标准得12分，评审内容缺项每项扣3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针对本项目的配餐方案①菜肴品种；②膳食搭配营养。 二、评审标准： 1、完整性：方案须全面，对评审内容中的各项要求有详细描述及说明； 2、可实施性：切合本项目实际情况，实施步骤清晰、合理； 3、针对性：方案能够紧扣项目实际情况，内容科学合理； 上述2项评审内容全部满足评审标准得3分，评审内容缺项每项扣1.5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针对本项目的食材原料管理方案①食材采购来源；②食材追溯；③运输；④食材贮存计划；⑤检验检查方案。 二、评审标准： 1、完整性：方案须全面，对评审内容中的各项要求有详细描述及说明； 2、可实施性：切合本项目实际情况，实施步骤清晰、合理； 3、针对性：方案能够紧扣项目实际情况，内容科学合理； 上述5项评审内容全部满足评审标准得5分，评审内容缺项每项扣1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针对本项目的卫生安全管理方案①食品、人员、环境卫生管理方案；②食材存放卫生管理制度。 二、评审标准： 1、完整性：方案须全面，对评审内容中的各项要求有详细描述及说明； 2、可实施性：切合本项目实际情况，实施步骤清晰、合理； 3、针对性：方案能够紧扣项目实际情况，内容科学合理； 上述2项评审内容全部满足评审标准得4分，评审内容缺项每项扣2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针对本项目的管理制度①食品安全管理制度；②餐厅运营管理制度；③质量与服务管理制度；④食材储存管理制度。 二、评审标准： 1、完整性：方案须全面，对评审内容中的各项要求有详细描述及说明； 2、可实施性：切合本项目实际情况，实施步骤清晰、合理； 3、针对性：方案能够紧扣项目实际情况，内容科学合理； 上述4项评审内容全部满足评审标准得4分，评审内容缺项每项扣1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针对本项目的设备使用管理及维护保养服务方案①厨房设备安全使用方案；②厨房设备维护保养服务方案；③厨房设备使用管理制度；④餐具消毒方案。 二、评审标准： 1、完整性：方案须全面，对评审内容中的各项要求有详细描述及说明； 2、可实施性：切合本项目实际情况，实施步骤清晰、合理； 3、针对性：方案能够紧扣项目实际情况，内容科学合理； 上述4项评审内容全部满足评审标准得4分，评审内容缺项每项扣1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针对本项目的服务团队配置①团队人员架构；②岗位人员配置;③人员岗位职责；④人员管理制度。 二、评审标准： 1、完整性：方案须全面，对评审内容中的各项要求有详细描述及说明； 2、可实施性：切合本项目实际情况，实施步骤清晰、合理； 3、针对性：方案能够紧扣项目实际情况，内容科学合理； 上述4项评审内容全部满足评审标准得4分，评审内容缺项每项扣1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针对本项目的应急方案①水电气安全应急方案；②工伤应急处置预案；③食品安全事故及食物中毒事件应急方案；④消防安全突发事件应急方案。 二、评审标准： 1、完整性：方案须全面，对评审内容中的各项要求有详细描述及说明； 2、可实施性：切合本项目实际情况，实施步骤清晰、合理； 3、针对性：方案能够紧扣项目实际情况，内容科学合理； 上述4项评审内容全部满足评审标准得4分，评审内容缺项每项扣1分，每有一项评审内容存在瑕疵，根据瑕疵内容，每出现一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提供2023年1月1日至响应文件递交截止之日供应商完成的类似项目，每提供一份得4分，满分20分。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一、评审内容： 提供供应商近5年内，由政府行政主管部门、合法登记的餐饮类正规行业协会颁发的餐饮相关荣誉、行业任职资质、行业评优表彰等可体现企业综合实力的证明材料；每提供1份有效材料得2分，本项最高得10分；未提供任何有效材料的，本项计0分。 二、计分说明 1. 计分不重复规则：同一奖项、同一年度重复获取的同类荣誉不重复计分；管理体系认证、餐饮行业荣誉奖项、协会任职资质三类材料分开独立计分，互不占用分值。 2. 材料有效性界定：仅认可餐饮主业相关证明材料，跨行业无关证书、超出5年有效期/授予期限已届满失效的证书均不予计分；协会理事/会员单位牌匾、行业评优奖项仅在授予期限内视为有效。 3. 有效材料标准：须提供证书清晰复印件、发证单位官方表彰红头文件、发证单位官网公示截图三类其一；所有材料必须完整清晰体现供应商完整单位名称、发证/授予时间、发证单位全称，信息缺失、模糊无法辨识、关键信息遮挡涂改的，一律视为未提供，不予计分。 4. 补充限制性条款（新增）： ① 无民政部门合法登记、非正规社会组织颁发的牌匾、奖状，不予计分； ② 复印件、截图需加盖供应商公章，未加盖公章的材料不予采信； ③ 单个文件内包含多项荣誉的，仅按1份材料计分，不拆分累加。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项目团队专业人员证书</w:t>
            </w:r>
          </w:p>
        </w:tc>
        <w:tc>
          <w:tcPr>
            <w:tcW w:type="dxa" w:w="2492"/>
          </w:tcPr>
          <w:p>
            <w:pPr>
              <w:pStyle w:val="null3"/>
            </w:pPr>
            <w:r>
              <w:rPr>
                <w:rFonts w:ascii="仿宋_GB2312" w:hAnsi="仿宋_GB2312" w:cs="仿宋_GB2312" w:eastAsia="仿宋_GB2312"/>
              </w:rPr>
              <w:t>一、评审内容： 供应商为本项目配备在岗服务团队人员，持有餐饮相关职业/能力证书，每名持证人员计2分，单人多本不同证书仅计2分，满分10分；无任何持证人员本项得0分。 二、认可证书清单（包含不限于）：中式烹调师、中式面点师、西式烹调师、西式面点师、公共营养师、食品安全管理员/食品安全管理师、健康管理师、餐饮职业经理人、咖啡师、调酒师、营养配餐师等人社备案职业技能等级证、官方食安培训合格证书。 三、计分约束与证明材料要求（政府采购合规必备）： （1）人员须为供应商自有在职员工，投标文件同步提供：证书扫描件、对应人员身份证、劳动合同，缺任一项该人员不计分； （2）同一人员持有多本上述证书，只按1人计算1分，不叠加累计； （3）健康证为法定上岗必备证件，不计入本项加分；过期、非人社/市场监管官方核发的培训结业证不予认可； （4）证书等级无分值区分，只要在有效期内即可计1人1分。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