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版本号：JXRC-260713.1.3B120260724001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三校区部分区域综合改造项目(二次)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JXRC-260713.1.3B1</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三校区部分区域综合改造项目(二次)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JXRC-260713.1.3B1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三校区部分区域综合改造项目(二次)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包1：鄠邑校区博览楼中心广场改造项目。本项目需对博览楼中心广场原有地面、景观、管线、绿化等全部原有设施进行全面拆除，并完成广场铺装、景观绿化、给排水、景观电气、苗木移栽等全套翻新施工，改造后广场满足师生日常通行、集会、休闲使用需求，具备防滑耐磨、排水通畅、整洁美观、安全环保等特性，整体符合校园园林建筑使用及安全规范。 采购包2：鄠邑校区部分教学楼及院系楼公共空间改造项目。本项目需对鄠邑校区博思楼等部分公共空间进行改造，供师生学术探讨、办公及学习使用。本次共改造教学楼公共区域7处，其中A型区域2处，B型区域2处，C型区域3处。主要改造内容为墙面、顶面粉刷装饰，隔断安装，电气工程，家具采购等内容，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采购包1（鄠邑校区博览楼中心广场改造项目）：属于专门面向中小企业采购。</w:t>
      </w:r>
    </w:p>
    <w:p>
      <w:pPr>
        <w:pStyle w:val="null3"/>
      </w:pPr>
      <w:r>
        <w:rPr>
          <w:rFonts w:ascii="仿宋_GB2312" w:hAnsi="仿宋_GB2312" w:cs="仿宋_GB2312" w:eastAsia="仿宋_GB2312"/>
        </w:rPr>
        <w:t>采购包2（鄠邑校区部分教学楼及院系楼公共空间改造项目）：属于专门面向中小企业采购。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供应商应有良好的财务状况：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其他组织和自然人提供银行出具的资信证明或财务报表或政府采购信用担保机构出具的担保函。</w:t>
      </w:r>
    </w:p>
    <w:p>
      <w:pPr>
        <w:pStyle w:val="null3"/>
      </w:pPr>
      <w:r>
        <w:rPr>
          <w:rFonts w:ascii="仿宋_GB2312" w:hAnsi="仿宋_GB2312" w:cs="仿宋_GB2312" w:eastAsia="仿宋_GB2312"/>
        </w:rPr>
        <w:t>3、供应商应有依法缴纳税收的良好记录：法人提供自2026年1月1日以来至少一个月的纳税证明或完税证明（任意税种），纳税证明或完税证明上应有代收机构或税务机关的公章或业务专用章；其他组织和自然人提供自2026年1月1日以来至少一个月缴纳税收的凭据；依法免税的供应商应提供相关文件证明。</w:t>
      </w:r>
    </w:p>
    <w:p>
      <w:pPr>
        <w:pStyle w:val="null3"/>
      </w:pPr>
      <w:r>
        <w:rPr>
          <w:rFonts w:ascii="仿宋_GB2312" w:hAnsi="仿宋_GB2312" w:cs="仿宋_GB2312" w:eastAsia="仿宋_GB2312"/>
        </w:rPr>
        <w:t>4、供应商应有依法缴纳社会保障资金的良好记录：提供自2026年1月1日以来至少一个月已缴纳的社会保障资金的证明（社会保障资金缴存单据或社保机构开具的社会保险参保缴费情况证明等)；依法不需要缴纳社会保障资金的供应商应提供相关证明文件。</w:t>
      </w:r>
    </w:p>
    <w:p>
      <w:pPr>
        <w:pStyle w:val="null3"/>
      </w:pPr>
      <w:r>
        <w:rPr>
          <w:rFonts w:ascii="仿宋_GB2312" w:hAnsi="仿宋_GB2312" w:cs="仿宋_GB2312" w:eastAsia="仿宋_GB2312"/>
        </w:rPr>
        <w:t>5、法定代表授权书：法定代表人/负责人直接参加的，只须递交《法定代表人/负责人身份证明》；法定代表人/负责人授权代表参加的，须递交《法定代表人/负责人授权书》，并提供被授权人自2026年1月1日以来至少一个月在本公司的社会保障资金缴纳证明。</w:t>
      </w:r>
    </w:p>
    <w:p>
      <w:pPr>
        <w:pStyle w:val="null3"/>
      </w:pPr>
      <w:r>
        <w:rPr>
          <w:rFonts w:ascii="仿宋_GB2312" w:hAnsi="仿宋_GB2312" w:cs="仿宋_GB2312" w:eastAsia="仿宋_GB2312"/>
        </w:rPr>
        <w:t>6、参加本次政府采购活动前三年内，在经营活动中没有重大违法记录：供应商参加本次政府采购活动前三年内，在经营活动中没有重大违法记录，提供《无重大违法记录声明》。</w:t>
      </w:r>
    </w:p>
    <w:p>
      <w:pPr>
        <w:pStyle w:val="null3"/>
      </w:pPr>
      <w:r>
        <w:rPr>
          <w:rFonts w:ascii="仿宋_GB2312" w:hAnsi="仿宋_GB2312" w:cs="仿宋_GB2312" w:eastAsia="仿宋_GB2312"/>
        </w:rPr>
        <w:t>7、供应商应具有履行合同所必需的设备和专业技术能力：供应商须提供《具有履行合同所必需的设备和专业技术能力的承诺书》。</w:t>
      </w:r>
    </w:p>
    <w:p>
      <w:pPr>
        <w:pStyle w:val="null3"/>
      </w:pPr>
      <w:r>
        <w:rPr>
          <w:rFonts w:ascii="仿宋_GB2312" w:hAnsi="仿宋_GB2312" w:cs="仿宋_GB2312" w:eastAsia="仿宋_GB2312"/>
        </w:rPr>
        <w:t>8、企业资质：供应商具备建筑工程施工总承包三级及以上(含三级)或市政公用工程施工总承包资质三级及以上(含三级)，具有安全生产许可证；并进行电子签章。</w:t>
      </w:r>
    </w:p>
    <w:p>
      <w:pPr>
        <w:pStyle w:val="null3"/>
      </w:pPr>
      <w:r>
        <w:rPr>
          <w:rFonts w:ascii="仿宋_GB2312" w:hAnsi="仿宋_GB2312" w:cs="仿宋_GB2312" w:eastAsia="仿宋_GB2312"/>
        </w:rPr>
        <w:t>9、拟派项目经理资格：拟投入的项目经理须有市政工程二级及以上（含二级）或建筑工程二级及以上（含二级）注册建造师证书及安全生产考核合格证（B证），须在本单位注册（提供近3个月内任一个月在本单位的社保缴费证明材料），无不良信用记录，且未担任其他在建工程项目的项目经理（提供承诺书）；并进行电子签章。</w:t>
      </w:r>
    </w:p>
    <w:p>
      <w:pPr>
        <w:pStyle w:val="null3"/>
      </w:pPr>
      <w:r>
        <w:rPr>
          <w:rFonts w:ascii="仿宋_GB2312" w:hAnsi="仿宋_GB2312" w:cs="仿宋_GB2312" w:eastAsia="仿宋_GB2312"/>
        </w:rPr>
        <w:t>10、供应商与拟派项目经理登记备案情况：提供陕西省住房和城乡建设厅（https://js.shaanxi.gov.cn）《陕西省建筑市场监管与诚信信息发布平台》企业和拟派项目经理查询截图；外省进陕企业需提供陕西省住房和城乡建设厅官网企业库外省进陕企业信息首页截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供应商应有良好的财务状况：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其他组织和自然人提供银行出具的资信证明或财务报表或政府采购信用担保机构出具的担保函。</w:t>
      </w:r>
    </w:p>
    <w:p>
      <w:pPr>
        <w:pStyle w:val="null3"/>
      </w:pPr>
      <w:r>
        <w:rPr>
          <w:rFonts w:ascii="仿宋_GB2312" w:hAnsi="仿宋_GB2312" w:cs="仿宋_GB2312" w:eastAsia="仿宋_GB2312"/>
        </w:rPr>
        <w:t>3、供应商应有依法缴纳税收的良好记录：法人提供自2026年1月1日以来至少一个月的纳税证明或完税证明（任意税种），纳税证明或完税证明上应有代收机构或税务机关的公章或业务专用章；其他组织和自然人提供自2026年1月1日以来至少一个月缴纳税收的凭据；依法免税的供应商应提供相关文件证明。</w:t>
      </w:r>
    </w:p>
    <w:p>
      <w:pPr>
        <w:pStyle w:val="null3"/>
      </w:pPr>
      <w:r>
        <w:rPr>
          <w:rFonts w:ascii="仿宋_GB2312" w:hAnsi="仿宋_GB2312" w:cs="仿宋_GB2312" w:eastAsia="仿宋_GB2312"/>
        </w:rPr>
        <w:t>4、供应商应有依法缴纳社会保障资金的良好记录：提供自2026年1月1日以来至少一个月已缴纳的社会保障资金的证明（社会保障资金缴存单据或社保机构开具的社会保险参保缴费情况证明等)；依法不需要缴纳社会保障资金的供应商应提供相关证明文件。</w:t>
      </w:r>
    </w:p>
    <w:p>
      <w:pPr>
        <w:pStyle w:val="null3"/>
      </w:pPr>
      <w:r>
        <w:rPr>
          <w:rFonts w:ascii="仿宋_GB2312" w:hAnsi="仿宋_GB2312" w:cs="仿宋_GB2312" w:eastAsia="仿宋_GB2312"/>
        </w:rPr>
        <w:t>5、法定代表授权书：法定代表人/负责人直接参加的，只须递交《法定代表人/负责人身份证明》；法定代表人/负责人授权代表参加的，须递交《法定代表人/负责人授权书》，并提供被授权人自2026年1月1日以来至少一个月在本公司的社会保障资金缴纳证明。</w:t>
      </w:r>
    </w:p>
    <w:p>
      <w:pPr>
        <w:pStyle w:val="null3"/>
      </w:pPr>
      <w:r>
        <w:rPr>
          <w:rFonts w:ascii="仿宋_GB2312" w:hAnsi="仿宋_GB2312" w:cs="仿宋_GB2312" w:eastAsia="仿宋_GB2312"/>
        </w:rPr>
        <w:t>6、参加本次政府采购活动前三年内，在经营活动中没有重大违法记录：供应商参加本次政府采购活动前三年内，在经营活动中没有重大违法记录，提供《无重大违法记录声明》。</w:t>
      </w:r>
    </w:p>
    <w:p>
      <w:pPr>
        <w:pStyle w:val="null3"/>
      </w:pPr>
      <w:r>
        <w:rPr>
          <w:rFonts w:ascii="仿宋_GB2312" w:hAnsi="仿宋_GB2312" w:cs="仿宋_GB2312" w:eastAsia="仿宋_GB2312"/>
        </w:rPr>
        <w:t>7、供应商应具有履行合同所必需的设备和专业技术能力：供应商须提供《具有履行合同所必需的设备和专业技术能力的承诺书》。</w:t>
      </w:r>
    </w:p>
    <w:p>
      <w:pPr>
        <w:pStyle w:val="null3"/>
      </w:pPr>
      <w:r>
        <w:rPr>
          <w:rFonts w:ascii="仿宋_GB2312" w:hAnsi="仿宋_GB2312" w:cs="仿宋_GB2312" w:eastAsia="仿宋_GB2312"/>
        </w:rPr>
        <w:t>8、企业资质：供应商具备施工总承包三级及以上或建筑装饰装修工程专业承包资质三级及以上(含三级)，具有安全生产许可证；并进行电子签章。</w:t>
      </w:r>
    </w:p>
    <w:p>
      <w:pPr>
        <w:pStyle w:val="null3"/>
      </w:pPr>
      <w:r>
        <w:rPr>
          <w:rFonts w:ascii="仿宋_GB2312" w:hAnsi="仿宋_GB2312" w:cs="仿宋_GB2312" w:eastAsia="仿宋_GB2312"/>
        </w:rPr>
        <w:t>9、拟派项目经理资格：拟投入的项目经理须有建筑工程二级及以上（含二级）注册建造师证书及安全生产考核合格证（B证），须在本单位注册（提供近3个月内任一个月在本单位的社保缴费证明材料），无不良信用记录，且未担任其他在建工程项目的项目经理（提供承诺书）；并进行电子签章。</w:t>
      </w:r>
    </w:p>
    <w:p>
      <w:pPr>
        <w:pStyle w:val="null3"/>
      </w:pPr>
      <w:r>
        <w:rPr>
          <w:rFonts w:ascii="仿宋_GB2312" w:hAnsi="仿宋_GB2312" w:cs="仿宋_GB2312" w:eastAsia="仿宋_GB2312"/>
        </w:rPr>
        <w:t>10、供应商与拟派项目经理登记备案情况：提供陕西省住房和城乡建设厅（https://js.shaanxi.gov.cn）《陕西省建筑市场监管与诚信信息发布平台》企业和拟派项目经理查询截图；外省进陕企业需提供陕西省住房和城乡建设厅官网企业库外省进陕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曲慧、陆频、张海、田颖琦、陈利娜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采购包1：570,000.00元</w:t>
            </w:r>
          </w:p>
          <w:p>
            <w:pPr>
              <w:pStyle w:val="null3"/>
            </w:pPr>
            <w:r>
              <w:rPr>
                <w:rFonts w:ascii="仿宋_GB2312" w:hAnsi="仿宋_GB2312" w:cs="仿宋_GB2312" w:eastAsia="仿宋_GB2312"/>
              </w:rPr>
              <w:t>采购包2：282,000.00元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采购包2保证金金额：3,000.00元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开户名称：陕西嘉信瑞诚招标有限公司</w:t>
            </w:r>
          </w:p>
          <w:p>
            <w:pPr>
              <w:pStyle w:val="null3"/>
            </w:pPr>
            <w:r>
              <w:rPr>
                <w:rFonts w:ascii="仿宋_GB2312" w:hAnsi="仿宋_GB2312" w:cs="仿宋_GB2312" w:eastAsia="仿宋_GB2312"/>
              </w:rPr>
              <w:t>开户银行：民生银行西安分行营业部（转账时须附言：260713.1.3B1-X包保证金）</w:t>
            </w:r>
          </w:p>
          <w:p>
            <w:pPr>
              <w:pStyle w:val="null3"/>
            </w:pPr>
            <w:r>
              <w:rPr>
                <w:rFonts w:ascii="仿宋_GB2312" w:hAnsi="仿宋_GB2312" w:cs="仿宋_GB2312" w:eastAsia="仿宋_GB2312"/>
              </w:rPr>
              <w:t>银行账号：632043869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说明：合同签订前缴纳，缴纳金额为合同金额的5%；缴纳方式：银行转账、支票/汇票/本票、保函/保险 ；退还方式：工程竣工验收合格后凭收据和验收单复印件无息退还。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说明：合同签订前缴纳，缴纳金额为合同金额的5%；缴纳方式：银行转账、支票/汇票/本票、保函/保险 ；退还方式：工程竣工验收合格后凭收据和验收单复印件无息退还。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代理服务费收费标准：采购包1、采购包2： 代理服务费收费标准：招标代理服务费的收取，参照国家计委关于印发《招标代理服务收费管理暂行办法》（计价格〔2002〕1980号）的通知和国家发展和改革委员会办公厅颁发的《关于招标代理服务收费有关问题的通知》（发改办价格〔2003〕857号）的有关规定服务类收费标准的90%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西安石油大学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570,000.00</w:t>
      </w:r>
    </w:p>
    <w:p>
      <w:pPr>
        <w:pStyle w:val="null3"/>
      </w:pPr>
      <w:r>
        <w:rPr>
          <w:rFonts w:ascii="仿宋_GB2312" w:hAnsi="仿宋_GB2312" w:cs="仿宋_GB2312" w:eastAsia="仿宋_GB2312"/>
        </w:rPr>
        <w:t>采购包最高限价（元）: 569,131.91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鄠邑校区博览楼中心广场改造项目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570,000.00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282,000.00</w:t>
      </w:r>
    </w:p>
    <w:p>
      <w:pPr>
        <w:pStyle w:val="null3"/>
      </w:pPr>
      <w:r>
        <w:rPr>
          <w:rFonts w:ascii="仿宋_GB2312" w:hAnsi="仿宋_GB2312" w:cs="仿宋_GB2312" w:eastAsia="仿宋_GB2312"/>
        </w:rPr>
        <w:t>采购包最高限价（元）: 279,954.13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鄠邑校区部分教学楼及院系楼公共空间改造项目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282,000.00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标的名称：鄠邑校区博览楼中心广场改造项目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工程内容：</w:t>
            </w:r>
          </w:p>
          <w:p>
            <w:pPr>
              <w:pStyle w:val="null3"/>
            </w:pPr>
            <w:r>
              <w:rPr>
                <w:rFonts w:ascii="仿宋_GB2312" w:hAnsi="仿宋_GB2312" w:cs="仿宋_GB2312" w:eastAsia="仿宋_GB2312"/>
                <w:sz w:val="24"/>
              </w:rPr>
              <w:t>专业专项三部分：拆除部分、土建部分、安装部分（给排水、电气）。</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1</w:t>
            </w:r>
            <w:r>
              <w:rPr>
                <w:rFonts w:ascii="仿宋_GB2312" w:hAnsi="仿宋_GB2312" w:cs="仿宋_GB2312" w:eastAsia="仿宋_GB2312"/>
                <w:sz w:val="24"/>
              </w:rPr>
              <w:t>、拆除工程项目：</w:t>
            </w:r>
          </w:p>
          <w:p>
            <w:pPr>
              <w:pStyle w:val="null3"/>
            </w:pPr>
            <w:r>
              <w:rPr>
                <w:rFonts w:ascii="仿宋_GB2312" w:hAnsi="仿宋_GB2312" w:cs="仿宋_GB2312" w:eastAsia="仿宋_GB2312"/>
                <w:sz w:val="24"/>
              </w:rPr>
              <w:t>（1）广场原有铺装、混凝土基层拆除；</w:t>
            </w:r>
          </w:p>
          <w:p>
            <w:pPr>
              <w:pStyle w:val="null3"/>
            </w:pPr>
            <w:r>
              <w:rPr>
                <w:rFonts w:ascii="仿宋_GB2312" w:hAnsi="仿宋_GB2312" w:cs="仿宋_GB2312" w:eastAsia="仿宋_GB2312"/>
                <w:sz w:val="24"/>
              </w:rPr>
              <w:t>（2）老旧景观构筑物、花坛、台阶拆除；</w:t>
            </w:r>
          </w:p>
          <w:p>
            <w:pPr>
              <w:pStyle w:val="null3"/>
            </w:pPr>
            <w:r>
              <w:rPr>
                <w:rFonts w:ascii="仿宋_GB2312" w:hAnsi="仿宋_GB2312" w:cs="仿宋_GB2312" w:eastAsia="仿宋_GB2312"/>
                <w:sz w:val="24"/>
              </w:rPr>
              <w:t>（3）原有给排水、灌溉废弃管网拆除；</w:t>
            </w:r>
          </w:p>
          <w:p>
            <w:pPr>
              <w:pStyle w:val="null3"/>
            </w:pPr>
            <w:r>
              <w:rPr>
                <w:rFonts w:ascii="仿宋_GB2312" w:hAnsi="仿宋_GB2312" w:cs="仿宋_GB2312" w:eastAsia="仿宋_GB2312"/>
                <w:sz w:val="24"/>
              </w:rPr>
              <w:t>（4）老旧照明线路、破损灯座基础拆除；</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2</w:t>
            </w:r>
            <w:r>
              <w:rPr>
                <w:rFonts w:ascii="仿宋_GB2312" w:hAnsi="仿宋_GB2312" w:cs="仿宋_GB2312" w:eastAsia="仿宋_GB2312"/>
                <w:sz w:val="24"/>
              </w:rPr>
              <w:t>、土建装饰部分</w:t>
            </w:r>
          </w:p>
          <w:p>
            <w:pPr>
              <w:pStyle w:val="null3"/>
            </w:pPr>
            <w:r>
              <w:rPr>
                <w:rFonts w:ascii="仿宋_GB2312" w:hAnsi="仿宋_GB2312" w:cs="仿宋_GB2312" w:eastAsia="仿宋_GB2312"/>
                <w:sz w:val="24"/>
              </w:rPr>
              <w:t>（1）景观工程：广场休闲平台、景观造型、小品基座、人行分区边界结构施工，优化广场空间布局；</w:t>
            </w:r>
          </w:p>
          <w:p>
            <w:pPr>
              <w:pStyle w:val="null3"/>
            </w:pPr>
            <w:r>
              <w:rPr>
                <w:rFonts w:ascii="仿宋_GB2312" w:hAnsi="仿宋_GB2312" w:cs="仿宋_GB2312" w:eastAsia="仿宋_GB2312"/>
                <w:sz w:val="24"/>
              </w:rPr>
              <w:t>（2）铺装工程：重新铺设高强度防滑透水铺装，划分中心活动区、人行步道、休闲通道，规范排水坡度，消除积水隐患；</w:t>
            </w:r>
          </w:p>
          <w:p>
            <w:pPr>
              <w:pStyle w:val="null3"/>
            </w:pPr>
            <w:r>
              <w:rPr>
                <w:rFonts w:ascii="仿宋_GB2312" w:hAnsi="仿宋_GB2312" w:cs="仿宋_GB2312" w:eastAsia="仿宋_GB2312"/>
                <w:sz w:val="24"/>
              </w:rPr>
              <w:t>（3）园林绿化工程：场地绿化土方回填、整形，栽植景观灌木、草坪、观赏苗木，完善绿化造景；</w:t>
            </w:r>
          </w:p>
          <w:p>
            <w:pPr>
              <w:pStyle w:val="null3"/>
            </w:pPr>
            <w:r>
              <w:rPr>
                <w:rFonts w:ascii="仿宋_GB2312" w:hAnsi="仿宋_GB2312" w:cs="仿宋_GB2312" w:eastAsia="仿宋_GB2312"/>
                <w:sz w:val="24"/>
              </w:rPr>
              <w:t>（4）景观给排水土建：新建雨水收排沟槽、绿化灌溉管沟、管线预埋基坑、阀门井土建施工；</w:t>
            </w:r>
          </w:p>
          <w:p>
            <w:pPr>
              <w:pStyle w:val="null3"/>
            </w:pPr>
            <w:r>
              <w:rPr>
                <w:rFonts w:ascii="仿宋_GB2312" w:hAnsi="仿宋_GB2312" w:cs="仿宋_GB2312" w:eastAsia="仿宋_GB2312"/>
                <w:sz w:val="24"/>
              </w:rPr>
              <w:t>（5）景观电气土建：照明电缆预埋管敷设、庭院灯、景观灯混凝土基础浇筑施工。</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rPr>
              <w:t>3</w:t>
            </w:r>
            <w:r>
              <w:rPr>
                <w:rFonts w:ascii="仿宋_GB2312" w:hAnsi="仿宋_GB2312" w:cs="仿宋_GB2312" w:eastAsia="仿宋_GB2312"/>
                <w:sz w:val="24"/>
              </w:rPr>
              <w:t>、安装部分</w:t>
            </w:r>
          </w:p>
          <w:p>
            <w:pPr>
              <w:pStyle w:val="null3"/>
            </w:pPr>
            <w:r>
              <w:rPr>
                <w:rFonts w:ascii="仿宋_GB2312" w:hAnsi="仿宋_GB2312" w:cs="仿宋_GB2312" w:eastAsia="仿宋_GB2312"/>
                <w:sz w:val="24"/>
              </w:rPr>
              <w:t>（1）景观给排水安装：铺设灌溉给水管道、雨水排放管道，安装雨水篦、灌溉喷头、控制阀门、检修配件，实现广场快速排水、绿化自动浇灌；</w:t>
            </w:r>
          </w:p>
          <w:p>
            <w:pPr>
              <w:pStyle w:val="null3"/>
            </w:pPr>
            <w:r>
              <w:rPr>
                <w:rFonts w:ascii="仿宋_GB2312" w:hAnsi="仿宋_GB2312" w:cs="仿宋_GB2312" w:eastAsia="仿宋_GB2312"/>
                <w:sz w:val="24"/>
              </w:rPr>
              <w:t>（2）景观电气安装：敷设景观照明线缆，安装庭院灯、步道亮化灯带、户外配电箱，配套漏电保护、接地防护系统，满足夜间照明、景观亮化需求。</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rPr>
              <w:t>（一）拆除工程技术要求</w:t>
            </w:r>
          </w:p>
          <w:p>
            <w:pPr>
              <w:pStyle w:val="null3"/>
            </w:pPr>
            <w:r>
              <w:rPr>
                <w:rFonts w:ascii="仿宋_GB2312" w:hAnsi="仿宋_GB2312" w:cs="仿宋_GB2312" w:eastAsia="仿宋_GB2312"/>
                <w:sz w:val="24"/>
              </w:rPr>
              <w:t>拆除施工采取人工配合小型机械作业，严禁大型重型机械进场碾压原有路基，避免周边建筑、地下管线受损；破碎作业全程洒水降尘，拆除区域设置硬质围挡，防止碎石飞溅伤人。</w:t>
            </w:r>
          </w:p>
          <w:p>
            <w:pPr>
              <w:pStyle w:val="null3"/>
            </w:pPr>
            <w:r>
              <w:rPr>
                <w:rFonts w:ascii="仿宋_GB2312" w:hAnsi="仿宋_GB2312" w:cs="仿宋_GB2312" w:eastAsia="仿宋_GB2312"/>
                <w:sz w:val="24"/>
              </w:rPr>
              <w:t>原有地砖、混凝土基层、花坛构筑物分层拆除，彻底清理干净表层松动砂浆、浮土、破损防水层，拆除后场地基底平整压实，无建筑垃圾、杂物残留。</w:t>
            </w:r>
          </w:p>
          <w:p>
            <w:pPr>
              <w:pStyle w:val="null3"/>
            </w:pPr>
            <w:r>
              <w:rPr>
                <w:rFonts w:ascii="仿宋_GB2312" w:hAnsi="仿宋_GB2312" w:cs="仿宋_GB2312" w:eastAsia="仿宋_GB2312"/>
                <w:sz w:val="24"/>
              </w:rPr>
              <w:t>废弃给排水、电缆管线分段截断、清理，不得残留管线堵埋地下；存活苗木移栽前修剪枯枝、带完整土球，移栽坑施养护底肥，定植后做支撑、保湿养护。</w:t>
            </w:r>
          </w:p>
          <w:p>
            <w:pPr>
              <w:pStyle w:val="null3"/>
            </w:pPr>
            <w:r>
              <w:rPr>
                <w:rFonts w:ascii="仿宋_GB2312" w:hAnsi="仿宋_GB2312" w:cs="仿宋_GB2312" w:eastAsia="仿宋_GB2312"/>
                <w:sz w:val="24"/>
              </w:rPr>
              <w:t>所有建筑垃圾分类袋装、密闭外运，不得在校内露天堆放，外运车辆加盖篷布，杜绝沿途抛洒污染校园道路。</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4"/>
              </w:rPr>
              <w:t>（二）土建铺装工程技术要求</w:t>
            </w:r>
          </w:p>
          <w:p>
            <w:pPr>
              <w:pStyle w:val="null3"/>
            </w:pPr>
            <w:r>
              <w:rPr>
                <w:rFonts w:ascii="仿宋_GB2312" w:hAnsi="仿宋_GB2312" w:cs="仿宋_GB2312" w:eastAsia="仿宋_GB2312"/>
                <w:sz w:val="24"/>
              </w:rPr>
              <w:t>路基基层：清理原土基后分层回填级配砂石，分层碾压夯实，压实度达到园林道路施工规范标准，基层平整度、坡度精准放线，排水单向坡度≥1.5%，无积水死角。</w:t>
            </w:r>
          </w:p>
          <w:p>
            <w:pPr>
              <w:pStyle w:val="null3"/>
            </w:pPr>
            <w:r>
              <w:rPr>
                <w:rFonts w:ascii="仿宋_GB2312" w:hAnsi="仿宋_GB2312" w:cs="仿宋_GB2312" w:eastAsia="仿宋_GB2312"/>
                <w:sz w:val="24"/>
              </w:rPr>
              <w:t>铺装材料：选用高强度防滑透水砖，抗压强度、抗冻指标符合西安地区户外使用标准；砖体色泽均匀、无裂纹缺角，进场提供产品合格证与检测报告。</w:t>
            </w:r>
          </w:p>
          <w:p>
            <w:pPr>
              <w:pStyle w:val="null3"/>
            </w:pPr>
            <w:r>
              <w:rPr>
                <w:rFonts w:ascii="仿宋_GB2312" w:hAnsi="仿宋_GB2312" w:cs="仿宋_GB2312" w:eastAsia="仿宋_GB2312"/>
                <w:sz w:val="24"/>
              </w:rPr>
              <w:t>铺装施工：砂浆结合层厚度均匀，铺装缝隙宽窄统一、横平竖直，全部铺装完成后采用透水填缝剂填缝；完工后整体无空鼓、松动、起翘，人行区域承载力满足多人集会荷载要求。</w:t>
            </w:r>
          </w:p>
          <w:p>
            <w:pPr>
              <w:pStyle w:val="null3"/>
            </w:pPr>
            <w:r>
              <w:rPr>
                <w:rFonts w:ascii="仿宋_GB2312" w:hAnsi="仿宋_GB2312" w:cs="仿宋_GB2312" w:eastAsia="仿宋_GB2312"/>
                <w:sz w:val="24"/>
              </w:rPr>
              <w:t>景观花坛、台阶混凝土基座钢筋绑扎、混凝土浇筑符合土建规范，面层水泥砂浆抹光，阴阳角顺直，无开裂、起砂、脱落。</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4"/>
              </w:rPr>
              <w:t>（三）景观给排水工程技术要求</w:t>
            </w:r>
          </w:p>
          <w:p>
            <w:pPr>
              <w:pStyle w:val="null3"/>
            </w:pPr>
            <w:r>
              <w:rPr>
                <w:rFonts w:ascii="仿宋_GB2312" w:hAnsi="仿宋_GB2312" w:cs="仿宋_GB2312" w:eastAsia="仿宋_GB2312"/>
                <w:sz w:val="24"/>
              </w:rPr>
              <w:t>给水管、雨水排水管均采用国标耐腐蚀PE管材，管道热熔连接严密，无渗漏；管沟铺设细沙垫层，管道上部覆土夯实，避免后期沉降压裂管道。</w:t>
            </w:r>
          </w:p>
          <w:p>
            <w:pPr>
              <w:pStyle w:val="null3"/>
            </w:pPr>
            <w:r>
              <w:rPr>
                <w:rFonts w:ascii="仿宋_GB2312" w:hAnsi="仿宋_GB2312" w:cs="仿宋_GB2312" w:eastAsia="仿宋_GB2312"/>
                <w:sz w:val="24"/>
              </w:rPr>
              <w:t>雨水沟槽、雨水篦子标高低于铺装地面，保证地表雨水快速汇入管网；灌溉喷头点位覆盖全部绿化区域，阀门井砌筑规整，检修操作便捷。</w:t>
            </w:r>
          </w:p>
          <w:p>
            <w:pPr>
              <w:pStyle w:val="null3"/>
            </w:pPr>
            <w:r>
              <w:rPr>
                <w:rFonts w:ascii="仿宋_GB2312" w:hAnsi="仿宋_GB2312" w:cs="仿宋_GB2312" w:eastAsia="仿宋_GB2312"/>
                <w:sz w:val="24"/>
              </w:rPr>
              <w:t>全部管道安装完成后做闭水试压试验，稳压30分钟无压降、无渗漏方可覆土隐蔽；竣工标注管线走向、标高、阀门位置。</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4"/>
              </w:rPr>
              <w:t>（四）景观电气工程技术要求</w:t>
            </w:r>
          </w:p>
          <w:p>
            <w:pPr>
              <w:pStyle w:val="null3"/>
            </w:pPr>
            <w:r>
              <w:rPr>
                <w:rFonts w:ascii="仿宋_GB2312" w:hAnsi="仿宋_GB2312" w:cs="仿宋_GB2312" w:eastAsia="仿宋_GB2312"/>
                <w:sz w:val="24"/>
              </w:rPr>
              <w:t>电缆全部穿阻燃PVC保护管埋地敷设，过路区域增设钢管防护，线缆接头设置专用接线盒，做好防水绝缘密封，杜绝漏电隐患。</w:t>
            </w:r>
          </w:p>
          <w:p>
            <w:pPr>
              <w:pStyle w:val="null3"/>
            </w:pPr>
            <w:r>
              <w:rPr>
                <w:rFonts w:ascii="仿宋_GB2312" w:hAnsi="仿宋_GB2312" w:cs="仿宋_GB2312" w:eastAsia="仿宋_GB2312"/>
                <w:sz w:val="24"/>
              </w:rPr>
              <w:t>庭院灯、景观灯带底座混凝土浇筑牢固，灯具选用户外防水IP65以上规格，配套配电箱内置漏电保护器、过载保护装置，金属构件统一接地。</w:t>
            </w:r>
          </w:p>
          <w:p>
            <w:pPr>
              <w:pStyle w:val="null3"/>
            </w:pPr>
            <w:r>
              <w:rPr>
                <w:rFonts w:ascii="仿宋_GB2312" w:hAnsi="仿宋_GB2312" w:cs="仿宋_GB2312" w:eastAsia="仿宋_GB2312"/>
                <w:sz w:val="24"/>
              </w:rPr>
              <w:t>线路铺设完成后通电全段测试，照明亮度均匀、开关控制灵敏；所有电气材料、灯具提供3C认证证书，电气施工符合校园低压用电安全</w:t>
            </w:r>
            <w:r>
              <w:rPr>
                <w:rFonts w:ascii="仿宋_GB2312" w:hAnsi="仿宋_GB2312" w:cs="仿宋_GB2312" w:eastAsia="仿宋_GB2312"/>
                <w:sz w:val="24"/>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标的名称：鄠邑校区部分教学楼及院系楼公共空间改造项目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（一）电气要求</w:t>
            </w:r>
          </w:p>
          <w:p>
            <w:pPr>
              <w:pStyle w:val="null3"/>
            </w:pPr>
            <w:r>
              <w:rPr>
                <w:rFonts w:ascii="仿宋_GB2312" w:hAnsi="仿宋_GB2312" w:cs="仿宋_GB2312" w:eastAsia="仿宋_GB2312"/>
                <w:sz w:val="24"/>
              </w:rPr>
              <w:t>1.</w:t>
            </w:r>
            <w:r>
              <w:rPr>
                <w:rFonts w:ascii="仿宋_GB2312" w:hAnsi="仿宋_GB2312" w:cs="仿宋_GB2312" w:eastAsia="仿宋_GB2312"/>
                <w:sz w:val="24"/>
              </w:rPr>
              <w:t>本次改造范围为局部改造。照明配电线路电源均由原开关主线接出；插座配电线路均由原始插座主线接出。</w:t>
            </w:r>
          </w:p>
          <w:p>
            <w:pPr>
              <w:pStyle w:val="null3"/>
            </w:pPr>
            <w:r>
              <w:rPr>
                <w:rFonts w:ascii="仿宋_GB2312" w:hAnsi="仿宋_GB2312" w:cs="仿宋_GB2312" w:eastAsia="仿宋_GB2312"/>
                <w:sz w:val="24"/>
              </w:rPr>
              <w:t>2.</w:t>
            </w:r>
            <w:r>
              <w:rPr>
                <w:rFonts w:ascii="仿宋_GB2312" w:hAnsi="仿宋_GB2312" w:cs="仿宋_GB2312" w:eastAsia="仿宋_GB2312"/>
                <w:sz w:val="24"/>
              </w:rPr>
              <w:t>灯具的各项参数满足设计要求；</w:t>
            </w:r>
          </w:p>
          <w:p>
            <w:pPr>
              <w:pStyle w:val="null3"/>
            </w:pPr>
            <w:r>
              <w:rPr>
                <w:rFonts w:ascii="仿宋_GB2312" w:hAnsi="仿宋_GB2312" w:cs="仿宋_GB2312" w:eastAsia="仿宋_GB2312"/>
                <w:sz w:val="24"/>
              </w:rPr>
              <w:t>3.</w:t>
            </w:r>
            <w:r>
              <w:rPr>
                <w:rFonts w:ascii="仿宋_GB2312" w:hAnsi="仿宋_GB2312" w:cs="仿宋_GB2312" w:eastAsia="仿宋_GB2312"/>
                <w:sz w:val="24"/>
              </w:rPr>
              <w:t>电线满足阻燃耐火要求</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（二）建筑要求</w:t>
            </w:r>
          </w:p>
          <w:p>
            <w:pPr>
              <w:pStyle w:val="null3"/>
            </w:pPr>
            <w:r>
              <w:rPr>
                <w:rFonts w:ascii="仿宋_GB2312" w:hAnsi="仿宋_GB2312" w:cs="仿宋_GB2312" w:eastAsia="仿宋_GB2312"/>
                <w:sz w:val="24"/>
              </w:rPr>
              <w:t>1.</w:t>
            </w:r>
            <w:r>
              <w:rPr>
                <w:rFonts w:ascii="仿宋_GB2312" w:hAnsi="仿宋_GB2312" w:cs="仿宋_GB2312" w:eastAsia="仿宋_GB2312"/>
                <w:sz w:val="24"/>
              </w:rPr>
              <w:t>本工程所用材料规格、材质、施工及验收等要求，均应遵照国家现行标准、各项工程施工及验收规范进行。</w:t>
            </w:r>
          </w:p>
          <w:p>
            <w:pPr>
              <w:pStyle w:val="null3"/>
            </w:pPr>
            <w:r>
              <w:rPr>
                <w:rFonts w:ascii="仿宋_GB2312" w:hAnsi="仿宋_GB2312" w:cs="仿宋_GB2312" w:eastAsia="仿宋_GB2312"/>
                <w:sz w:val="24"/>
              </w:rPr>
              <w:t>2.</w:t>
            </w:r>
            <w:r>
              <w:rPr>
                <w:rFonts w:ascii="仿宋_GB2312" w:hAnsi="仿宋_GB2312" w:cs="仿宋_GB2312" w:eastAsia="仿宋_GB2312"/>
                <w:sz w:val="24"/>
              </w:rPr>
              <w:t>工程室内所选用的建筑材料和装修材料，不得使用国家禁止使用，限制使用的建筑材料：应选用符合规范GB50325-2020要求的材料。建筑工程所使用的砂、石、砖、砌块、水泥、混凝土，混凝土预制构件等无机非金属建筑主体材料的效射性限量，应符合现行国家标准《建筑材料放射性核素限量》GB6566的规定。建筑工程所使用的无机非金属装修材料，包括石材，建筑卫生陶瓷、石膏板、吊顶材料、无机套质砖新接材料等，其放射性限量应分类符合现行国家标准《建筑材料放射性核素限量》GB6566的规定。</w:t>
            </w:r>
          </w:p>
          <w:p>
            <w:pPr>
              <w:pStyle w:val="null3"/>
            </w:pPr>
            <w:r>
              <w:rPr>
                <w:rFonts w:ascii="仿宋_GB2312" w:hAnsi="仿宋_GB2312" w:cs="仿宋_GB2312" w:eastAsia="仿宋_GB2312"/>
                <w:sz w:val="24"/>
              </w:rPr>
              <w:t>3.</w:t>
            </w:r>
            <w:r>
              <w:rPr>
                <w:rFonts w:ascii="仿宋_GB2312" w:hAnsi="仿宋_GB2312" w:cs="仿宋_GB2312" w:eastAsia="仿宋_GB2312"/>
                <w:sz w:val="24"/>
              </w:rPr>
              <w:t>建筑工程室内装修中所使用的木质材料、严禁采用沥青、煤焦油类防腐、防潮处理剂。建筑工程室内装修时，严禁使用苯、工业苯、石油苯，重质苯及混苯作为稀释剂和溶剂。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（三）装饰要求</w:t>
            </w:r>
          </w:p>
          <w:p>
            <w:pPr>
              <w:pStyle w:val="null3"/>
            </w:pPr>
            <w:r>
              <w:rPr>
                <w:rFonts w:ascii="仿宋_GB2312" w:hAnsi="仿宋_GB2312" w:cs="仿宋_GB2312" w:eastAsia="仿宋_GB2312"/>
                <w:sz w:val="24"/>
              </w:rPr>
              <w:t>1.</w:t>
            </w:r>
            <w:r>
              <w:rPr>
                <w:rFonts w:ascii="仿宋_GB2312" w:hAnsi="仿宋_GB2312" w:cs="仿宋_GB2312" w:eastAsia="仿宋_GB2312"/>
                <w:sz w:val="24"/>
              </w:rPr>
              <w:t>室内二次装修设计：应满足消防安全、使用功能、节能及环保等要求，不得超过结构楼面设计荷载值。也不得任意更改公用的给排水管道、暖通风管及消防设施：不得任意降低吊顶控制标高以及改动吊顶上的通风与消防设施：不应减少安全出口及疏散走道的净宽和数量。</w:t>
            </w:r>
          </w:p>
          <w:p>
            <w:pPr>
              <w:pStyle w:val="null3"/>
            </w:pPr>
            <w:r>
              <w:rPr>
                <w:rFonts w:ascii="仿宋_GB2312" w:hAnsi="仿宋_GB2312" w:cs="仿宋_GB2312" w:eastAsia="仿宋_GB2312"/>
                <w:sz w:val="24"/>
              </w:rPr>
              <w:t>2.</w:t>
            </w:r>
            <w:r>
              <w:rPr>
                <w:rFonts w:ascii="仿宋_GB2312" w:hAnsi="仿宋_GB2312" w:cs="仿宋_GB2312" w:eastAsia="仿宋_GB2312"/>
                <w:sz w:val="24"/>
              </w:rPr>
              <w:t>未经技术鉴定和设计认可，不得破坏建筑主体结构承重构件，不得拆改结构构件和加层改造。</w:t>
            </w:r>
          </w:p>
          <w:p>
            <w:pPr>
              <w:pStyle w:val="null3"/>
            </w:pPr>
            <w:r>
              <w:rPr>
                <w:rFonts w:ascii="仿宋_GB2312" w:hAnsi="仿宋_GB2312" w:cs="仿宋_GB2312" w:eastAsia="仿宋_GB2312"/>
                <w:sz w:val="24"/>
              </w:rPr>
              <w:t>3.</w:t>
            </w:r>
            <w:r>
              <w:rPr>
                <w:rFonts w:ascii="仿宋_GB2312" w:hAnsi="仿宋_GB2312" w:cs="仿宋_GB2312" w:eastAsia="仿宋_GB2312"/>
                <w:sz w:val="24"/>
              </w:rPr>
              <w:t>室内为混合砂浆粉刷时，墙、柱和门洞口的阳角，应用每侧宽度＞50mm</w:t>
            </w:r>
          </w:p>
          <w:p>
            <w:pPr>
              <w:pStyle w:val="null3"/>
            </w:pPr>
            <w:r>
              <w:rPr>
                <w:rFonts w:ascii="仿宋_GB2312" w:hAnsi="仿宋_GB2312" w:cs="仿宋_GB2312" w:eastAsia="仿宋_GB2312"/>
                <w:sz w:val="24"/>
              </w:rPr>
              <w:t>4.</w:t>
            </w:r>
            <w:r>
              <w:rPr>
                <w:rFonts w:ascii="仿宋_GB2312" w:hAnsi="仿宋_GB2312" w:cs="仿宋_GB2312" w:eastAsia="仿宋_GB2312"/>
                <w:sz w:val="24"/>
              </w:rPr>
              <w:t>不同材料交接处，应在找平层中附加耐碱玻璃纤维网格布，两边搭接不小于100mm，防止墙体开裂。</w:t>
            </w:r>
          </w:p>
          <w:p>
            <w:pPr>
              <w:pStyle w:val="null3"/>
            </w:pPr>
            <w:r>
              <w:rPr>
                <w:rFonts w:ascii="仿宋_GB2312" w:hAnsi="仿宋_GB2312" w:cs="仿宋_GB2312" w:eastAsia="仿宋_GB2312"/>
                <w:sz w:val="24"/>
              </w:rPr>
              <w:t>5.</w:t>
            </w:r>
            <w:r>
              <w:rPr>
                <w:rFonts w:ascii="仿宋_GB2312" w:hAnsi="仿宋_GB2312" w:cs="仿宋_GB2312" w:eastAsia="仿宋_GB2312"/>
                <w:sz w:val="24"/>
              </w:rPr>
              <w:t>室内采暖立管、给排水立管、雨水管未设在管道井内时可统一由装修统一包管。</w:t>
            </w:r>
          </w:p>
          <w:p>
            <w:pPr>
              <w:pStyle w:val="null3"/>
            </w:pPr>
            <w:r>
              <w:rPr>
                <w:rFonts w:ascii="仿宋_GB2312" w:hAnsi="仿宋_GB2312" w:cs="仿宋_GB2312" w:eastAsia="仿宋_GB2312"/>
                <w:sz w:val="24"/>
              </w:rPr>
              <w:t>6.</w:t>
            </w:r>
            <w:r>
              <w:rPr>
                <w:rFonts w:ascii="仿宋_GB2312" w:hAnsi="仿宋_GB2312" w:cs="仿宋_GB2312" w:eastAsia="仿宋_GB2312"/>
                <w:sz w:val="24"/>
              </w:rPr>
              <w:t>涂料：①工程涂料饰所用涂料和半成品的品名、等级、种类、颜色、性能等必须符合设计或选定样品的要求。(应附有使用说明书)</w:t>
            </w:r>
          </w:p>
          <w:p>
            <w:pPr>
              <w:pStyle w:val="null3"/>
            </w:pPr>
            <w:r>
              <w:rPr>
                <w:rFonts w:ascii="仿宋_GB2312" w:hAnsi="仿宋_GB2312" w:cs="仿宋_GB2312" w:eastAsia="仿宋_GB2312"/>
                <w:sz w:val="24"/>
              </w:rPr>
              <w:t>②喷涂的涂膜厚度应均匀,颜色一致,喷点、喷花的突出点要手感适宜,不掉粒。喷涂接茬应留在分格缝出切无明显色差无分格缝时接茬不得有搭接痕迹，喷涂表面清洁无污染。</w:t>
            </w:r>
          </w:p>
          <w:p>
            <w:pPr>
              <w:pStyle w:val="null3"/>
            </w:pPr>
            <w:r>
              <w:rPr>
                <w:rFonts w:ascii="仿宋_GB2312" w:hAnsi="仿宋_GB2312" w:cs="仿宋_GB2312" w:eastAsia="仿宋_GB2312"/>
                <w:sz w:val="24"/>
              </w:rPr>
              <w:t>7.</w:t>
            </w:r>
            <w:r>
              <w:rPr>
                <w:rFonts w:ascii="仿宋_GB2312" w:hAnsi="仿宋_GB2312" w:cs="仿宋_GB2312" w:eastAsia="仿宋_GB2312"/>
                <w:sz w:val="24"/>
              </w:rPr>
              <w:t>龙骨、石膏板、配件规格、性能、防火 / 防潮 / 隔声等级符合设计，资料齐全</w:t>
            </w:r>
          </w:p>
          <w:p>
            <w:pPr>
              <w:pStyle w:val="null3"/>
            </w:pPr>
            <w:r>
              <w:rPr>
                <w:rFonts w:ascii="仿宋_GB2312" w:hAnsi="仿宋_GB2312" w:cs="仿宋_GB2312" w:eastAsia="仿宋_GB2312"/>
                <w:sz w:val="24"/>
              </w:rPr>
              <w:t>8.</w:t>
            </w:r>
            <w:r>
              <w:rPr>
                <w:rFonts w:ascii="仿宋_GB2312" w:hAnsi="仿宋_GB2312" w:cs="仿宋_GB2312" w:eastAsia="仿宋_GB2312"/>
                <w:sz w:val="24"/>
              </w:rPr>
              <w:t>室内家具①环保要求：所有柜体板、背板、层板必须达到E0及以上，公共建筑优先 ENF 级②防火要求：公共区域家具饰面需满足 B1 级难燃标准，提供阻燃检测报告。③ 材质要求面料：皮革 / 布艺耐磨、防污，无异味；填充物：海绵高密度≥35kg/m³，回弹达标，无黑心棉、废旧回收料；</w:t>
            </w:r>
          </w:p>
          <w:p>
            <w:pPr>
              <w:pStyle w:val="null3"/>
            </w:pPr>
            <w:r>
              <w:rPr>
                <w:rFonts w:ascii="仿宋_GB2312" w:hAnsi="仿宋_GB2312" w:cs="仿宋_GB2312" w:eastAsia="仿宋_GB2312"/>
                <w:sz w:val="24"/>
              </w:rPr>
              <w:t>9.</w:t>
            </w:r>
            <w:r>
              <w:rPr>
                <w:rFonts w:ascii="仿宋_GB2312" w:hAnsi="仿宋_GB2312" w:cs="仿宋_GB2312" w:eastAsia="仿宋_GB2312"/>
                <w:sz w:val="24"/>
              </w:rPr>
              <w:t>及时清理施工现场垃圾。</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rPr>
              <w:t>（四）以下内容为对本工程的最基本要求，包括但不限于：</w:t>
            </w:r>
          </w:p>
          <w:p>
            <w:pPr>
              <w:pStyle w:val="null3"/>
            </w:pPr>
            <w:r>
              <w:rPr>
                <w:rFonts w:ascii="仿宋_GB2312" w:hAnsi="仿宋_GB2312" w:cs="仿宋_GB2312" w:eastAsia="仿宋_GB2312"/>
                <w:sz w:val="24"/>
              </w:rPr>
              <w:t>1.</w:t>
            </w:r>
            <w:r>
              <w:rPr>
                <w:rFonts w:ascii="仿宋_GB2312" w:hAnsi="仿宋_GB2312" w:cs="仿宋_GB2312" w:eastAsia="仿宋_GB2312"/>
                <w:sz w:val="24"/>
              </w:rPr>
              <w:t>施工单位项目负责人是安全生产第一责任人，施工单位应建立健全安全生产责任制度和安全教育培训、安全生产检查和安全生产操作规程等各项规章制度；向施工作业人员提供符合相关标准的劳动安全防护用品（具），为施工人员缴纳意外伤害保险。</w:t>
            </w:r>
          </w:p>
          <w:p>
            <w:pPr>
              <w:pStyle w:val="null3"/>
            </w:pPr>
            <w:r>
              <w:rPr>
                <w:rFonts w:ascii="仿宋_GB2312" w:hAnsi="仿宋_GB2312" w:cs="仿宋_GB2312" w:eastAsia="仿宋_GB2312"/>
                <w:sz w:val="24"/>
              </w:rPr>
              <w:t>2.</w:t>
            </w:r>
            <w:r>
              <w:rPr>
                <w:rFonts w:ascii="仿宋_GB2312" w:hAnsi="仿宋_GB2312" w:cs="仿宋_GB2312" w:eastAsia="仿宋_GB2312"/>
                <w:sz w:val="24"/>
              </w:rPr>
              <w:t>施工单位应根据工程特点和周边各种管线管网、相邻建筑物以及绿化等其他设施等编制工程安全防护措施方案。该方案经施工单位技术负责人签字批准送建设单位审核后方可施工。</w:t>
            </w:r>
          </w:p>
          <w:p>
            <w:pPr>
              <w:pStyle w:val="null3"/>
            </w:pPr>
            <w:r>
              <w:rPr>
                <w:rFonts w:ascii="仿宋_GB2312" w:hAnsi="仿宋_GB2312" w:cs="仿宋_GB2312" w:eastAsia="仿宋_GB2312"/>
                <w:sz w:val="24"/>
              </w:rPr>
              <w:t>3.</w:t>
            </w:r>
            <w:r>
              <w:rPr>
                <w:rFonts w:ascii="仿宋_GB2312" w:hAnsi="仿宋_GB2312" w:cs="仿宋_GB2312" w:eastAsia="仿宋_GB2312"/>
                <w:sz w:val="24"/>
              </w:rPr>
              <w:t>施工单位在施工现场应建立项目部，并按规定配备专职安全员。现场专职安全员必须持有安全生产考核合格证。</w:t>
            </w:r>
          </w:p>
          <w:p>
            <w:pPr>
              <w:pStyle w:val="null3"/>
            </w:pPr>
            <w:r>
              <w:rPr>
                <w:rFonts w:ascii="仿宋_GB2312" w:hAnsi="仿宋_GB2312" w:cs="仿宋_GB2312" w:eastAsia="仿宋_GB2312"/>
                <w:sz w:val="24"/>
              </w:rPr>
              <w:t>4.</w:t>
            </w:r>
            <w:r>
              <w:rPr>
                <w:rFonts w:ascii="仿宋_GB2312" w:hAnsi="仿宋_GB2312" w:cs="仿宋_GB2312" w:eastAsia="仿宋_GB2312"/>
                <w:sz w:val="24"/>
              </w:rPr>
              <w:t>关键部位作业人员必须经专业安全技术培训后方可上岗。必要时施工前施工单位对施工作业人员进行安全技术交底，派出技术人员到现场指导，专职安全员在现场监督安全管理。另外施工单位必须制定安全事故应急救援方案。</w:t>
            </w:r>
          </w:p>
          <w:p>
            <w:pPr>
              <w:pStyle w:val="null3"/>
            </w:pPr>
            <w:r>
              <w:rPr>
                <w:rFonts w:ascii="仿宋_GB2312" w:hAnsi="仿宋_GB2312" w:cs="仿宋_GB2312" w:eastAsia="仿宋_GB2312"/>
                <w:sz w:val="24"/>
              </w:rPr>
              <w:t>5.</w:t>
            </w:r>
            <w:r>
              <w:rPr>
                <w:rFonts w:ascii="仿宋_GB2312" w:hAnsi="仿宋_GB2312" w:cs="仿宋_GB2312" w:eastAsia="仿宋_GB2312"/>
                <w:sz w:val="24"/>
              </w:rPr>
              <w:t>拆除时不得野蛮施工、不得对附近建筑物、路灯、规划外的树木等造成损害。</w:t>
            </w:r>
          </w:p>
          <w:p>
            <w:pPr>
              <w:pStyle w:val="null3"/>
            </w:pPr>
            <w:r>
              <w:rPr>
                <w:rFonts w:ascii="仿宋_GB2312" w:hAnsi="仿宋_GB2312" w:cs="仿宋_GB2312" w:eastAsia="仿宋_GB2312"/>
                <w:sz w:val="24"/>
              </w:rPr>
              <w:t>6.</w:t>
            </w:r>
            <w:r>
              <w:rPr>
                <w:rFonts w:ascii="仿宋_GB2312" w:hAnsi="仿宋_GB2312" w:cs="仿宋_GB2312" w:eastAsia="仿宋_GB2312"/>
                <w:sz w:val="24"/>
              </w:rPr>
              <w:t>施工单位对工程的周边环境和施工区域内的环境卫生负责。</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现行的国家标准或国家行政部门颁布的法律法规、规章制度等。</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采购包1、采购包2： （一）施工质量总体要求 1.本项目所有材料、设备均需提供产品合格证、检测报告、环保认证证书，严禁使用假冒伪劣、不合格产品，材料进场需经校方验收合格后方可使用； 2.所有施工工序、材料选用、工艺做法严格遵循《园林绿化工程施工及验收规范》《建筑地面工程施工质量验收规范》《建筑给排水及采暖工程施工质量验收规范》《建筑电气工程施工质量验收规范》等国家、行业现行标准，同时满足西安石油大学校园基建管理相关规定，图纸、清单内所有施工内容不得降低设计标准。 （二）安全与文明施工要求 1.施工单位需具备相应施工资质，施工人员持证上岗，严格遵守校园安全管理规定，做好施工安全防护，搭设安全防护设施，杜绝安全事故； 2.施工期间采取降噪、降尘措施，合理安排施工时间，避免影响学生正常学习、休息； 3.施工人员服从校方管理，严禁在校园内违规动火、用电，做好施工现场消防安全工作； （三）售后保障要求 1.供应商需提供完整的施工方案、材料清单、质保承诺； 2.项目完工后，向校方移交完整的竣工资料、产品说明书及质保文件。 （四）项目管理要求 1.本项目不得分包、转包。 2.供应商在竞争性磋商响应文件中承诺的项目负责人及相应资质的专业技术、安全管理人员未经采购人书面同意，承包人不得调换和撤离，并按工程进度及时到位。采购人有权要求施工单位撤换工作不负责任、管理不力、贻误工期和造成严重安全事故和违法乱纪的专业技术、安全管理人员。如项目负责人及相应资质的专业技术人员未按要求到位，视作违约，采购人有权按合同约定进行罚款直至单方面终止合同。 3.成交供应商须无条件接受采购人代表的现场检查和管理。 4.成交供应商在施工期间做好安全文明施工管理，必须重视安全，按规范操作；施工过程中佩戴安全帽，并保证自身及周边公民人身财产安全；严禁带电操作；确保车辆、人员、施工安全；若发生事故，由承包方负责并承担全部费用，任何责任与学校无关。 5.施工的建筑垃圾应清运至有关部门指定的地点，做到工完场清，不留死角。</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采购包1、采购包2： 1、工程地点：西安石油大学指定地点 2、计划工期：采购包1：20个日历日内竣工。采购包2：25个日历日内竣工。 3、质量保修期：项目质保期不低于 2 年，质保期内出现质量问题，施工单位需无条件免费维修、更换。质保期内，接到校方维修通知后，24 小时内响应，48 小时内到场处理问题。 4、结算方式、支付方式：银行转账;无预付款，此工程无预付款，工程施工完毕，经采购人验收合格后，10日内支付合同总价款的80%；经工程审计结算审核后10日内，扣除核定总造价1%的水电费，余款一次性支付。办理付款时，供应商应提供增值税专用发票。承包人应按要求向发包人递交竣工结算报告及完整的结算资料，并对递交的报告及资料的完整性负全责。若出现漏报，损失由承包人承担。工程竣工验收合格，发包人在收到竣工结算报告及完整的结算资料后，按相关要求对承包人提供的竣工结算资料进行审计。发包人委托有资质的造价咨询机构进行审计，基本审计费由发包人承担，审减额在5%以内（含5%），发生的审核成果费由发包人承担；审减额5%以上的审核成果费由承包人承担。 5、投标保证金注意事项： （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 （邮件命名：项目编号）。保函必须由具有开具投标保函资格的单位开具；若供应商违约，开具保函单位承担连带责任； 6、中标供应商应在中标结果发布后2日内提供与电子化交易平台上传一致的纸质投标文件2份。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企业关联关系声明函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企业关联关系声明函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供应商应有良好的财务状况</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其他组织和自然人提供银行出具的资信证明或财务报表或政府采购信用担保机构出具的担保函。</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供应商应有依法缴纳税收的良好记录</w:t>
            </w:r>
          </w:p>
        </w:tc>
        <w:tc>
          <w:tcPr>
            <w:tcW w:type="dxa" w:w="3322"/>
          </w:tcPr>
          <w:p>
            <w:pPr>
              <w:pStyle w:val="null3"/>
            </w:pPr>
            <w:r>
              <w:rPr>
                <w:rFonts w:ascii="仿宋_GB2312" w:hAnsi="仿宋_GB2312" w:cs="仿宋_GB2312" w:eastAsia="仿宋_GB2312"/>
              </w:rPr>
              <w:t>法人提供自2026年1月1日以来至少一个月的纳税证明或完税证明（任意税种），纳税证明或完税证明上应有代收机构或税务机关的公章或业务专用章；其他组织和自然人提供自2026年1月1日以来至少一个月缴纳税收的凭据；依法免税的供应商应提供相关文件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供应商应有依法缴纳社会保障资金的良好记录</w:t>
            </w:r>
          </w:p>
        </w:tc>
        <w:tc>
          <w:tcPr>
            <w:tcW w:type="dxa" w:w="3322"/>
          </w:tcPr>
          <w:p>
            <w:pPr>
              <w:pStyle w:val="null3"/>
            </w:pPr>
            <w:r>
              <w:rPr>
                <w:rFonts w:ascii="仿宋_GB2312" w:hAnsi="仿宋_GB2312" w:cs="仿宋_GB2312" w:eastAsia="仿宋_GB2312"/>
              </w:rPr>
              <w:t>提供自2026年1月1日以来至少一个月已缴纳的社会保障资金的证明（社会保障资金缴存单据或社保机构开具的社会保险参保缴费情况证明等)；依法不需要缴纳社会保障资金的供应商应提供相关证明文件。</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负责人直接参加的，只须递交《法定代表人/负责人身份证明》；法定代表人/负责人授权代表参加的，须递交《法定代表人/负责人授权书》，并提供被授权人自2026年1月1日以来至少一个月在本公司的社会保障资金缴纳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参加本次政府采购活动前三年内，在经营活动中没有重大违法记录</w:t>
            </w:r>
          </w:p>
        </w:tc>
        <w:tc>
          <w:tcPr>
            <w:tcW w:type="dxa" w:w="3322"/>
          </w:tcPr>
          <w:p>
            <w:pPr>
              <w:pStyle w:val="null3"/>
            </w:pPr>
            <w:r>
              <w:rPr>
                <w:rFonts w:ascii="仿宋_GB2312" w:hAnsi="仿宋_GB2312" w:cs="仿宋_GB2312" w:eastAsia="仿宋_GB2312"/>
              </w:rPr>
              <w:t>供应商参加本次政府采购活动前三年内，在经营活动中没有重大违法记录，提供《无重大违法记录声明》。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供应商应具有履行合同所必需的设备和专业技术能力</w:t>
            </w:r>
          </w:p>
        </w:tc>
        <w:tc>
          <w:tcPr>
            <w:tcW w:type="dxa" w:w="3322"/>
          </w:tcPr>
          <w:p>
            <w:pPr>
              <w:pStyle w:val="null3"/>
            </w:pPr>
            <w:r>
              <w:rPr>
                <w:rFonts w:ascii="仿宋_GB2312" w:hAnsi="仿宋_GB2312" w:cs="仿宋_GB2312" w:eastAsia="仿宋_GB2312"/>
              </w:rPr>
              <w:t>供应商须提供《具有履行合同所必需的设备和专业技术能力的承诺书》。</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供应商具备建筑工程施工总承包三级及以上(含三级)或市政公用工程施工总承包资质三级及以上(含三级)，具有安全生产许可证；并进行电子签章。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拟派项目经理资格</w:t>
            </w:r>
          </w:p>
        </w:tc>
        <w:tc>
          <w:tcPr>
            <w:tcW w:type="dxa" w:w="3322"/>
          </w:tcPr>
          <w:p>
            <w:pPr>
              <w:pStyle w:val="null3"/>
            </w:pPr>
            <w:r>
              <w:rPr>
                <w:rFonts w:ascii="仿宋_GB2312" w:hAnsi="仿宋_GB2312" w:cs="仿宋_GB2312" w:eastAsia="仿宋_GB2312"/>
              </w:rPr>
              <w:t>拟投入的项目经理须有市政工程二级及以上（含二级）或建筑工程二级及以上（含二级）注册建造师证书及安全生产考核合格证（B证），须在本单位注册（提供近3个月内任一个月在本单位的社保缴费证明材料），无不良信用记录，且未担任其他在建工程项目的项目经理（提供承诺书）；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供应商与拟派项目经理登记备案情况</w:t>
            </w:r>
          </w:p>
        </w:tc>
        <w:tc>
          <w:tcPr>
            <w:tcW w:type="dxa" w:w="3322"/>
          </w:tcPr>
          <w:p>
            <w:pPr>
              <w:pStyle w:val="null3"/>
            </w:pPr>
            <w:r>
              <w:rPr>
                <w:rFonts w:ascii="仿宋_GB2312" w:hAnsi="仿宋_GB2312" w:cs="仿宋_GB2312" w:eastAsia="仿宋_GB2312"/>
              </w:rPr>
              <w:t>提供陕西省住房和城乡建设厅（https://js.shaanxi.gov.cn）《陕西省建筑市场监管与诚信信息发布平台》企业和拟派项目经理查询截图；外省进陕企业需提供陕西省住房和城乡建设厅官网企业库外省进陕企业信息首页截图。</w:t>
            </w:r>
          </w:p>
        </w:tc>
        <w:tc>
          <w:tcPr>
            <w:tcW w:type="dxa" w:w="1661"/>
          </w:tcPr>
          <w:p>
            <w:pPr>
              <w:pStyle w:val="null3"/>
            </w:pPr>
            <w:r>
              <w:rPr>
                <w:rFonts w:ascii="仿宋_GB2312" w:hAnsi="仿宋_GB2312" w:cs="仿宋_GB2312" w:eastAsia="仿宋_GB2312"/>
              </w:rPr>
              <w:t>供应商资格</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供应商应有良好的财务状况</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其他组织和自然人提供银行出具的资信证明或财务报表或政府采购信用担保机构出具的担保函。</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供应商应有依法缴纳税收的良好记录</w:t>
            </w:r>
          </w:p>
        </w:tc>
        <w:tc>
          <w:tcPr>
            <w:tcW w:type="dxa" w:w="3322"/>
          </w:tcPr>
          <w:p>
            <w:pPr>
              <w:pStyle w:val="null3"/>
            </w:pPr>
            <w:r>
              <w:rPr>
                <w:rFonts w:ascii="仿宋_GB2312" w:hAnsi="仿宋_GB2312" w:cs="仿宋_GB2312" w:eastAsia="仿宋_GB2312"/>
              </w:rPr>
              <w:t>法人提供自2026年1月1日以来至少一个月的纳税证明或完税证明（任意税种），纳税证明或完税证明上应有代收机构或税务机关的公章或业务专用章；其他组织和自然人提供自2026年1月1日以来至少一个月缴纳税收的凭据；依法免税的供应商应提供相关文件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供应商应有依法缴纳社会保障资金的良好记录</w:t>
            </w:r>
          </w:p>
        </w:tc>
        <w:tc>
          <w:tcPr>
            <w:tcW w:type="dxa" w:w="3322"/>
          </w:tcPr>
          <w:p>
            <w:pPr>
              <w:pStyle w:val="null3"/>
            </w:pPr>
            <w:r>
              <w:rPr>
                <w:rFonts w:ascii="仿宋_GB2312" w:hAnsi="仿宋_GB2312" w:cs="仿宋_GB2312" w:eastAsia="仿宋_GB2312"/>
              </w:rPr>
              <w:t>提供自2026年1月1日以来至少一个月已缴纳的社会保障资金的证明（社会保障资金缴存单据或社保机构开具的社会保险参保缴费情况证明等)；依法不需要缴纳社会保障资金的供应商应提供相关证明文件。</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负责人直接参加的，只须递交《法定代表人/负责人身份证明》；法定代表人/负责人授权代表参加的，须递交《法定代表人/负责人授权书》，并提供被授权人自2026年1月1日以来至少一个月在本公司的社会保障资金缴纳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参加本次政府采购活动前三年内，在经营活动中没有重大违法记录</w:t>
            </w:r>
          </w:p>
        </w:tc>
        <w:tc>
          <w:tcPr>
            <w:tcW w:type="dxa" w:w="3322"/>
          </w:tcPr>
          <w:p>
            <w:pPr>
              <w:pStyle w:val="null3"/>
            </w:pPr>
            <w:r>
              <w:rPr>
                <w:rFonts w:ascii="仿宋_GB2312" w:hAnsi="仿宋_GB2312" w:cs="仿宋_GB2312" w:eastAsia="仿宋_GB2312"/>
              </w:rPr>
              <w:t>供应商参加本次政府采购活动前三年内，在经营活动中没有重大违法记录，提供《无重大违法记录声明》。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供应商应具有履行合同所必需的设备和专业技术能力</w:t>
            </w:r>
          </w:p>
        </w:tc>
        <w:tc>
          <w:tcPr>
            <w:tcW w:type="dxa" w:w="3322"/>
          </w:tcPr>
          <w:p>
            <w:pPr>
              <w:pStyle w:val="null3"/>
            </w:pPr>
            <w:r>
              <w:rPr>
                <w:rFonts w:ascii="仿宋_GB2312" w:hAnsi="仿宋_GB2312" w:cs="仿宋_GB2312" w:eastAsia="仿宋_GB2312"/>
              </w:rPr>
              <w:t>供应商须提供《具有履行合同所必需的设备和专业技术能力的承诺书》。</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供应商具备施工总承包三级及以上或建筑装饰装修工程专业承包资质三级及以上(含三级)，具有安全生产许可证；并进行电子签章。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拟派项目经理资格</w:t>
            </w:r>
          </w:p>
        </w:tc>
        <w:tc>
          <w:tcPr>
            <w:tcW w:type="dxa" w:w="3322"/>
          </w:tcPr>
          <w:p>
            <w:pPr>
              <w:pStyle w:val="null3"/>
            </w:pPr>
            <w:r>
              <w:rPr>
                <w:rFonts w:ascii="仿宋_GB2312" w:hAnsi="仿宋_GB2312" w:cs="仿宋_GB2312" w:eastAsia="仿宋_GB2312"/>
              </w:rPr>
              <w:t>拟投入的项目经理须有建筑工程二级及以上（含二级）注册建造师证书及安全生产考核合格证（B证），须在本单位注册（提供近3个月内任一个月在本单位的社保缴费证明材料），无不良信用记录，且未担任其他在建工程项目的项目经理（提供承诺书）；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供应商与拟派项目经理登记备案情况</w:t>
            </w:r>
          </w:p>
        </w:tc>
        <w:tc>
          <w:tcPr>
            <w:tcW w:type="dxa" w:w="3322"/>
          </w:tcPr>
          <w:p>
            <w:pPr>
              <w:pStyle w:val="null3"/>
            </w:pPr>
            <w:r>
              <w:rPr>
                <w:rFonts w:ascii="仿宋_GB2312" w:hAnsi="仿宋_GB2312" w:cs="仿宋_GB2312" w:eastAsia="仿宋_GB2312"/>
              </w:rPr>
              <w:t>提供陕西省住房和城乡建设厅（https://js.shaanxi.gov.cn）《陕西省建筑市场监管与诚信信息发布平台》企业和拟派项目经理查询截图；外省进陕企业需提供陕西省住房和城乡建设厅官网企业库外省进陕企业信息首页截图。</w:t>
            </w:r>
          </w:p>
        </w:tc>
        <w:tc>
          <w:tcPr>
            <w:tcW w:type="dxa" w:w="1661"/>
          </w:tcPr>
          <w:p>
            <w:pPr>
              <w:pStyle w:val="null3"/>
            </w:pPr>
            <w:r>
              <w:rPr>
                <w:rFonts w:ascii="仿宋_GB2312" w:hAnsi="仿宋_GB2312" w:cs="仿宋_GB2312" w:eastAsia="仿宋_GB2312"/>
              </w:rPr>
              <w:t>供应商资格</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 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2. 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签章符合采购文件要求</w:t>
            </w:r>
          </w:p>
        </w:tc>
        <w:tc>
          <w:tcPr>
            <w:tcW w:type="dxa" w:w="3322"/>
          </w:tcPr>
          <w:p>
            <w:pPr>
              <w:pStyle w:val="null3"/>
            </w:pPr>
            <w:r>
              <w:rPr>
                <w:rFonts w:ascii="仿宋_GB2312" w:hAnsi="仿宋_GB2312" w:cs="仿宋_GB2312" w:eastAsia="仿宋_GB2312"/>
              </w:rPr>
              <w:t>供应商应当加盖供应商（法定名称）电子印章</w:t>
            </w:r>
          </w:p>
        </w:tc>
        <w:tc>
          <w:tcPr>
            <w:tcW w:type="dxa" w:w="1661"/>
          </w:tcPr>
          <w:p>
            <w:pPr>
              <w:pStyle w:val="null3"/>
            </w:pPr>
            <w:r>
              <w:rPr>
                <w:rFonts w:ascii="仿宋_GB2312" w:hAnsi="仿宋_GB2312" w:cs="仿宋_GB2312" w:eastAsia="仿宋_GB2312"/>
              </w:rPr>
              <w:t>响应文件封面 其他资料 供应商基本信息 供应商承诺书 技术偏离响应表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投标报价不得超过本项目最高限价</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供应商必须满足采购文件的第三章3.2商务要求和3.3其他要求</w:t>
            </w:r>
          </w:p>
        </w:tc>
        <w:tc>
          <w:tcPr>
            <w:tcW w:type="dxa" w:w="1661"/>
          </w:tcPr>
          <w:p>
            <w:pPr>
              <w:pStyle w:val="null3"/>
            </w:pPr>
            <w:r>
              <w:rPr>
                <w:rFonts w:ascii="仿宋_GB2312" w:hAnsi="仿宋_GB2312" w:cs="仿宋_GB2312" w:eastAsia="仿宋_GB2312"/>
              </w:rPr>
              <w:t>商务偏离响应表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磋商保证金符合第二章供应商须知要求</w:t>
            </w:r>
          </w:p>
        </w:tc>
        <w:tc>
          <w:tcPr>
            <w:tcW w:type="dxa" w:w="1661"/>
          </w:tcPr>
          <w:p>
            <w:pPr>
              <w:pStyle w:val="null3"/>
            </w:pPr>
            <w:r>
              <w:rPr>
                <w:rFonts w:ascii="仿宋_GB2312" w:hAnsi="仿宋_GB2312" w:cs="仿宋_GB2312" w:eastAsia="仿宋_GB2312"/>
              </w:rPr>
              <w:t>磋商保证金缴纳凭证</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 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2. 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签章符合采购文件要求</w:t>
            </w:r>
          </w:p>
        </w:tc>
        <w:tc>
          <w:tcPr>
            <w:tcW w:type="dxa" w:w="3322"/>
          </w:tcPr>
          <w:p>
            <w:pPr>
              <w:pStyle w:val="null3"/>
            </w:pPr>
            <w:r>
              <w:rPr>
                <w:rFonts w:ascii="仿宋_GB2312" w:hAnsi="仿宋_GB2312" w:cs="仿宋_GB2312" w:eastAsia="仿宋_GB2312"/>
              </w:rPr>
              <w:t>供应商应当加盖供应商（法定名称）电子印章</w:t>
            </w:r>
          </w:p>
        </w:tc>
        <w:tc>
          <w:tcPr>
            <w:tcW w:type="dxa" w:w="1661"/>
          </w:tcPr>
          <w:p>
            <w:pPr>
              <w:pStyle w:val="null3"/>
            </w:pPr>
            <w:r>
              <w:rPr>
                <w:rFonts w:ascii="仿宋_GB2312" w:hAnsi="仿宋_GB2312" w:cs="仿宋_GB2312" w:eastAsia="仿宋_GB2312"/>
              </w:rPr>
              <w:t>响应文件封面 其他资料 供应商基本信息 供应商承诺书 技术偏离响应表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投标报价不得超过本项目最高限价</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供应商必须满足采购文件的第三章3.2商务要求和3.3其他要求</w:t>
            </w:r>
          </w:p>
        </w:tc>
        <w:tc>
          <w:tcPr>
            <w:tcW w:type="dxa" w:w="1661"/>
          </w:tcPr>
          <w:p>
            <w:pPr>
              <w:pStyle w:val="null3"/>
            </w:pPr>
            <w:r>
              <w:rPr>
                <w:rFonts w:ascii="仿宋_GB2312" w:hAnsi="仿宋_GB2312" w:cs="仿宋_GB2312" w:eastAsia="仿宋_GB2312"/>
              </w:rPr>
              <w:t>商务偏离响应表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磋商保证金符合第二章供应商须知要求</w:t>
            </w:r>
          </w:p>
        </w:tc>
        <w:tc>
          <w:tcPr>
            <w:tcW w:type="dxa" w:w="1661"/>
          </w:tcPr>
          <w:p>
            <w:pPr>
              <w:pStyle w:val="null3"/>
            </w:pPr>
            <w:r>
              <w:rPr>
                <w:rFonts w:ascii="仿宋_GB2312" w:hAnsi="仿宋_GB2312" w:cs="仿宋_GB2312" w:eastAsia="仿宋_GB2312"/>
              </w:rPr>
              <w:t>磋商保证金缴纳凭证</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1.评审内容： 根据供应商提供的①施工部署；②进度计划；③技术难点、应对措施；④施工流程图或工艺流程。 2.评审标准： ①完整性：内容详细全面，对本项目了解透彻； ②可实施性：切合本项目实际情况，方案全面、施工步骤清晰、合理； ③针对性：方案能够紧扣项目实际情况，内容科学合理。 3.赋分标准： ①施工部署：每完全满足一项评审标准得1分，内容有缺陷扣0.5分，缺项或未提供得0分，满分3分； ②进度计划：每完全满足一项评审标准得1分，内容有缺陷扣0.5分，缺项或未提供得0分，满分3分； ③技术难点、应对措施：每完全满足一项评审标准得1分，内容有缺陷扣0.5分，缺项或未提供得0分，满分3分； ④施工流程图或工艺流程：每完全满足一项评审标准得1分，内容有缺陷扣0.5分，缺项或未提供得0分，满分3分。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1.评审内容： 供应商提供针对本项目实际需求提供确保工程质量的技术组织措施含①质量目标；②质量管理体系（体系需包含质量责任、人员培训、资源配置、质量检查、应急处理等环节）；③质量管理措施（需提供过往项目质量验收报告或第三方检测证明）。 2.评审标准： ①完整性：内容详细全面，对本项目了解透彻； ②可实施性：切合本项目实际情况，措施全面、清晰、合理； ③针对性：方案能够紧扣项目实际情况，内容科学合理。 3.赋分标准： ①质量目标：每完全满足一项评审标准得1分，内容有缺陷扣0.5分，缺项或未提供得0分，满分3分； ②质量管理体系：每完全满足一项评审标准得2分，内容有缺陷扣1分，缺项或未提供得0分，满分6分； ③质量管理措施：每完全满足一项评审标准得1分，内容有缺陷扣0.5分，缺项或未提供得0分，满分3分。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确保安全文明施工的技术组织措施</w:t>
            </w:r>
          </w:p>
        </w:tc>
        <w:tc>
          <w:tcPr>
            <w:tcW w:type="dxa" w:w="2492"/>
          </w:tcPr>
          <w:p>
            <w:pPr>
              <w:pStyle w:val="null3"/>
            </w:pPr>
            <w:r>
              <w:rPr>
                <w:rFonts w:ascii="仿宋_GB2312" w:hAnsi="仿宋_GB2312" w:cs="仿宋_GB2312" w:eastAsia="仿宋_GB2312"/>
              </w:rPr>
              <w:t>1.评审内容： 供应商提供针对本项目实际需求提供确保安全文明施工的技术组织措施含①安全目标及文明施工措施（措施包含场地整洁、噪音控制、扬尘治理（需附扬尘监测设备布置图））；②安全体系健全度（体系包含安全管理制度、人员培训、应急演练、特种作业人员持证上岗管理）；③应急预案可行性（涵盖常见安全事故场景）。 2.评审标准： ①完整性：内容详细全面，对本项目了解透彻； ②可实施性：切合本项目实际情况，措施全面、清晰、合理； ③针对性：方案能够紧扣项目实际情况，内容科学合理。 3.赋分标准： ①安全目标及文明施工措施：每完全满足一项评审标准得1分，内容有缺陷扣0.5分，缺项或未提供得0分，满分3分； ②安全体系健全度：每完全满足一项评审标准得1分，内容有缺陷扣0.5分，缺项或未提供得0分，满分3分； ③应急预案可行性：每完全满足一项评审标准得1分，内容有缺陷扣0.5分，缺项或未提供得0分，满分3分。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1.评审内容 供应商提供针对本项目实际需求编制的工期的技术组织措施含①工期计划；②关键节点工期分析；③延误工期补救措施。 2.评审标准： ①完整性：内容详细全面，对本项目了解透彻； ②可实施性：切合本项目实际情况，措施全面、清晰、合理； ③针对性：方案能够紧扣项目实际情况，内容科学合理。 3.赋分标准： ①工期计划：每完全满足一项评审标准得1分，内容有缺陷扣0.5分，缺项或未提供得0分，满分3分； ②关键节点工期分析：每完全满足一项评审标准得1分，内容有缺陷扣0.5分，缺项或未提供得0分，满分3分； ③延误工期补救措施：每完全满足一项评审标准得1分，内容有缺陷扣0.5分，缺项或未提供得0分，满分3分。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1.评审内容： 根据供应商投入的施工机械配备和材料投入计划：①施工机械配备；②材料投入计划（主要材料信息（名称、规格、数量等）与工程进度匹配）； 2.评审标准： ①齐全程度：齐全详细，能完全满足招标文件要求； ②实用性：质量有保障、使用率高、安全性能强； ③针对性：能紧扣项目实际情况，配置合理科学； 3.赋分标准： ①施工机械配备：每完全满足一项评审标准得1分，内容有缺陷扣0.5分，缺项或未提供得0分，满分3分； ②材料投入计划：供应商针对本项目的主材清单（清单内容包括但不限于材料名称、品牌、规格、材质等），根据拟投入的主要材料响应性进行评审： 主要材料为主流产品，品牌市场占有率高、质量好、工艺优良、安全环保性高得5分； 主要材料品牌市场占有率一般、质量、工艺、安全环保性一般得3分； 主要材料品牌市场占有率低、质量、工艺、安全环保性较差得1分； 未提供得0分，满分5分。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主材清单表</w:t>
            </w:r>
          </w:p>
        </w:tc>
      </w:tr>
      <w:tr>
        <w:tc>
          <w:tcPr>
            <w:tcW w:type="dxa" w:w="831"/>
            <w:vMerge/>
          </w:tcPr>
          <w:p/>
        </w:tc>
        <w:tc>
          <w:tcPr>
            <w:tcW w:type="dxa" w:w="1661"/>
          </w:tcPr>
          <w:p>
            <w:pPr>
              <w:pStyle w:val="null3"/>
            </w:pPr>
            <w:r>
              <w:rPr>
                <w:rFonts w:ascii="仿宋_GB2312" w:hAnsi="仿宋_GB2312" w:cs="仿宋_GB2312" w:eastAsia="仿宋_GB2312"/>
              </w:rPr>
              <w:t>项目组织管理机构及人员配备情况</w:t>
            </w:r>
          </w:p>
        </w:tc>
        <w:tc>
          <w:tcPr>
            <w:tcW w:type="dxa" w:w="2492"/>
          </w:tcPr>
          <w:p>
            <w:pPr>
              <w:pStyle w:val="null3"/>
            </w:pPr>
            <w:r>
              <w:rPr>
                <w:rFonts w:ascii="仿宋_GB2312" w:hAnsi="仿宋_GB2312" w:cs="仿宋_GB2312" w:eastAsia="仿宋_GB2312"/>
              </w:rPr>
              <w:t>1.项目组织管理机构（1分）：提供项目组织管理机构表得1分；未提供得0分。 2.项目经理职称（2分）：中级及以上职称2分，初级1分，无职称0分（须提供职称证书复印件并加盖公章） 3.项目经理业绩（2分） 提供拟配备的项目经理2023年6月1日至今类似项目业绩，每提供⼀项有效业绩得2分，满分2分。 注:业绩需提供中标通知书或官网中标公示截图或竣⼯验收证明或⼯程款发票中⾄少⼀项及合同（合同需含项目金额、工期、质量标准、签署时间等关键页）的复印件或扫描件加盖供应商公章，时间以合同签订时间为准。项⽬经理业绩与企业业绩不可重复。 4.项目人员配备（5分）：需配备技术负责人、专职安全员（需C证）、质检员（需质量员证书）等岗位，需提供岗位证书、劳动合同。每配备一人得1分，最高得5分。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保修期内服务措施及保修承诺</w:t>
            </w:r>
          </w:p>
        </w:tc>
        <w:tc>
          <w:tcPr>
            <w:tcW w:type="dxa" w:w="2492"/>
          </w:tcPr>
          <w:p>
            <w:pPr>
              <w:pStyle w:val="null3"/>
            </w:pPr>
            <w:r>
              <w:rPr>
                <w:rFonts w:ascii="仿宋_GB2312" w:hAnsi="仿宋_GB2312" w:cs="仿宋_GB2312" w:eastAsia="仿宋_GB2312"/>
              </w:rPr>
              <w:t>1. 保修期内服务措施（1分）：提供保修服务工作方案、回访计划及质量保修措施、保修团队人员名单、联系方式得1分，未提供得0分。 2. 保修承诺（1分）：质保期每延长半年得0.5分，最高1分；未延长此项不得分。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提供2023年6月1日至今类似项目业绩，每提供⼀项有效业绩得2分，满分8分。 注:业绩需提供中标通知书或官网中标公示截图或竣⼯验收证明或⼯程款发票中⾄少⼀项及合同（合同需含项目金额、工期、质量标准、签署时间等关键页）的复印件或扫描件加盖供应商公章，时间以合同签订时间为准。企业业绩与项⽬经理业绩不可重复。</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最低价优先法，即实质性满足磋商文件要求且最终磋商报价最低的为磋商基准价，其价格分为满分30分。其他供应商的价格分按照下列公式计算：磋商报价得分=(磋商基准价/磋商报价)×30。计算结果最多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1.评审内容： 根据供应商提供的①施工部署；②进度计划；③技术难点、应对措施；④施工流程图或工艺流程。 2.评审标准： ①完整性：内容详细全面，对本项目了解透彻； ②可实施性：切合本项目实际情况，方案全面、施工步骤清晰、合理； ③针对性：方案能够紧扣项目实际情况，内容科学合理。 3.赋分标准： ①施工部署：每完全满足一项评审标准得1分，内容有缺陷扣0.5分，缺项或未提供得0分，满分3分； ②进度计划：每完全满足一项评审标准得1分，内容有缺陷扣0.5分，缺项或未提供得0分，满分3分； ③技术难点、应对措施：每完全满足一项评审标准得1分，内容有缺陷扣0.5分，缺项或未提供得0分，满分3分； ④施工流程图或工艺流程：每完全满足一项评审标准得1分，内容有缺陷扣0.5分，缺项或未提供得0分，满分3分。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1.评审内容： 供应商提供针对本项目实际需求提供确保工程质量的技术组织措施含①质量目标；②质量管理体系（体系需包含质量责任、人员培训、资源配置、质量检查、应急处理等环节）；③质量管理措施（需提供过往项目质量验收报告或第三方检测证明）。 2.评审标准： ①完整性：内容详细全面，对本项目了解透彻； ②可实施性：切合本项目实际情况，措施全面、清晰、合理； ③针对性：方案能够紧扣项目实际情况，内容科学合理。 3.赋分标准： ①质量目标：每完全满足一项评审标准得1分，内容有缺陷扣0.5分，缺项或未提供得0分，满分3分； ②质量管理体系：每完全满足一项评审标准得2分，内容有缺陷扣1分，缺项或未提供得0分，满分6分； ③质量管理措施：每完全满足一项评审标准得1分，内容有缺陷扣0.5分，缺项或未提供得0分，满分3分。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确保安全文明施工的技术组织措施</w:t>
            </w:r>
          </w:p>
        </w:tc>
        <w:tc>
          <w:tcPr>
            <w:tcW w:type="dxa" w:w="2492"/>
          </w:tcPr>
          <w:p>
            <w:pPr>
              <w:pStyle w:val="null3"/>
            </w:pPr>
            <w:r>
              <w:rPr>
                <w:rFonts w:ascii="仿宋_GB2312" w:hAnsi="仿宋_GB2312" w:cs="仿宋_GB2312" w:eastAsia="仿宋_GB2312"/>
              </w:rPr>
              <w:t>1.评审内容： 供应商提供针对本项目实际需求提供确保安全文明施工的技术组织措施含①安全目标及文明施工措施（措施包含场地整洁、噪音控制、扬尘治理（需附扬尘监测设备布置图））；②安全体系健全度（体系包含安全管理制度、人员培训、应急演练、特种作业人员持证上岗管理）；③应急预案可行性（涵盖常见安全事故场景）。 2.评审标准： ①完整性：内容详细全面，对本项目了解透彻； ②可实施性：切合本项目实际情况，措施全面、清晰、合理； ③针对性：方案能够紧扣项目实际情况，内容科学合理。 3.赋分标准： ①安全目标及文明施工措施：每完全满足一项评审标准得1分，内容有缺陷扣0.5分，缺项或未提供得0分，满分3分； ②安全体系健全度：每完全满足一项评审标准得1分，内容有缺陷扣0.5分，缺项或未提供得0分，满分3分； ③应急预案可行性：每完全满足一项评审标准得1分，内容有缺陷扣0.5分，缺项或未提供得0分，满分3分。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1.评审内容 供应商提供针对本项目实际需求编制的工期的技术组织措施含①工期计划；②关键节点工期分析；③延误工期补救措施。 2.评审标准： ①完整性：内容详细全面，对本项目了解透彻； ②可实施性：切合本项目实际情况，措施全面、清晰、合理； ③针对性：方案能够紧扣项目实际情况，内容科学合理。 3.赋分标准： ①工期计划：每完全满足一项评审标准得1分，内容有缺陷扣0.5分，缺项或未提供得0分，满分3分； ②关键节点工期分析：每完全满足一项评审标准得1分，内容有缺陷扣0.5分，缺项或未提供得0分，满分3分； ③延误工期补救措施：每完全满足一项评审标准得1分，内容有缺陷扣0.5分，缺项或未提供得0分，满分3分。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1.评审内容： 根据供应商投入的施工机械配备和材料投入计划：①施工机械配备；②材料投入计划（主要材料信息（名称、规格、数量等）与工程进度匹配）； 2.评审标准： ①齐全程度：齐全详细，能完全满足招标文件要求； ②实用性：质量有保障、使用率高、安全性能强； ③针对性：能紧扣项目实际情况，配置合理科学； 3.赋分标准： ①施工机械配备：每完全满足一项评审标准得1分，内容有缺陷扣0.5分，缺项或未提供得0分，满分3分； ②材料投入计划：供应商针对本项目的主材清单（清单内容包括但不限于材料名称、品牌、规格、材质等），根据拟投入的主要材料响应性进行评审： 主要材料为主流产品，品牌市场占有率高、质量好、工艺优良、安全环保性高得5分； 主要材料品牌市场占有率一般、质量、工艺、安全环保性一般得3分； 主要材料品牌市场占有率低、质量、工艺、安全环保性较差得1分； 未提供得0分，满分5分。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主材清单表</w:t>
            </w:r>
          </w:p>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项目组织管理机构及人员配备情况</w:t>
            </w:r>
          </w:p>
        </w:tc>
        <w:tc>
          <w:tcPr>
            <w:tcW w:type="dxa" w:w="2492"/>
          </w:tcPr>
          <w:p>
            <w:pPr>
              <w:pStyle w:val="null3"/>
            </w:pPr>
            <w:r>
              <w:rPr>
                <w:rFonts w:ascii="仿宋_GB2312" w:hAnsi="仿宋_GB2312" w:cs="仿宋_GB2312" w:eastAsia="仿宋_GB2312"/>
              </w:rPr>
              <w:t>1.项目组织管理机构（1分）：提供项目组织管理机构表得1分；未提供得0分。 2.项目经理职称（2分）：中级及以上职称2分，初级1分，无职称0分（须提供职称证书复印件并加盖公章） 3.项目经理业绩（2分） 提供拟配备的项目经理2023年6月1日至今类似项目业绩，每提供⼀项有效业绩得2分，满分2分。 注:业绩需提供中标通知书或官网中标公示截图或竣⼯验收证明或⼯程款发票中⾄少⼀项及合同（合同需含项目金额、工期、质量标准、签署时间等关键页）的复印件或扫描件加盖供应商公章，时间以合同签订时间为准。项⽬经理业绩与企业业绩不可重复。 4.项目人员配备（5分）：需配备技术负责人、专职安全员（需C证）、质检员（需质量员证书）等岗位，需提供岗位证书、劳动合同。每配备一人得1分，最高得5分。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保修期内服务措施及保修承诺</w:t>
            </w:r>
          </w:p>
        </w:tc>
        <w:tc>
          <w:tcPr>
            <w:tcW w:type="dxa" w:w="2492"/>
          </w:tcPr>
          <w:p>
            <w:pPr>
              <w:pStyle w:val="null3"/>
            </w:pPr>
            <w:r>
              <w:rPr>
                <w:rFonts w:ascii="仿宋_GB2312" w:hAnsi="仿宋_GB2312" w:cs="仿宋_GB2312" w:eastAsia="仿宋_GB2312"/>
              </w:rPr>
              <w:t>1. 保修期内服务措施（1分）：提供保修服务工作方案、回访计划及质量保修措施、保修团队人员名单、联系方式得1分，未提供得0分。 2. 保修承诺（1分）：质保期每延长半年得0.5分，最高1分；未延长此项不得分。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提供2023年6月1日至今类似项目业绩，每提供⼀项有效业绩得2分，满分8分。 注:业绩需提供中标通知书或官网中标公示截图或竣⼯验收证明或⼯程款发票中⾄少⼀项及合同（合同需含项目金额、工期、质量标准、签署时间等关键页）的复印件或扫描件加盖供应商公章，时间以合同签订时间为准。企业业绩与项⽬经理业绩不可重复。</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最低价优先法，即实质性满足磋商文件要求且最终磋商报价最低的为磋商基准价，其价格分为满分30分。其他供应商的价格分按照下列公式计算：磋商报价得分=(磋商基准价/磋商报价)×30。计算结果最多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详见附件：商务偏离响应表</w:t>
      </w:r>
    </w:p>
    <w:p>
      <w:pPr>
        <w:pStyle w:val="null3"/>
        <w:ind w:firstLine="960"/>
      </w:pPr>
      <w:r>
        <w:rPr>
          <w:rFonts w:ascii="仿宋_GB2312" w:hAnsi="仿宋_GB2312" w:cs="仿宋_GB2312" w:eastAsia="仿宋_GB2312"/>
        </w:rPr>
        <w:t>详见附件：技术偏离响应表</w:t>
      </w:r>
    </w:p>
    <w:p>
      <w:pPr>
        <w:pStyle w:val="null3"/>
        <w:ind w:firstLine="960"/>
      </w:pPr>
      <w:r>
        <w:rPr>
          <w:rFonts w:ascii="仿宋_GB2312" w:hAnsi="仿宋_GB2312" w:cs="仿宋_GB2312" w:eastAsia="仿宋_GB2312"/>
        </w:rPr>
        <w:t>详见附件：供应商资格</w:t>
      </w:r>
    </w:p>
    <w:p>
      <w:pPr>
        <w:pStyle w:val="null3"/>
        <w:ind w:firstLine="960"/>
      </w:pPr>
      <w:r>
        <w:rPr>
          <w:rFonts w:ascii="仿宋_GB2312" w:hAnsi="仿宋_GB2312" w:cs="仿宋_GB2312" w:eastAsia="仿宋_GB2312"/>
        </w:rPr>
        <w:t>详见附件：供应商基本信息</w:t>
      </w:r>
    </w:p>
    <w:p>
      <w:pPr>
        <w:pStyle w:val="null3"/>
        <w:ind w:firstLine="960"/>
      </w:pPr>
      <w:r>
        <w:rPr>
          <w:rFonts w:ascii="仿宋_GB2312" w:hAnsi="仿宋_GB2312" w:cs="仿宋_GB2312" w:eastAsia="仿宋_GB2312"/>
        </w:rPr>
        <w:t>详见附件：企业关联关系声明函</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详见附件：磋商方案</w:t>
      </w:r>
    </w:p>
    <w:p>
      <w:pPr>
        <w:pStyle w:val="null3"/>
        <w:ind w:firstLine="960"/>
      </w:pPr>
      <w:r>
        <w:rPr>
          <w:rFonts w:ascii="仿宋_GB2312" w:hAnsi="仿宋_GB2312" w:cs="仿宋_GB2312" w:eastAsia="仿宋_GB2312"/>
        </w:rPr>
        <w:t>详见附件：供应商业绩</w:t>
      </w:r>
    </w:p>
    <w:p>
      <w:pPr>
        <w:pStyle w:val="null3"/>
        <w:ind w:firstLine="960"/>
      </w:pPr>
      <w:r>
        <w:rPr>
          <w:rFonts w:ascii="仿宋_GB2312" w:hAnsi="仿宋_GB2312" w:cs="仿宋_GB2312" w:eastAsia="仿宋_GB2312"/>
        </w:rPr>
        <w:t>详见附件：磋商保证金缴纳凭证</w:t>
      </w:r>
    </w:p>
    <w:p>
      <w:pPr>
        <w:pStyle w:val="null3"/>
        <w:ind w:firstLine="960"/>
      </w:pPr>
      <w:r>
        <w:rPr>
          <w:rFonts w:ascii="仿宋_GB2312" w:hAnsi="仿宋_GB2312" w:cs="仿宋_GB2312" w:eastAsia="仿宋_GB2312"/>
        </w:rPr>
        <w:t>详见附件：其他资料</w:t>
      </w:r>
    </w:p>
    <w:p>
      <w:pPr>
        <w:pStyle w:val="null3"/>
        <w:ind w:firstLine="960"/>
      </w:pPr>
      <w:r>
        <w:rPr>
          <w:rFonts w:ascii="仿宋_GB2312" w:hAnsi="仿宋_GB2312" w:cs="仿宋_GB2312" w:eastAsia="仿宋_GB2312"/>
        </w:rPr>
        <w:t>详见附件：主材清单表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详见附件：商务偏离响应表</w:t>
      </w:r>
    </w:p>
    <w:p>
      <w:pPr>
        <w:pStyle w:val="null3"/>
        <w:ind w:firstLine="960"/>
      </w:pPr>
      <w:r>
        <w:rPr>
          <w:rFonts w:ascii="仿宋_GB2312" w:hAnsi="仿宋_GB2312" w:cs="仿宋_GB2312" w:eastAsia="仿宋_GB2312"/>
        </w:rPr>
        <w:t>详见附件：技术偏离响应表</w:t>
      </w:r>
    </w:p>
    <w:p>
      <w:pPr>
        <w:pStyle w:val="null3"/>
        <w:ind w:firstLine="960"/>
      </w:pPr>
      <w:r>
        <w:rPr>
          <w:rFonts w:ascii="仿宋_GB2312" w:hAnsi="仿宋_GB2312" w:cs="仿宋_GB2312" w:eastAsia="仿宋_GB2312"/>
        </w:rPr>
        <w:t>详见附件：供应商资格</w:t>
      </w:r>
    </w:p>
    <w:p>
      <w:pPr>
        <w:pStyle w:val="null3"/>
        <w:ind w:firstLine="960"/>
      </w:pPr>
      <w:r>
        <w:rPr>
          <w:rFonts w:ascii="仿宋_GB2312" w:hAnsi="仿宋_GB2312" w:cs="仿宋_GB2312" w:eastAsia="仿宋_GB2312"/>
        </w:rPr>
        <w:t>详见附件：供应商基本信息</w:t>
      </w:r>
    </w:p>
    <w:p>
      <w:pPr>
        <w:pStyle w:val="null3"/>
        <w:ind w:firstLine="960"/>
      </w:pPr>
      <w:r>
        <w:rPr>
          <w:rFonts w:ascii="仿宋_GB2312" w:hAnsi="仿宋_GB2312" w:cs="仿宋_GB2312" w:eastAsia="仿宋_GB2312"/>
        </w:rPr>
        <w:t>详见附件：企业关联关系声明函</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详见附件：磋商方案</w:t>
      </w:r>
    </w:p>
    <w:p>
      <w:pPr>
        <w:pStyle w:val="null3"/>
        <w:ind w:firstLine="960"/>
      </w:pPr>
      <w:r>
        <w:rPr>
          <w:rFonts w:ascii="仿宋_GB2312" w:hAnsi="仿宋_GB2312" w:cs="仿宋_GB2312" w:eastAsia="仿宋_GB2312"/>
        </w:rPr>
        <w:t>详见附件：供应商业绩</w:t>
      </w:r>
    </w:p>
    <w:p>
      <w:pPr>
        <w:pStyle w:val="null3"/>
        <w:ind w:firstLine="960"/>
      </w:pPr>
      <w:r>
        <w:rPr>
          <w:rFonts w:ascii="仿宋_GB2312" w:hAnsi="仿宋_GB2312" w:cs="仿宋_GB2312" w:eastAsia="仿宋_GB2312"/>
        </w:rPr>
        <w:t>详见附件：磋商保证金缴纳凭证</w:t>
      </w:r>
    </w:p>
    <w:p>
      <w:pPr>
        <w:pStyle w:val="null3"/>
        <w:ind w:firstLine="960"/>
      </w:pPr>
      <w:r>
        <w:rPr>
          <w:rFonts w:ascii="仿宋_GB2312" w:hAnsi="仿宋_GB2312" w:cs="仿宋_GB2312" w:eastAsia="仿宋_GB2312"/>
        </w:rPr>
        <w:t>详见附件：其他资料</w:t>
      </w:r>
    </w:p>
    <w:p>
      <w:pPr>
        <w:pStyle w:val="null3"/>
        <w:ind w:firstLine="960"/>
      </w:pPr>
      <w:r>
        <w:rPr>
          <w:rFonts w:ascii="仿宋_GB2312" w:hAnsi="仿宋_GB2312" w:cs="仿宋_GB2312" w:eastAsia="仿宋_GB2312"/>
        </w:rPr>
        <w:t>详见附件：主材清单表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