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版本号：SCIT-ZC-SX202607000320260811001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办公楼老旧管网及设施综合维修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SCIT-ZC-SX2026070003</w:t>
      </w:r>
      <w:r>
        <w:br/>
      </w:r>
      <w:r>
        <w:br/>
      </w:r>
      <w:r>
        <w:br/>
      </w:r>
    </w:p>
    <w:p>
      <w:pPr>
        <w:pStyle w:val="null3"/>
        <w:jc w:val="center"/>
        <w:outlineLvl w:val="2"/>
      </w:pPr>
      <w:r>
        <w:rPr>
          <w:rFonts w:ascii="仿宋_GB2312" w:hAnsi="仿宋_GB2312" w:cs="仿宋_GB2312" w:eastAsia="仿宋_GB2312"/>
          <w:sz w:val="28"/>
          <w:b/>
        </w:rPr>
        <w:t>西安市教育考试中心</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西安市教育考试中心</w:t>
      </w:r>
      <w:r>
        <w:rPr>
          <w:rFonts w:ascii="仿宋_GB2312" w:hAnsi="仿宋_GB2312" w:cs="仿宋_GB2312" w:eastAsia="仿宋_GB2312"/>
        </w:rPr>
        <w:t>委托，拟对</w:t>
      </w:r>
      <w:r>
        <w:rPr>
          <w:rFonts w:ascii="仿宋_GB2312" w:hAnsi="仿宋_GB2312" w:cs="仿宋_GB2312" w:eastAsia="仿宋_GB2312"/>
        </w:rPr>
        <w:t>办公楼老旧管网及设施综合维修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SCIT-ZC-SX2026070003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办公楼老旧管网及设施综合维修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项目共1个包 ，用于办公楼老旧管网及设施综合维修（具体详见磋商文件）。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采购包1（老旧管网及设施综合维修）：属于专门面向中小企业采购。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1、法定代表人授权书及被授权人身份证明：法定代表人授权书及被授权人身份证明，（法定代表人直接参与磋商只须提交其身份证明）：按采购文件规定格式提供授权书及法定代表人、被授权人身份证明； 供应商需在项目电子化交易系统中按要求进行电子签章。</w:t>
      </w:r>
    </w:p>
    <w:p>
      <w:pPr>
        <w:pStyle w:val="null3"/>
      </w:pPr>
      <w:r>
        <w:rPr>
          <w:rFonts w:ascii="仿宋_GB2312" w:hAnsi="仿宋_GB2312" w:cs="仿宋_GB2312" w:eastAsia="仿宋_GB2312"/>
        </w:rPr>
        <w:t>2、信用记录查询：供应商未被列入失信被执行人、重大税收违法案件当事人名单、政府采购严重违法失信行为记录；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3、供应商应具备资质：供应商应具备建筑工程施工总承包三级以上（含三级）资质，具有有效的安全生产许可证；供应商需在项目电子化交易系统中按要求上传相应证明文件并进行电子签章。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供应商拟派项目负责人须具备资质：供应商拟派项目负责人须具备建筑工程专业贰级及以上注册建造师资质、具有安全生产考核合格证（B证）且无在建工程（提供无在建工程承诺函）；供应商需在项目电子化交易系统中按要求上传相应证明文件并进行电子签章。</w:t>
      </w:r>
    </w:p>
    <w:p>
      <w:pPr>
        <w:pStyle w:val="null3"/>
      </w:pPr>
      <w:r>
        <w:rPr>
          <w:rFonts w:ascii="仿宋_GB2312" w:hAnsi="仿宋_GB2312" w:cs="仿宋_GB2312" w:eastAsia="仿宋_GB2312"/>
        </w:rPr>
        <w:t>5、省外企业备案：省外企业须为“陕西省住房和城乡建设厅”官网企业库外省进陕施工企业；采购人或采购代理机构将于本项目磋商截止日在“陕西省住房和城乡建设厅”对供应商进行备案记录查询，未在“陕西省住房和城乡建设厅”备案的将被拒绝。</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西安市教育考试中心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文艺南路194号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连娟、张祎多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代理服务费收费标准：以成交金额为基数，参考国家计委计价格［2002］1980号文规定之收费标准收取。 由成交人在领取成交通知书前向招标代理机构交纳招标服务费。 收款单位：四川国际招标有限责任公司陕西分公司 开户行：中国民生银行股份有限公司西安高新开发区支行 银行账号：600582071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踏勘时间：2026-08-19 10:00:00</w:t>
            </w:r>
          </w:p>
          <w:p>
            <w:pPr>
              <w:pStyle w:val="null3"/>
              <w:ind w:firstLine="975"/>
            </w:pPr>
            <w:r>
              <w:rPr>
                <w:rFonts w:ascii="仿宋_GB2312" w:hAnsi="仿宋_GB2312" w:cs="仿宋_GB2312" w:eastAsia="仿宋_GB2312"/>
              </w:rPr>
              <w:t>踏勘地点：西安市教育考试中心大门口集合</w:t>
            </w:r>
          </w:p>
          <w:p>
            <w:pPr>
              <w:pStyle w:val="null3"/>
              <w:ind w:firstLine="975"/>
            </w:pPr>
            <w:r>
              <w:rPr>
                <w:rFonts w:ascii="仿宋_GB2312" w:hAnsi="仿宋_GB2312" w:cs="仿宋_GB2312" w:eastAsia="仿宋_GB2312"/>
              </w:rPr>
              <w:t>联系人：李老师</w:t>
            </w:r>
          </w:p>
          <w:p>
            <w:pPr>
              <w:pStyle w:val="null3"/>
              <w:ind w:firstLine="975"/>
            </w:pPr>
            <w:r>
              <w:rPr>
                <w:rFonts w:ascii="仿宋_GB2312" w:hAnsi="仿宋_GB2312" w:cs="仿宋_GB2312" w:eastAsia="仿宋_GB2312"/>
              </w:rPr>
              <w:t>联系电话号码：13992838968</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西安市教育考试中心</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西安市教育考试中心</w:t>
      </w:r>
      <w:r>
        <w:rPr>
          <w:rFonts w:ascii="仿宋_GB2312" w:hAnsi="仿宋_GB2312" w:cs="仿宋_GB2312" w:eastAsia="仿宋_GB2312"/>
        </w:rPr>
        <w:t>负责解释。除上述磋商文件内容，其他内容由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西安市教育考试中心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符合国家现行《建筑工程施工质量验收统一标准》及相关专业验收规范，达到合格标准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联系人：连娟</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办公楼老旧管网及设施综合维修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标的名称：办公楼老旧管网及设施综合维修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1.项目概况：西安市教育考试中心办公楼老旧管网及设施综合维修项目</w:t>
            </w:r>
          </w:p>
          <w:p>
            <w:pPr>
              <w:pStyle w:val="null3"/>
            </w:pPr>
            <w:r>
              <w:rPr>
                <w:rFonts w:ascii="仿宋_GB2312" w:hAnsi="仿宋_GB2312" w:cs="仿宋_GB2312" w:eastAsia="仿宋_GB2312"/>
              </w:rPr>
              <w:t>2.</w:t>
            </w:r>
            <w:r>
              <w:rPr>
                <w:rFonts w:ascii="仿宋_GB2312" w:hAnsi="仿宋_GB2312" w:cs="仿宋_GB2312" w:eastAsia="仿宋_GB2312"/>
              </w:rPr>
              <w:t>主要施工内容：</w:t>
            </w:r>
          </w:p>
          <w:p>
            <w:pPr>
              <w:pStyle w:val="null3"/>
            </w:pPr>
            <w:r>
              <w:rPr>
                <w:rFonts w:ascii="仿宋_GB2312" w:hAnsi="仿宋_GB2312" w:cs="仿宋_GB2312" w:eastAsia="仿宋_GB2312"/>
              </w:rPr>
              <w:t>（一）中心办公楼下水管道维修（</w:t>
            </w:r>
            <w:r>
              <w:rPr>
                <w:rFonts w:ascii="仿宋_GB2312" w:hAnsi="仿宋_GB2312" w:cs="仿宋_GB2312" w:eastAsia="仿宋_GB2312"/>
              </w:rPr>
              <w:t>25万元）</w:t>
            </w:r>
          </w:p>
          <w:p>
            <w:pPr>
              <w:pStyle w:val="null3"/>
            </w:pPr>
            <w:r>
              <w:rPr>
                <w:rFonts w:ascii="仿宋_GB2312" w:hAnsi="仿宋_GB2312" w:cs="仿宋_GB2312" w:eastAsia="仿宋_GB2312"/>
              </w:rPr>
              <w:t>拆除老旧排水管道及附件，更换为符合国家现行标准的耐腐蚀排水管材，合理优化管道走向，确保排水通畅；对因渗水受损的墙体进行处理，铲除起皮、发霉墙面，重新粉刷环保型白色乳胶漆；检查并维修受潮线路，更换受损插座，消除电路安全隐患。</w:t>
            </w:r>
          </w:p>
          <w:p>
            <w:pPr>
              <w:pStyle w:val="null3"/>
            </w:pPr>
            <w:r>
              <w:rPr>
                <w:rFonts w:ascii="仿宋_GB2312" w:hAnsi="仿宋_GB2312" w:cs="仿宋_GB2312" w:eastAsia="仿宋_GB2312"/>
              </w:rPr>
              <w:t>（二）中心办公楼顶防水维修（</w:t>
            </w:r>
            <w:r>
              <w:rPr>
                <w:rFonts w:ascii="仿宋_GB2312" w:hAnsi="仿宋_GB2312" w:cs="仿宋_GB2312" w:eastAsia="仿宋_GB2312"/>
              </w:rPr>
              <w:t>28万元）</w:t>
            </w:r>
          </w:p>
          <w:p>
            <w:pPr>
              <w:pStyle w:val="null3"/>
            </w:pPr>
            <w:r>
              <w:rPr>
                <w:rFonts w:ascii="仿宋_GB2312" w:hAnsi="仿宋_GB2312" w:cs="仿宋_GB2312" w:eastAsia="仿宋_GB2312"/>
              </w:rPr>
              <w:t>铲除原老化、起鼓的屋顶防水层及找平层；重做水泥砂浆找平层，铺设保温层以提升建筑节能效果；铺设新的屋面卷材防水层（厚度及标准需符合国家规范），并对落水口等节点部位做加强处理；恢复因施工受损的屋面设施，清理垃圾，确保雨后无渗漏。</w:t>
            </w:r>
          </w:p>
          <w:p>
            <w:pPr>
              <w:pStyle w:val="null3"/>
            </w:pPr>
            <w:r>
              <w:rPr>
                <w:rFonts w:ascii="仿宋_GB2312" w:hAnsi="仿宋_GB2312" w:cs="仿宋_GB2312" w:eastAsia="仿宋_GB2312"/>
              </w:rPr>
              <w:t>（三）中心小二楼下水管道及地下室房屋维修（</w:t>
            </w:r>
            <w:r>
              <w:rPr>
                <w:rFonts w:ascii="仿宋_GB2312" w:hAnsi="仿宋_GB2312" w:cs="仿宋_GB2312" w:eastAsia="仿宋_GB2312"/>
              </w:rPr>
              <w:t>16万元）</w:t>
            </w:r>
          </w:p>
          <w:p>
            <w:pPr>
              <w:pStyle w:val="null3"/>
            </w:pPr>
            <w:r>
              <w:rPr>
                <w:rFonts w:ascii="仿宋_GB2312" w:hAnsi="仿宋_GB2312" w:cs="仿宋_GB2312" w:eastAsia="仿宋_GB2312"/>
              </w:rPr>
              <w:t>拆除原有石膏板、隔墙、破损门窗及旧排水管，重新铺设排水管道，确保排水系统独立畅通；室内墙面重新粉刷白色乳胶漆；更换符合消防及安全要求的门窗。</w:t>
            </w:r>
          </w:p>
          <w:p>
            <w:pPr>
              <w:pStyle w:val="null3"/>
            </w:pPr>
            <w:r>
              <w:rPr>
                <w:rFonts w:ascii="仿宋_GB2312" w:hAnsi="仿宋_GB2312" w:cs="仿宋_GB2312" w:eastAsia="仿宋_GB2312"/>
              </w:rPr>
              <w:t>（四）中心车棚改建（</w:t>
            </w:r>
            <w:r>
              <w:rPr>
                <w:rFonts w:ascii="仿宋_GB2312" w:hAnsi="仿宋_GB2312" w:cs="仿宋_GB2312" w:eastAsia="仿宋_GB2312"/>
              </w:rPr>
              <w:t>3万元）</w:t>
            </w:r>
          </w:p>
          <w:p>
            <w:pPr>
              <w:pStyle w:val="null3"/>
            </w:pPr>
            <w:r>
              <w:rPr>
                <w:rFonts w:ascii="仿宋_GB2312" w:hAnsi="仿宋_GB2312" w:cs="仿宋_GB2312" w:eastAsia="仿宋_GB2312"/>
              </w:rPr>
              <w:t>根据现场地质情况，进行场地平整、夯实，浇筑混凝土基础，确保车棚结构稳固</w:t>
            </w:r>
            <w:r>
              <w:rPr>
                <w:rFonts w:ascii="仿宋_GB2312" w:hAnsi="仿宋_GB2312" w:cs="仿宋_GB2312" w:eastAsia="仿宋_GB2312"/>
              </w:rPr>
              <w:t>；采用钢结构作为车棚主体骨架，进行焊接或螺栓连接，结构设计需满足防风、抗压要求，确保安全耐用；所有钢结构构件应进行除锈、防腐、防锈处理；</w:t>
            </w:r>
            <w:r>
              <w:rPr>
                <w:rFonts w:ascii="仿宋_GB2312" w:hAnsi="仿宋_GB2312" w:cs="仿宋_GB2312" w:eastAsia="仿宋_GB2312"/>
              </w:rPr>
              <w:t>铺设具有良好防水和抗风性能的轻质顶棚，</w:t>
            </w:r>
            <w:r>
              <w:rPr>
                <w:rFonts w:ascii="仿宋_GB2312" w:hAnsi="仿宋_GB2312" w:cs="仿宋_GB2312" w:eastAsia="仿宋_GB2312"/>
              </w:rPr>
              <w:t>完全覆盖停车区域，</w:t>
            </w:r>
            <w:r>
              <w:rPr>
                <w:rFonts w:ascii="仿宋_GB2312" w:hAnsi="仿宋_GB2312" w:cs="仿宋_GB2312" w:eastAsia="仿宋_GB2312"/>
              </w:rPr>
              <w:t>确保雨天不漏</w:t>
            </w:r>
            <w:r>
              <w:rPr>
                <w:rFonts w:ascii="仿宋_GB2312" w:hAnsi="仿宋_GB2312" w:cs="仿宋_GB2312" w:eastAsia="仿宋_GB2312"/>
              </w:rPr>
              <w:t>水</w:t>
            </w:r>
            <w:r>
              <w:rPr>
                <w:rFonts w:ascii="仿宋_GB2312" w:hAnsi="仿宋_GB2312" w:cs="仿宋_GB2312" w:eastAsia="仿宋_GB2312"/>
              </w:rPr>
              <w:t>、大风天不掀</w:t>
            </w:r>
            <w:r>
              <w:rPr>
                <w:rFonts w:ascii="仿宋_GB2312" w:hAnsi="仿宋_GB2312" w:cs="仿宋_GB2312" w:eastAsia="仿宋_GB2312"/>
              </w:rPr>
              <w:t>顶</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本项目为固定总价合同。</w:t>
            </w:r>
          </w:p>
          <w:p>
            <w:pPr>
              <w:pStyle w:val="null3"/>
            </w:pPr>
            <w:r>
              <w:rPr>
                <w:rFonts w:ascii="仿宋_GB2312" w:hAnsi="仿宋_GB2312" w:cs="仿宋_GB2312" w:eastAsia="仿宋_GB2312"/>
              </w:rPr>
              <w:t>4.</w:t>
            </w:r>
            <w:r>
              <w:rPr>
                <w:rFonts w:ascii="仿宋_GB2312" w:hAnsi="仿宋_GB2312" w:cs="仿宋_GB2312" w:eastAsia="仿宋_GB2312"/>
              </w:rPr>
              <w:t>施工要求：</w:t>
            </w:r>
          </w:p>
          <w:p>
            <w:pPr>
              <w:pStyle w:val="null3"/>
            </w:pPr>
            <w:r>
              <w:rPr>
                <w:rFonts w:ascii="仿宋_GB2312" w:hAnsi="仿宋_GB2312" w:cs="仿宋_GB2312" w:eastAsia="仿宋_GB2312"/>
              </w:rPr>
              <w:t>4.1</w:t>
            </w:r>
            <w:r>
              <w:rPr>
                <w:rFonts w:ascii="仿宋_GB2312" w:hAnsi="仿宋_GB2312" w:cs="仿宋_GB2312" w:eastAsia="仿宋_GB2312"/>
              </w:rPr>
              <w:t>为了保证工程的质量与进度，成交供应商派驻施工现场的项目经理（负责人）、技术负责</w:t>
            </w:r>
            <w:r>
              <w:rPr>
                <w:rFonts w:ascii="仿宋_GB2312" w:hAnsi="仿宋_GB2312" w:cs="仿宋_GB2312" w:eastAsia="仿宋_GB2312"/>
              </w:rPr>
              <w:t>人</w:t>
            </w:r>
            <w:r>
              <w:rPr>
                <w:rFonts w:ascii="仿宋_GB2312" w:hAnsi="仿宋_GB2312" w:cs="仿宋_GB2312" w:eastAsia="仿宋_GB2312"/>
              </w:rPr>
              <w:t>必须与文件提供的项目经理（负责人）、技术负责</w:t>
            </w:r>
            <w:r>
              <w:rPr>
                <w:rFonts w:ascii="仿宋_GB2312" w:hAnsi="仿宋_GB2312" w:cs="仿宋_GB2312" w:eastAsia="仿宋_GB2312"/>
              </w:rPr>
              <w:t>人</w:t>
            </w:r>
            <w:r>
              <w:rPr>
                <w:rFonts w:ascii="仿宋_GB2312" w:hAnsi="仿宋_GB2312" w:cs="仿宋_GB2312" w:eastAsia="仿宋_GB2312"/>
              </w:rPr>
              <w:t>及项目管理人员一致，且在施工期内必须每天保证至少有一人驻守施工现场组织施工和技术管理工作；</w:t>
            </w:r>
          </w:p>
          <w:p>
            <w:pPr>
              <w:pStyle w:val="null3"/>
            </w:pPr>
            <w:r>
              <w:rPr>
                <w:rFonts w:ascii="仿宋_GB2312" w:hAnsi="仿宋_GB2312" w:cs="仿宋_GB2312" w:eastAsia="仿宋_GB2312"/>
              </w:rPr>
              <w:t>4.2</w:t>
            </w:r>
            <w:r>
              <w:rPr>
                <w:rFonts w:ascii="仿宋_GB2312" w:hAnsi="仿宋_GB2312" w:cs="仿宋_GB2312" w:eastAsia="仿宋_GB2312"/>
              </w:rPr>
              <w:t>由于本项目工期紧、任务重，成交单位在施工过程中各个部门紧密配合，各个施工点可以同时作业，从而保证施工的质量与效率。</w:t>
            </w:r>
          </w:p>
          <w:p>
            <w:pPr>
              <w:pStyle w:val="null3"/>
            </w:pPr>
            <w:r>
              <w:rPr>
                <w:rFonts w:ascii="仿宋_GB2312" w:hAnsi="仿宋_GB2312" w:cs="仿宋_GB2312" w:eastAsia="仿宋_GB2312"/>
                <w:sz w:val="21"/>
              </w:rPr>
              <w:t>4.3</w:t>
            </w:r>
            <w:r>
              <w:rPr>
                <w:rFonts w:ascii="仿宋_GB2312" w:hAnsi="仿宋_GB2312" w:cs="仿宋_GB2312" w:eastAsia="仿宋_GB2312"/>
                <w:sz w:val="21"/>
              </w:rPr>
              <w:t>项目施工过程中所有责任由成交人承担，施工完成后，提供完整的竣工资料，包括但不限于竣工图纸、过程资料。</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1.符合国家及行业验收合格标准，质量合格。 2.符合国家现行《建筑工程施工质量验收统一标准》及相关专业验收规范，达到合格标准。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符合国家及行业验收合格标准，质量合格。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1.本项目为暂列金：30000元；供应商应充分考虑本金额，并将暂列金包含在本次报价中。 2.各部分最高限价：1.中心办公楼下水管道维修：25万元，2.中心办公楼顶防水维修：28万元，中心小二楼下水管道及地下室房屋维修：16万元；4.中心车棚改建（3万元）；各部分最终响应高于最高限价的，其响应文件将按无效处理。 3.质保期：防水工程质保期不低于5年，装修及管道工程质保期不低于2年，自验收合格之日起计算。 4.缺陷责任期：2年。 5.完工时间：合同签订后60个日历日内竣工并交付验收； 6.验收：6.1采购人组织安排验收，成交供应商提供工程量清单以及图纸配合验收工作。 6.2验收标准：依据国家相关行业质量验收规范合格标准进行验收。 7.安全要求：施工方需严格遵守安全生产规定，做好施工现场围蔽及警示，杜绝安全事故；施工期间不得影响单位正常办公秩序，合理安排作业时间，及时清运建筑垃圾。 8.质量要求：符合国家现行《建筑工程施工质量验收统一标准》及相关专业验收规范，达到合格标准。 9.付款方式：合同签订后，预付合同金额的40%，工程施工完毕验收合格后支付合同金额的30%，经审计部门审计后支付至审计金额的100%。 注：商务要求及其他要求不允许负偏离。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2.具备良好商业信誉的证明材料（按照磋商文件格式提供承诺函）； 3.具备健全的财务会计制度的证明材料。｛注：①可提供2025或2024年度经审计的财务报告复印件（包含审计报告和审计报告中所涉及的财务报表和报表附注），②也可提供供应商内部的2025或2024年度财务报表复印件（至少包含资产负债表），③也可提供截至响应文件递交截止日一年内银行出具的资信证明（复印件），④供应商注册时间截至响应文件递交截止日不足一年的，也可提供加盖工商供应商应提交的相关资格证明材料 响应函 备案主管部门印章的公司章程复印件，⑤也可提供政府采购信用担保机构出具的《政府采购投标担保函》｝ 4.具有依法缴纳税收和社会保障资金的良好记录（①社会保障资金缴纳证明：提供2025年6月1日至今已缴存的任一月份的社会保障资金缴存单据或社保机构开具的社会保险参保缴费情况证明，依法不需要缴纳社会保障资金的供应商应提供相关文件证明； ）；②提供2025年6月1日至今已缴纳的至少一个月的纳税证明或完税证明，依法免税的单位应提供相关证明材料）； 5.具备履行合同所必需的设备和专业技术能力的证明材料（按照磋商文件格式提供承诺函）； 6.参加政府采购活动前3年内在经营活动中没有重大违法记录的承诺函（按照磋商文件格式提供承诺函）； 7.具备法律、行政法规规定的其他条件的证明材料（按照磋商文件格式提供承诺函）；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第二十二条规定条件的承诺函.docx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①可提供2025或2024年度经审计的财务报告复印件（包含审计报告和审计报告中所涉及的财务报表和报表附注），②也可提供供应商内部的2025或2024年度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法定代表人授权书及被授权人身份证明，（法定代表人直接参与磋商只须提交其身份证明）：按采购文件规定格式提供授权书及法定代表人、被授权人身份证明； 供应商需在项目电子化交易系统中按要求进行电子签章。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供应商应具备资质</w:t>
            </w:r>
          </w:p>
        </w:tc>
        <w:tc>
          <w:tcPr>
            <w:tcW w:type="dxa" w:w="3322"/>
          </w:tcPr>
          <w:p>
            <w:pPr>
              <w:pStyle w:val="null3"/>
            </w:pPr>
            <w:r>
              <w:rPr>
                <w:rFonts w:ascii="仿宋_GB2312" w:hAnsi="仿宋_GB2312" w:cs="仿宋_GB2312" w:eastAsia="仿宋_GB2312"/>
              </w:rPr>
              <w:t>供应商应具备建筑工程施工总承包三级以上（含三级）资质，具有有效的安全生产许可证；供应商需在项目电子化交易系统中按要求上传相应证明文件并进行电子签章。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供应商拟派项目负责人须具备资质</w:t>
            </w:r>
          </w:p>
        </w:tc>
        <w:tc>
          <w:tcPr>
            <w:tcW w:type="dxa" w:w="3322"/>
          </w:tcPr>
          <w:p>
            <w:pPr>
              <w:pStyle w:val="null3"/>
            </w:pPr>
            <w:r>
              <w:rPr>
                <w:rFonts w:ascii="仿宋_GB2312" w:hAnsi="仿宋_GB2312" w:cs="仿宋_GB2312" w:eastAsia="仿宋_GB2312"/>
              </w:rPr>
              <w:t>供应商拟派项目负责人须具备建筑工程专业贰级及以上注册建造师资质、具有安全生产考核合格证（B证）且无在建工程（提供无在建工程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省外企业备案</w:t>
            </w:r>
          </w:p>
        </w:tc>
        <w:tc>
          <w:tcPr>
            <w:tcW w:type="dxa" w:w="3322"/>
          </w:tcPr>
          <w:p>
            <w:pPr>
              <w:pStyle w:val="null3"/>
            </w:pPr>
            <w:r>
              <w:rPr>
                <w:rFonts w:ascii="仿宋_GB2312" w:hAnsi="仿宋_GB2312" w:cs="仿宋_GB2312" w:eastAsia="仿宋_GB2312"/>
              </w:rPr>
              <w:t>省外企业须为“陕西省住房和城乡建设厅”官网企业库外省进陕施工企业；采购人或采购代理机构将于本项目磋商截止日在“陕西省住房和城乡建设厅”对供应商进行备案记录查询，未在“陕西省住房和城乡建设厅”备案的将被拒绝。</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 （5）未标价的工程量清单。</w:t>
            </w:r>
          </w:p>
        </w:tc>
        <w:tc>
          <w:tcPr>
            <w:tcW w:type="dxa" w:w="332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 （5）未标价的工程量清单。</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第二十二条规定条件的承诺函.docx 强制优先采购产品承诺函 响应文件封面 项目管理机构组成表 残疾人福利性单位声明函 报价函 响应文件其他格式.docx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提供的本项目施工方案①施工工艺②施工方法③设计深化及技术响应措施进行综合打分，完全响应得9分；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机械配置方案</w:t>
            </w:r>
          </w:p>
        </w:tc>
        <w:tc>
          <w:tcPr>
            <w:tcW w:type="dxa" w:w="2492"/>
          </w:tcPr>
          <w:p>
            <w:pPr>
              <w:pStyle w:val="null3"/>
            </w:pPr>
            <w:r>
              <w:rPr>
                <w:rFonts w:ascii="仿宋_GB2312" w:hAnsi="仿宋_GB2312" w:cs="仿宋_GB2312" w:eastAsia="仿宋_GB2312"/>
              </w:rPr>
              <w:t>根据供应商提供的 机械配置方案①施工所需机械设备清单② 设备配备③劳保用品配置措施进行综合打分，完全响应得9分；方案中每有一项内容缺失扣3分，方案内容要素中每存在一处缺陷扣0.5分，该分项分值扣完为止。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供应商提供针对本项目的人员配备方案，包含①项目成员数量配备及劳动力保障措施 ②人员组成结构及人员的技术能力③相关资质及经验等综合评审，完全响应得9分；方案中每有一项内容缺失扣3分，方案内容要素中每存在一处缺陷扣0.5分，该分项分值扣完为止。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供应商提供针对本项目的质量管理方案包含：①质量管理体系②质量保证措施，完全响应得6分 ；方案中每有一项内容缺失扣3分，方案内容要素中每存在一处缺陷扣0.5分，该分项分值扣完为止。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根据供应商提供的①安全管理体系与措施②安全文明施工措施③安全教育及培训计划④安全防护措施等进行综合评审：完全响应得6分 ；方案中每有一项内容缺失扣1.5分，方案内容要素中每存在一处缺陷扣0.5分，该分项分值扣完为止。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供应商提供针对本项目的工期及进度安排计划包含：①保证项目工期实施措施，②施工进度表或施工网络节点表措施，③出现特殊情况的应急预案进行综合评审：完全响应得6分 ；方案中每有一项内容缺失扣2分，方案内容要素中每存在一处缺陷扣0.5分，该分项分值扣完为止。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供应商提供针对本项目的环保方案，包含：①环境保护管理体系与措施②污染物处理及排放符合国家及地方环境保护标准响应措施；③现场扬尘预防措施进行综合评审：完全响应得 9分 ；方案中每有一项内容缺失扣3分，方案内容要素中每存在一处缺陷扣0.5分，该分项分值扣完为止。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根据供应商2023年1月1日至磋商响应截止时间同类业绩，每提供一个业绩得2分，最高得10分。注：（提供合同或中标（成交）通知书）复印件。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对供应商提供的售后服务方案，包括①承诺维修响应时间②后续服务人员配置③工程质保承诺方案等进行综合评定：完全响应得6分 ；方案中每有一项内容缺失扣2分，方案内容要素中每存在一处缺陷扣0.5分，该分项分值扣完为止。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最低有效报价得30分。以本次最低有效报价为基准价，报价得分=(基准价÷磋商报价）×价格权值×100。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详见附件：第二十二条规定条件的承诺函.docx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详见附件：响应文件其他格式.docx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详见附件：工程类合同(1).docx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