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版本号：政采-省本级-2026-0352220260520001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基于大模型的渭河流域径流智能预测关键技术研究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政采-省本级-2026-03522</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陕西省水利电力工程咨询有限责任公司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陕西省水利电力工程咨询有限责任公司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基于大模型的渭河流域径流智能预测关键技术研究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政采-省本级-2026-03522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基于大模型的渭河流域径流智能预测关键技术研究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开展基于大模型的径流智能协同预测机制研究，大小模型协同的径流智能预测模型研究，大模型驱动的径流一体化预测方法研究，渭河流域径流预测大模型系统及应用研究。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5、没有重大违法记录的书面声明：参加政府采购活动前三年内，在经营活动中没有重大违法记录书面声明并加盖公章。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陕西省水利电力工程咨询有限责任公司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西安市碑林区兴庆路36号鸿祥大厦A座6层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029-87396339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陕西省水利电力工程咨询有限责任公司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陕西省水利电力工程咨询有限责任公司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陕西省水利电力工程咨询有限责任公司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联系人：万女士</w:t>
      </w:r>
    </w:p>
    <w:p>
      <w:pPr>
        <w:pStyle w:val="null3"/>
      </w:pPr>
      <w:r>
        <w:rPr>
          <w:rFonts w:ascii="仿宋_GB2312" w:hAnsi="仿宋_GB2312" w:cs="仿宋_GB2312" w:eastAsia="仿宋_GB2312"/>
        </w:rPr>
        <w:t>联系电话：029-87396339</w:t>
      </w:r>
    </w:p>
    <w:p>
      <w:pPr>
        <w:pStyle w:val="null3"/>
      </w:pPr>
      <w:r>
        <w:rPr>
          <w:rFonts w:ascii="仿宋_GB2312" w:hAnsi="仿宋_GB2312" w:cs="仿宋_GB2312" w:eastAsia="仿宋_GB2312"/>
        </w:rPr>
        <w:t>地址：西安市碑林区兴庆路36号鸿祥大厦A座6层</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开展基于大模型的径流智能协同预测机制研究，大小模型协同的径流智能预测模型研究，大模型驱动的径流一体化预测方法研究，渭河流域径流预测大模型系统及应用研究。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基于大模型的渭河流域径流智能预测关键技术研究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标的名称：基于大模型的渭河流域径流智能预测关键技术研究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color w:val="000000"/>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一、主要工作内容</w:t>
            </w:r>
          </w:p>
          <w:p>
            <w:pPr>
              <w:pStyle w:val="null3"/>
            </w:pPr>
            <w:r>
              <w:rPr>
                <w:rFonts w:ascii="仿宋_GB2312" w:hAnsi="仿宋_GB2312" w:cs="仿宋_GB2312" w:eastAsia="仿宋_GB2312"/>
                <w:sz w:val="18"/>
              </w:rPr>
              <w:t xml:space="preserve">   在构建基于大模型的径流智能协同预测机制，探索水文机理与大模型认知能力的耦合及其协同演进机制；构建大小模型协同的径流智能预测模型，提出面向径流预测的大模型知识增强与基于强化学习的微调方法；建立大模型驱动的径流一体化预测方法，提出多尺度嵌套互馈与多站点时空信息协同机制；集成以上方法与技术，构建渭河流域径流预测大模型系统，设计生成式业务流进行实证。</w:t>
            </w:r>
          </w:p>
          <w:p>
            <w:pPr>
              <w:pStyle w:val="null3"/>
            </w:pPr>
            <w:r>
              <w:rPr>
                <w:rFonts w:ascii="仿宋_GB2312" w:hAnsi="仿宋_GB2312" w:cs="仿宋_GB2312" w:eastAsia="仿宋_GB2312"/>
                <w:sz w:val="18"/>
              </w:rPr>
              <w:t>二、项目的技术难点和创新点</w:t>
            </w:r>
          </w:p>
          <w:p>
            <w:pPr>
              <w:pStyle w:val="null3"/>
            </w:pPr>
            <w:r>
              <w:rPr>
                <w:rFonts w:ascii="仿宋_GB2312" w:hAnsi="仿宋_GB2312" w:cs="仿宋_GB2312" w:eastAsia="仿宋_GB2312"/>
                <w:sz w:val="18"/>
              </w:rPr>
              <w:t xml:space="preserve">  技术难点：</w:t>
            </w:r>
          </w:p>
          <w:p>
            <w:pPr>
              <w:pStyle w:val="null3"/>
            </w:pPr>
            <w:r>
              <w:rPr>
                <w:rFonts w:ascii="仿宋_GB2312" w:hAnsi="仿宋_GB2312" w:cs="仿宋_GB2312" w:eastAsia="仿宋_GB2312"/>
                <w:sz w:val="18"/>
              </w:rPr>
              <w:t xml:space="preserve">  （1）</w:t>
            </w:r>
            <w:r>
              <w:rPr>
                <w:rFonts w:ascii="仿宋_GB2312" w:hAnsi="仿宋_GB2312" w:cs="仿宋_GB2312" w:eastAsia="仿宋_GB2312"/>
                <w:sz w:val="18"/>
              </w:rPr>
              <w:t>揭示复杂水文机理并构建大模型与水文模型的协同体系；</w:t>
            </w:r>
          </w:p>
          <w:p>
            <w:pPr>
              <w:pStyle w:val="null3"/>
            </w:pPr>
            <w:r>
              <w:rPr>
                <w:rFonts w:ascii="仿宋_GB2312" w:hAnsi="仿宋_GB2312" w:cs="仿宋_GB2312" w:eastAsia="仿宋_GB2312"/>
                <w:sz w:val="18"/>
              </w:rPr>
              <w:t xml:space="preserve">  （2</w:t>
            </w:r>
            <w:r>
              <w:rPr>
                <w:rFonts w:ascii="仿宋_GB2312" w:hAnsi="仿宋_GB2312" w:cs="仿宋_GB2312" w:eastAsia="仿宋_GB2312"/>
                <w:sz w:val="18"/>
              </w:rPr>
              <w:t>）异质水文知识与大小模型的深度耦合；</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3）多尺度多站点耦合下径流一体化预测机制的构建。</w:t>
            </w:r>
          </w:p>
          <w:p>
            <w:pPr>
              <w:pStyle w:val="null3"/>
            </w:pPr>
            <w:r>
              <w:rPr>
                <w:rFonts w:ascii="仿宋_GB2312" w:hAnsi="仿宋_GB2312" w:cs="仿宋_GB2312" w:eastAsia="仿宋_GB2312"/>
                <w:sz w:val="18"/>
              </w:rPr>
              <w:t xml:space="preserve">  创新点：</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1）提出径流预测专业领域大模型构建的理论方法；</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2）创建“大模型-小模型”协同的径流智能预测新范式；</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3）构建多尺度多站点协同的流域径流一体化预测技术。</w:t>
            </w:r>
          </w:p>
          <w:p>
            <w:pPr>
              <w:pStyle w:val="null3"/>
            </w:pPr>
            <w:r>
              <w:rPr>
                <w:rFonts w:ascii="仿宋_GB2312" w:hAnsi="仿宋_GB2312" w:cs="仿宋_GB2312" w:eastAsia="仿宋_GB2312"/>
                <w:sz w:val="18"/>
              </w:rPr>
              <w:t>三、主要成果递交</w:t>
            </w:r>
          </w:p>
          <w:p>
            <w:pPr>
              <w:pStyle w:val="null3"/>
            </w:pPr>
            <w:r>
              <w:rPr>
                <w:rFonts w:ascii="仿宋_GB2312" w:hAnsi="仿宋_GB2312" w:cs="仿宋_GB2312" w:eastAsia="仿宋_GB2312"/>
                <w:sz w:val="18"/>
              </w:rPr>
              <w:t xml:space="preserve">  （1）梳理研究现状，确立方案，重点研究径流形成机理与大模型预测框架；</w:t>
            </w:r>
            <w:r>
              <w:rPr>
                <w:rFonts w:ascii="仿宋_GB2312" w:hAnsi="仿宋_GB2312" w:cs="仿宋_GB2312" w:eastAsia="仿宋_GB2312"/>
                <w:sz w:val="18"/>
              </w:rPr>
              <w:t>（2）研究水文机理与大模型的耦合机制、知识增强及多站点协同预测方法；</w:t>
            </w:r>
            <w:r>
              <w:rPr>
                <w:rFonts w:ascii="仿宋_GB2312" w:hAnsi="仿宋_GB2312" w:cs="仿宋_GB2312" w:eastAsia="仿宋_GB2312"/>
                <w:sz w:val="18"/>
              </w:rPr>
              <w:t>（3）探索大模型与水文模型的协同演进，研究强化学习微调及思维链推理技术；</w:t>
            </w:r>
            <w:r>
              <w:rPr>
                <w:rFonts w:ascii="仿宋_GB2312" w:hAnsi="仿宋_GB2312" w:cs="仿宋_GB2312" w:eastAsia="仿宋_GB2312"/>
                <w:sz w:val="18"/>
              </w:rPr>
              <w:t>（</w:t>
            </w:r>
            <w:r>
              <w:rPr>
                <w:rFonts w:ascii="仿宋_GB2312" w:hAnsi="仿宋_GB2312" w:cs="仿宋_GB2312" w:eastAsia="仿宋_GB2312"/>
                <w:sz w:val="18"/>
              </w:rPr>
              <w:t>4）进行技术集成与系统构建，以渭河流域为例完成仿真验证，总结成果并完成报告编制。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合同签订后13个月。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陕西省水利厅。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提交初步成果通过初验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全部工作完成并通过验收后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 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基于大模型的渭河流域径流智能预测关键技术研究服务期限以合同为准。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证明文件并进行电子签章。2）提供近一年度经审计的财务会计报告（含附表附注），或开标前三个月内基本开户银行出具的资信证明，或信用担保机构出具的投标担保函（以上三种形式的资料提供任何一种即可) 。2025年1月至今新成立公司须提供银行资信证明或新成立以来的财务报表，至少包括资产负债表、利润表、现金流量表。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参加政府采购活动前三年内，在经营活动中没有重大违法记录书面声明并加盖公章。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符合“第七章响应文件格式”的要求</w:t>
            </w:r>
          </w:p>
        </w:tc>
        <w:tc>
          <w:tcPr>
            <w:tcW w:type="dxa" w:w="1661"/>
          </w:tcPr>
          <w:p>
            <w:pPr>
              <w:pStyle w:val="null3"/>
            </w:pPr>
            <w:r>
              <w:rPr>
                <w:rFonts w:ascii="仿宋_GB2312" w:hAnsi="仿宋_GB2312" w:cs="仿宋_GB2312" w:eastAsia="仿宋_GB2312"/>
              </w:rPr>
              <w:t>供应商认为有必要说明的事宜.pdf 人员配备.docx 中小企业声明函 授权委托书.docx 报价表 商务应答表.docx 响应文件封面 供应商应提交的相关资格证明材料.docx 承揽的类似项目情况表.docx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授权委托书.docx 标的清单 报价表 服务内容及服务邀请应答表.docx 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要求（包括但不限于实施计划和技术方案的清晰性、针对性和所需收集资料及文件的准确性等）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工作计划方案</w:t>
            </w:r>
          </w:p>
        </w:tc>
        <w:tc>
          <w:tcPr>
            <w:tcW w:type="dxa" w:w="2492"/>
          </w:tcPr>
          <w:p>
            <w:pPr>
              <w:pStyle w:val="null3"/>
            </w:pPr>
            <w:r>
              <w:rPr>
                <w:rFonts w:ascii="仿宋_GB2312" w:hAnsi="仿宋_GB2312" w:cs="仿宋_GB2312" w:eastAsia="仿宋_GB2312"/>
              </w:rPr>
              <w:t>根据供应商提供的工作计划方案（包括但不限于工作进度、工作计划、工作时效等）进行打分： 供应商提供的工作进度完善、工作计划明确、工作时效高。每项完全满足评审标准得3分，有缺陷或者不满足扣1分，缺项不得分。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 难点分析</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全面性、合理性，内容与深度是否达到本项目的要求，后续配合计划的完善度）进行打分：供应商服务承诺全面、合理，内容与深度均达到本项目要求、后续配合计划完善。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1、本项目投入人员须为供应商在职人员并提供证明材料，否则不计分； 2、根据供应商对于本项目的人员配备情况进行打分：人员安排合理，职责分工明确。 每项完全满足评审标准得4分，有缺陷或者不满足扣2分，缺项不得分； 3、项目组成员每具有高级（含高级）以上职称得0.5分，最多得1分； 4、项目负责人具有高级（含高级）以上职称得1分。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近年具有类似项目业绩，每具有一项计3分，最高12分。 注：应附合同协议书或中标（成交）通知书或立项文件或成果文件（如论文、课题、专利等）复印件。类似项目业绩指自2022年5月1日至投标截止日前承揽过类似项目。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承揽的类似项目情况表.docx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给予相关供应商的合理时间一般不少于30分钟并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满足磋商文件要求且磋商报价最低的为评标基准价，其价格分为满分。价格分按照下列公式计算。 报价得分=（评标基准价/有效报价）×价格权重×100符合磋商文件规定的小微企业或监狱企业或残疾人福利性单位优惠条件的供应商，价格给予10%的扣除，用扣除后的价格参与评审。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详见附件：供应商认为有必要说明的事宜.pdf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