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78E31B">
      <w:pPr>
        <w:spacing w:line="360" w:lineRule="auto"/>
        <w:jc w:val="center"/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采购需求</w:t>
      </w:r>
    </w:p>
    <w:p w14:paraId="21364C59">
      <w:pPr>
        <w:spacing w:line="360" w:lineRule="auto"/>
        <w:ind w:firstLine="420" w:firstLine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1.项目名称：《长武县中心城区燃气发展专项规划（2026-2035）》编制项目</w:t>
      </w:r>
    </w:p>
    <w:p w14:paraId="1DA86923">
      <w:pPr>
        <w:spacing w:line="360" w:lineRule="auto"/>
        <w:ind w:firstLine="420" w:firstLine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2.项目编号：YC26001024（CGQ）</w:t>
      </w:r>
    </w:p>
    <w:p w14:paraId="7052691A">
      <w:pPr>
        <w:spacing w:line="360" w:lineRule="auto"/>
        <w:ind w:firstLine="420" w:firstLineChars="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3.</w:t>
      </w:r>
      <w:r>
        <w:rPr>
          <w:rFonts w:hint="default"/>
          <w:sz w:val="24"/>
          <w:szCs w:val="24"/>
          <w:lang w:val="en-US" w:eastAsia="zh-CN"/>
        </w:rPr>
        <w:t>采购项目概况：为深入贯彻落实国家关于能源结构调整和安全生产的系列部署，按照《陕西省燃气管理条例》《陕西省住建厅关于加强城镇燃气管理工作的通知》等要求，依据我县国土空间规划及《咸阳市燃气发展专项规划(2022-2030年)》，在全面评估我县燃气设施现状与发展需求的基础上，分析燃气供应体系的安全韧性与短板，制定《长武县中心城区燃气发展专项规划(2026-2035)》。规划重点构建安全韧性体系、优化设施布局结构、规范行业管理秩序、推进智慧燃气建设，科学确定燃气气源、输配系统、储配设施及服务站点等建设任务，明确规划期内的总体目标、重点工程、实施时序及保障措施，建立完善“专项规划—片区实施—项目落地”的规划传导机制，作为指导我县燃气事业健康有序发展的重要依据。</w:t>
      </w:r>
    </w:p>
    <w:p w14:paraId="66557115">
      <w:pPr>
        <w:numPr>
          <w:ilvl w:val="0"/>
          <w:numId w:val="0"/>
        </w:numPr>
        <w:spacing w:line="360" w:lineRule="auto"/>
        <w:ind w:firstLine="420" w:firstLineChars="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4.采购项目需实现目标：明确燃气发展总体战略目标，确定燃气发展重点任务，制定燃气设施布局与分区管控指引等</w:t>
      </w:r>
      <w:bookmarkStart w:id="0" w:name="_GoBack"/>
      <w:bookmarkEnd w:id="0"/>
      <w:r>
        <w:rPr>
          <w:rFonts w:hint="eastAsia"/>
          <w:sz w:val="24"/>
          <w:szCs w:val="24"/>
          <w:lang w:val="en-US" w:eastAsia="zh-CN"/>
        </w:rPr>
        <w:t>，详见竞争性磋商文件。</w:t>
      </w:r>
    </w:p>
    <w:p w14:paraId="6F01E19B">
      <w:pPr>
        <w:numPr>
          <w:ilvl w:val="0"/>
          <w:numId w:val="0"/>
        </w:numPr>
        <w:spacing w:line="360" w:lineRule="auto"/>
        <w:ind w:firstLine="420" w:firstLineChars="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5.</w:t>
      </w:r>
      <w:r>
        <w:rPr>
          <w:rFonts w:hint="default"/>
          <w:sz w:val="24"/>
          <w:szCs w:val="24"/>
          <w:lang w:val="en-US" w:eastAsia="zh-CN"/>
        </w:rPr>
        <w:t>服 务 期：自合同签署后30天内。</w:t>
      </w:r>
    </w:p>
    <w:p w14:paraId="64DD107C">
      <w:pPr>
        <w:numPr>
          <w:ilvl w:val="0"/>
          <w:numId w:val="0"/>
        </w:numPr>
        <w:spacing w:line="360" w:lineRule="auto"/>
        <w:ind w:firstLine="420" w:firstLineChars="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6.质量保修范围：验收合格后1年，免费修订完善的期限为供应商收到买方通知后24小时内。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235517"/>
    <w:rsid w:val="1EBC0912"/>
    <w:rsid w:val="30235517"/>
    <w:rsid w:val="531A23E7"/>
    <w:rsid w:val="59624CEB"/>
    <w:rsid w:val="78350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472</Words>
  <Characters>518</Characters>
  <Lines>0</Lines>
  <Paragraphs>0</Paragraphs>
  <TotalTime>0</TotalTime>
  <ScaleCrop>false</ScaleCrop>
  <LinksUpToDate>false</LinksUpToDate>
  <CharactersWithSpaces>520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2026-06-25T02:21:00Z</dcterms:created>
  <dc:creator>Z</dc:creator>
  <cp:lastModifiedBy>Z</cp:lastModifiedBy>
  <dcterms:modified xsi:type="dcterms:W3CDTF">2026-06-25T02:31:15Z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2B1C1844CB314AB1BFB54DFA6E0DEBBA_11</vt:lpwstr>
  </property>
  <property fmtid="{D5CDD505-2E9C-101B-9397-08002B2CF9AE}" pid="4" name="KSOTemplateDocerSaveRecord">
    <vt:lpwstr>eyJoZGlkIjoiY2QzZTFkNzYyMTY4YWQ5NTY2NmEwZDQyZmEwZTE4YmUiLCJ1c2VySWQiOiI1MjA5ODY0ODgifQ==</vt:lpwstr>
  </property>
</Properties>
</file>