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版本号：慧科ZX-CG01092BH.20260706002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军休干部八一、春节慰问品采购项目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慧科ZX-CG01092BH.</w:t>
      </w:r>
      <w:r>
        <w:br/>
      </w:r>
      <w:r>
        <w:br/>
      </w:r>
      <w:r>
        <w:br/>
      </w:r>
    </w:p>
    <w:p>
      <w:pPr>
        <w:pStyle w:val="null3"/>
        <w:jc w:val="center"/>
        <w:outlineLvl w:val="2"/>
      </w:pPr>
      <w:r>
        <w:rPr>
          <w:rFonts w:ascii="仿宋_GB2312" w:hAnsi="仿宋_GB2312" w:cs="仿宋_GB2312" w:eastAsia="仿宋_GB2312"/>
          <w:sz w:val="28"/>
          <w:b/>
        </w:rPr>
        <w:t>西安市杨家村军队离休退休干部休养所</w:t>
      </w:r>
    </w:p>
    <w:p>
      <w:pPr>
        <w:pStyle w:val="null3"/>
        <w:jc w:val="center"/>
        <w:outlineLvl w:val="2"/>
      </w:pPr>
      <w:r>
        <w:rPr>
          <w:rFonts w:ascii="仿宋_GB2312" w:hAnsi="仿宋_GB2312" w:cs="仿宋_GB2312" w:eastAsia="仿宋_GB2312"/>
          <w:sz w:val="28"/>
          <w:b/>
        </w:rPr>
        <w:t>陕西慧科工程管理咨询有限公司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陕西慧科工程管理咨询有限公司</w:t>
      </w:r>
      <w:r>
        <w:rPr>
          <w:rFonts w:ascii="仿宋_GB2312" w:hAnsi="仿宋_GB2312" w:cs="仿宋_GB2312" w:eastAsia="仿宋_GB2312"/>
        </w:rPr>
        <w:t>（以下简称“代理机构”）受</w:t>
      </w:r>
      <w:r>
        <w:rPr>
          <w:rFonts w:ascii="仿宋_GB2312" w:hAnsi="仿宋_GB2312" w:cs="仿宋_GB2312" w:eastAsia="仿宋_GB2312"/>
        </w:rPr>
        <w:t>西安市杨家村军队离休退休干部休养所</w:t>
      </w:r>
      <w:r>
        <w:rPr>
          <w:rFonts w:ascii="仿宋_GB2312" w:hAnsi="仿宋_GB2312" w:cs="仿宋_GB2312" w:eastAsia="仿宋_GB2312"/>
        </w:rPr>
        <w:t>委托，拟对</w:t>
      </w:r>
      <w:r>
        <w:rPr>
          <w:rFonts w:ascii="仿宋_GB2312" w:hAnsi="仿宋_GB2312" w:cs="仿宋_GB2312" w:eastAsia="仿宋_GB2312"/>
        </w:rPr>
        <w:t>军休干部八一、春节慰问品采购项目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慧科ZX-CG01092BH.</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军休干部八一、春节慰问品采购项目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西安市杨家村军队离休退休干部休养所拟对军休干部八一、春节慰问品进行采购，每人一份八一慰问品、一份春节慰问品，拟定人数为450人。本项目核心产品为低GI大米。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1、许可证明：供应商为生产厂家的须提供《食品生产许可证》；代理商须提供本单位《食品经营许可证》或《预包装食品经营者备案表》。</w:t>
      </w:r>
    </w:p>
    <w:p>
      <w:pPr>
        <w:pStyle w:val="null3"/>
      </w:pPr>
      <w:r>
        <w:rPr>
          <w:rFonts w:ascii="仿宋_GB2312" w:hAnsi="仿宋_GB2312" w:cs="仿宋_GB2312" w:eastAsia="仿宋_GB2312"/>
        </w:rPr>
        <w:t>2、供应商信用：不得为“信用中国”网站(http://www.creditchina.gov.cn)列入“失信被执行人、重大税收违法失信主体”的供应商；不得为中国政府采购网(http://www.ccgp.gov.cn)“政府采购严重违法失信行为记录名单”中的供应商。（以代理机构开标当天查询结果为准）</w:t>
      </w:r>
    </w:p>
    <w:p>
      <w:pPr>
        <w:pStyle w:val="null3"/>
      </w:pPr>
      <w:r>
        <w:rPr>
          <w:rFonts w:ascii="仿宋_GB2312" w:hAnsi="仿宋_GB2312" w:cs="仿宋_GB2312" w:eastAsia="仿宋_GB2312"/>
        </w:rPr>
        <w:t>3、关联关系说明：单位负责人为同一人或者存在直接控股、管理关系的不同供应商，不得参加同一合同项下的采购活动</w:t>
      </w:r>
    </w:p>
    <w:p>
      <w:pPr>
        <w:pStyle w:val="null3"/>
      </w:pPr>
      <w:r>
        <w:rPr>
          <w:rFonts w:ascii="仿宋_GB2312" w:hAnsi="仿宋_GB2312" w:cs="仿宋_GB2312" w:eastAsia="仿宋_GB2312"/>
        </w:rPr>
        <w:t>4、法定代表人授权委托书：法定代表人或单位负责人参与谈判的，应提供法定代表人或单位负责人身份证明；授权代表参与谈判的，应提供法定代表人或单位负责人身份证明、授权委托书及授权代表在本单位缴纳养老保险证明</w:t>
      </w:r>
    </w:p>
    <w:p>
      <w:pPr>
        <w:pStyle w:val="null3"/>
      </w:pPr>
      <w:r>
        <w:rPr>
          <w:rFonts w:ascii="仿宋_GB2312" w:hAnsi="仿宋_GB2312" w:cs="仿宋_GB2312" w:eastAsia="仿宋_GB2312"/>
        </w:rPr>
        <w:t>5、非联合体：本项目不接受联合体谈判</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西安市杨家村军队离休退休干部休养所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陕西省西安市雁塔区长安南路246号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蒙田原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029-85256114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陕西慧科工程管理咨询有限公司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陕西省西安市雁塔区曲江文创中心双子座7号楼1单元17楼1702室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张一鸣、徐立科、宋霜晨、樊军辉、刘明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029-89192999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代理服务费收费标准：1、中标/成交供应商应向采购代理机构支付招标代理服务费。招标代理服务费参照《国家计委关于印发&lt;招标代理服务收费管理暂行办法&gt;的通知》（计价格〔2002〕1980号）规定标准收取。 2、中标/成交单位在领取成交通知书前，须向采购代理机构一次性支付招标代理服务费。招标代理服务费缴存账户： 开户名称：陕西慧科工程管理咨询有限公司 开户银行：交通银行股份有限公司西安光华路支行 账 号：611301135013001841428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西安市杨家村军队离休退休干部休养所</w:t>
      </w:r>
      <w:r>
        <w:rPr>
          <w:rFonts w:ascii="仿宋_GB2312" w:hAnsi="仿宋_GB2312" w:cs="仿宋_GB2312" w:eastAsia="仿宋_GB2312"/>
        </w:rPr>
        <w:t>和</w:t>
      </w:r>
      <w:r>
        <w:rPr>
          <w:rFonts w:ascii="仿宋_GB2312" w:hAnsi="仿宋_GB2312" w:cs="仿宋_GB2312" w:eastAsia="仿宋_GB2312"/>
        </w:rPr>
        <w:t>陕西慧科工程管理咨询有限公司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西安市杨家村军队离休退休干部休养所</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陕西慧科工程管理咨询有限公司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西安市杨家村军队离休退休干部休养所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陕西慧科工程管理咨询有限公司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详见采购文件及拟签订的合同文本</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联系人：徐立科</w:t>
      </w:r>
    </w:p>
    <w:p>
      <w:pPr>
        <w:pStyle w:val="null3"/>
      </w:pPr>
      <w:r>
        <w:rPr>
          <w:rFonts w:ascii="仿宋_GB2312" w:hAnsi="仿宋_GB2312" w:cs="仿宋_GB2312" w:eastAsia="仿宋_GB2312"/>
        </w:rPr>
        <w:t>联系电话：029-89192999</w:t>
      </w:r>
    </w:p>
    <w:p>
      <w:pPr>
        <w:pStyle w:val="null3"/>
      </w:pPr>
      <w:r>
        <w:rPr>
          <w:rFonts w:ascii="仿宋_GB2312" w:hAnsi="仿宋_GB2312" w:cs="仿宋_GB2312" w:eastAsia="仿宋_GB2312"/>
        </w:rPr>
        <w:t>地址：陕西省西安市雁塔区曲江文创中心双子座7号楼1单元17楼1702室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西安市杨家村军队离休退休干部休养所拟对军休干部八一、春节慰问品进行采购，每人一份八一慰问品、一份春节慰问品，拟定人数为450人。本项目核心产品为低GI大米。</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春节八一慰问品</w:t>
            </w:r>
          </w:p>
        </w:tc>
        <w:tc>
          <w:tcPr>
            <w:tcW w:type="dxa" w:w="755"/>
          </w:tcPr>
          <w:p>
            <w:pPr>
              <w:pStyle w:val="null3"/>
              <w:jc w:val="right"/>
            </w:pPr>
            <w:r>
              <w:rPr>
                <w:rFonts w:ascii="仿宋_GB2312" w:hAnsi="仿宋_GB2312" w:cs="仿宋_GB2312" w:eastAsia="仿宋_GB2312"/>
              </w:rPr>
              <w:t>450.00</w:t>
            </w:r>
          </w:p>
        </w:tc>
        <w:tc>
          <w:tcPr>
            <w:tcW w:type="dxa" w:w="755"/>
          </w:tcPr>
          <w:p>
            <w:pPr>
              <w:pStyle w:val="null3"/>
              <w:jc w:val="right"/>
            </w:pPr>
            <w:r>
              <w:rPr>
                <w:rFonts w:ascii="仿宋_GB2312" w:hAnsi="仿宋_GB2312" w:cs="仿宋_GB2312" w:eastAsia="仿宋_GB2312"/>
              </w:rPr>
              <w:t>450,000.00</w:t>
            </w:r>
          </w:p>
        </w:tc>
        <w:tc>
          <w:tcPr>
            <w:tcW w:type="dxa" w:w="755"/>
          </w:tcPr>
          <w:p>
            <w:pPr>
              <w:pStyle w:val="null3"/>
            </w:pPr>
            <w:r>
              <w:rPr>
                <w:rFonts w:ascii="仿宋_GB2312" w:hAnsi="仿宋_GB2312" w:cs="仿宋_GB2312" w:eastAsia="仿宋_GB2312"/>
              </w:rPr>
              <w:t>人</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标的名称：春节八一慰问品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w:t>
            </w:r>
            <w:r>
              <w:rPr>
                <w:rFonts w:ascii="仿宋_GB2312" w:hAnsi="仿宋_GB2312" w:cs="仿宋_GB2312" w:eastAsia="仿宋_GB2312"/>
              </w:rPr>
              <w:t>本次采购</w:t>
            </w:r>
            <w:r>
              <w:rPr>
                <w:rFonts w:ascii="仿宋_GB2312" w:hAnsi="仿宋_GB2312" w:cs="仿宋_GB2312" w:eastAsia="仿宋_GB2312"/>
              </w:rPr>
              <w:t>预计</w:t>
            </w:r>
            <w:r>
              <w:rPr>
                <w:rFonts w:ascii="仿宋_GB2312" w:hAnsi="仿宋_GB2312" w:cs="仿宋_GB2312" w:eastAsia="仿宋_GB2312"/>
              </w:rPr>
              <w:t>4</w:t>
            </w:r>
            <w:r>
              <w:rPr>
                <w:rFonts w:ascii="仿宋_GB2312" w:hAnsi="仿宋_GB2312" w:cs="仿宋_GB2312" w:eastAsia="仿宋_GB2312"/>
              </w:rPr>
              <w:t>5</w:t>
            </w:r>
            <w:r>
              <w:rPr>
                <w:rFonts w:ascii="仿宋_GB2312" w:hAnsi="仿宋_GB2312" w:cs="仿宋_GB2312" w:eastAsia="仿宋_GB2312"/>
              </w:rPr>
              <w:t>0人，后期若人员变动，按</w:t>
            </w:r>
            <w:r>
              <w:rPr>
                <w:rFonts w:ascii="仿宋_GB2312" w:hAnsi="仿宋_GB2312" w:cs="仿宋_GB2312" w:eastAsia="仿宋_GB2312"/>
              </w:rPr>
              <w:t>每份</w:t>
            </w:r>
            <w:r>
              <w:rPr>
                <w:rFonts w:ascii="仿宋_GB2312" w:hAnsi="仿宋_GB2312" w:cs="仿宋_GB2312" w:eastAsia="仿宋_GB2312"/>
              </w:rPr>
              <w:t>的成交单价</w:t>
            </w:r>
            <w:r>
              <w:rPr>
                <w:rFonts w:ascii="仿宋_GB2312" w:hAnsi="仿宋_GB2312" w:cs="仿宋_GB2312" w:eastAsia="仿宋_GB2312"/>
              </w:rPr>
              <w:t>据实结算，结算不超过采购预算。</w:t>
            </w:r>
          </w:p>
          <w:p>
            <w:pPr>
              <w:pStyle w:val="null3"/>
            </w:pPr>
            <w:r>
              <w:rPr>
                <w:rFonts w:ascii="仿宋_GB2312" w:hAnsi="仿宋_GB2312" w:cs="仿宋_GB2312" w:eastAsia="仿宋_GB2312"/>
              </w:rPr>
              <w:t>2、交货期：自合同签订之日起至所有货物供货完成之日止。（货物分批次配送，批次不定，每次接到采购人通知</w:t>
            </w:r>
            <w:r>
              <w:rPr>
                <w:rFonts w:ascii="仿宋_GB2312" w:hAnsi="仿宋_GB2312" w:cs="仿宋_GB2312" w:eastAsia="仿宋_GB2312"/>
              </w:rPr>
              <w:t>5</w:t>
            </w:r>
            <w:r>
              <w:rPr>
                <w:rFonts w:ascii="仿宋_GB2312" w:hAnsi="仿宋_GB2312" w:cs="仿宋_GB2312" w:eastAsia="仿宋_GB2312"/>
              </w:rPr>
              <w:t>日内完成配送。）</w:t>
            </w:r>
          </w:p>
          <w:p>
            <w:pPr>
              <w:pStyle w:val="null3"/>
            </w:pPr>
            <w:r>
              <w:rPr>
                <w:rFonts w:ascii="仿宋_GB2312" w:hAnsi="仿宋_GB2312" w:cs="仿宋_GB2312" w:eastAsia="仿宋_GB2312"/>
              </w:rPr>
              <w:t>3、交货地点：</w:t>
            </w:r>
            <w:r>
              <w:rPr>
                <w:rFonts w:ascii="仿宋_GB2312" w:hAnsi="仿宋_GB2312" w:cs="仿宋_GB2312" w:eastAsia="仿宋_GB2312"/>
              </w:rPr>
              <w:t>实物配送按时到指定分地址，协助甲方发放慰问品</w:t>
            </w:r>
            <w:r>
              <w:rPr>
                <w:rFonts w:ascii="仿宋_GB2312" w:hAnsi="仿宋_GB2312" w:cs="仿宋_GB2312" w:eastAsia="仿宋_GB2312"/>
              </w:rPr>
              <w:t>，部分须邮寄。</w:t>
            </w:r>
          </w:p>
          <w:p>
            <w:pPr>
              <w:pStyle w:val="null3"/>
            </w:pPr>
            <w:r>
              <w:rPr>
                <w:rFonts w:ascii="仿宋_GB2312" w:hAnsi="仿宋_GB2312" w:cs="仿宋_GB2312" w:eastAsia="仿宋_GB2312"/>
              </w:rPr>
              <w:t>4、质保期：保证从交货时间起算剩余质保期≥2/3质保期。</w:t>
            </w:r>
          </w:p>
          <w:p>
            <w:pPr>
              <w:pStyle w:val="null3"/>
            </w:pPr>
            <w:r>
              <w:rPr>
                <w:rFonts w:ascii="仿宋_GB2312" w:hAnsi="仿宋_GB2312" w:cs="仿宋_GB2312" w:eastAsia="仿宋_GB2312"/>
              </w:rPr>
              <w:t>5、包装要求：独立包装，便于运输储存，外包符合国家食品包装规范。</w:t>
            </w:r>
          </w:p>
          <w:p>
            <w:pPr>
              <w:pStyle w:val="null3"/>
            </w:pPr>
            <w:r>
              <w:rPr>
                <w:rFonts w:ascii="仿宋_GB2312" w:hAnsi="仿宋_GB2312" w:cs="仿宋_GB2312" w:eastAsia="仿宋_GB2312"/>
              </w:rPr>
              <w:t>6、质量要求：严格按照《食品安全法》的规定保证质量。严禁添加剂、防腐剂和一些可能危害身体健康的元素含量超标。由于产品质量引起的一切责任由供货商承担，采购人有权终止合同。</w:t>
            </w:r>
          </w:p>
          <w:p>
            <w:pPr>
              <w:pStyle w:val="null3"/>
            </w:pPr>
            <w:r>
              <w:rPr>
                <w:rFonts w:ascii="仿宋_GB2312" w:hAnsi="仿宋_GB2312" w:cs="仿宋_GB2312" w:eastAsia="仿宋_GB2312"/>
                <w:sz w:val="21"/>
              </w:rPr>
              <w:t>7</w:t>
            </w:r>
            <w:r>
              <w:rPr>
                <w:rFonts w:ascii="仿宋_GB2312" w:hAnsi="仿宋_GB2312" w:cs="仿宋_GB2312" w:eastAsia="仿宋_GB2312"/>
                <w:sz w:val="21"/>
              </w:rPr>
              <w:t>、验收：合同签订后，乙方提供满足甲方要求的数量的货物，统一集中放在乙方仓储地，由甲方进行验收，验收合格后，进行封货。（后期根据甲方的供货需求按时进行供货）</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92"/>
              <w:gridCol w:w="476"/>
              <w:gridCol w:w="604"/>
              <w:gridCol w:w="2450"/>
            </w:tblGrid>
            <w:tr>
              <w:tc>
                <w:tcPr>
                  <w:tcW w:type="dxa" w:w="3822"/>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rFonts w:ascii="仿宋_GB2312" w:hAnsi="仿宋_GB2312" w:cs="仿宋_GB2312" w:eastAsia="仿宋_GB2312"/>
                      <w:sz w:val="20"/>
                      <w:b/>
                    </w:rPr>
                    <w:t>八一慰问品</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4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产品</w:t>
                  </w:r>
                </w:p>
              </w:tc>
              <w:tc>
                <w:tcPr>
                  <w:tcW w:type="dxa" w:w="6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规格</w:t>
                  </w:r>
                </w:p>
              </w:tc>
              <w:tc>
                <w:tcPr>
                  <w:tcW w:type="dxa" w:w="24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rFonts w:ascii="仿宋_GB2312" w:hAnsi="仿宋_GB2312" w:cs="仿宋_GB2312" w:eastAsia="仿宋_GB2312"/>
                      <w:sz w:val="20"/>
                      <w:b/>
                    </w:rPr>
                    <w:t>产品特点</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低</w:t>
                  </w:r>
                  <w:r>
                    <w:rPr>
                      <w:rFonts w:ascii="仿宋_GB2312" w:hAnsi="仿宋_GB2312" w:cs="仿宋_GB2312" w:eastAsia="仿宋_GB2312"/>
                      <w:sz w:val="20"/>
                    </w:rPr>
                    <w:t>GI</w:t>
                  </w:r>
                </w:p>
                <w:p>
                  <w:pPr>
                    <w:pStyle w:val="null3"/>
                    <w:jc w:val="center"/>
                  </w:pPr>
                  <w:r>
                    <w:rPr>
                      <w:rFonts w:ascii="仿宋_GB2312" w:hAnsi="仿宋_GB2312" w:cs="仿宋_GB2312" w:eastAsia="仿宋_GB2312"/>
                      <w:sz w:val="20"/>
                    </w:rPr>
                    <w:t>大米</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5kg</w:t>
                  </w:r>
                </w:p>
              </w:tc>
              <w:tc>
                <w:tcPr>
                  <w:tcW w:type="dxa" w:w="2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1、品种：梗米</w:t>
                  </w:r>
                  <w:r>
                    <w:br/>
                  </w:r>
                  <w:r>
                    <w:rPr>
                      <w:rFonts w:ascii="仿宋_GB2312" w:hAnsi="仿宋_GB2312" w:cs="仿宋_GB2312" w:eastAsia="仿宋_GB2312"/>
                      <w:sz w:val="20"/>
                    </w:rPr>
                    <w:t>2、保质期：≥</w:t>
                  </w:r>
                  <w:r>
                    <w:rPr>
                      <w:rFonts w:ascii="仿宋_GB2312" w:hAnsi="仿宋_GB2312" w:cs="仿宋_GB2312" w:eastAsia="仿宋_GB2312"/>
                      <w:sz w:val="20"/>
                    </w:rPr>
                    <w:t>12个月</w:t>
                  </w:r>
                  <w:r>
                    <w:br/>
                  </w:r>
                  <w:r>
                    <w:rPr>
                      <w:rFonts w:ascii="仿宋_GB2312" w:hAnsi="仿宋_GB2312" w:cs="仿宋_GB2312" w:eastAsia="仿宋_GB2312"/>
                      <w:sz w:val="20"/>
                    </w:rPr>
                    <w:t>3、产品标准号：GB/T1354</w:t>
                  </w:r>
                </w:p>
                <w:p>
                  <w:pPr>
                    <w:pStyle w:val="null3"/>
                    <w:jc w:val="left"/>
                  </w:pPr>
                  <w:r>
                    <w:rPr>
                      <w:rFonts w:ascii="仿宋_GB2312" w:hAnsi="仿宋_GB2312" w:cs="仿宋_GB2312" w:eastAsia="仿宋_GB2312"/>
                      <w:sz w:val="20"/>
                    </w:rPr>
                    <w:t>4、质量等级：一级</w:t>
                  </w:r>
                  <w:r>
                    <w:br/>
                  </w:r>
                  <w:r>
                    <w:rPr>
                      <w:rFonts w:ascii="仿宋_GB2312" w:hAnsi="仿宋_GB2312" w:cs="仿宋_GB2312" w:eastAsia="仿宋_GB2312"/>
                      <w:sz w:val="20"/>
                    </w:rPr>
                    <w:t>5、包装形式：抽真空袋装</w:t>
                  </w:r>
                  <w:r>
                    <w:br/>
                  </w:r>
                  <w:r>
                    <w:rPr>
                      <w:rFonts w:ascii="仿宋_GB2312" w:hAnsi="仿宋_GB2312" w:cs="仿宋_GB2312" w:eastAsia="仿宋_GB2312"/>
                      <w:sz w:val="20"/>
                    </w:rPr>
                    <w:t>6、GI值≤55，具备第三方认证机构认证的低GI标识</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食用油礼盒</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5.4L</w:t>
                  </w:r>
                </w:p>
              </w:tc>
              <w:tc>
                <w:tcPr>
                  <w:tcW w:type="dxa" w:w="2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
                    <w:jc w:val="left"/>
                  </w:pPr>
                  <w:r>
                    <w:rPr>
                      <w:rFonts w:ascii="仿宋_GB2312" w:hAnsi="仿宋_GB2312" w:cs="仿宋_GB2312" w:eastAsia="仿宋_GB2312"/>
                      <w:sz w:val="20"/>
                    </w:rPr>
                    <w:t>1、品类：每盒含3种食用油，</w:t>
                  </w:r>
                  <w:r>
                    <w:rPr>
                      <w:rFonts w:ascii="仿宋_GB2312" w:hAnsi="仿宋_GB2312" w:cs="仿宋_GB2312" w:eastAsia="仿宋_GB2312"/>
                      <w:sz w:val="20"/>
                    </w:rPr>
                    <w:t>包括低芥酸浓香型菜籽油（物理压榨）、零反式脂肪葵花籽油、亚麻籽油（物理冷榨）</w:t>
                  </w:r>
                  <w:r>
                    <w:rPr>
                      <w:rFonts w:ascii="仿宋_GB2312" w:hAnsi="仿宋_GB2312" w:cs="仿宋_GB2312" w:eastAsia="仿宋_GB2312"/>
                      <w:sz w:val="20"/>
                    </w:rPr>
                    <w:t>3种；</w:t>
                  </w:r>
                </w:p>
                <w:p>
                  <w:pPr>
                    <w:pStyle w:val="null3"/>
                    <w:ind w:left="15"/>
                    <w:jc w:val="left"/>
                  </w:pPr>
                  <w:r>
                    <w:rPr>
                      <w:rFonts w:ascii="仿宋_GB2312" w:hAnsi="仿宋_GB2312" w:cs="仿宋_GB2312" w:eastAsia="仿宋_GB2312"/>
                      <w:sz w:val="20"/>
                    </w:rPr>
                    <w:t>2、规格：单品类油重量≥1.8L，总重量≥5.4L；</w:t>
                  </w:r>
                </w:p>
                <w:p>
                  <w:pPr>
                    <w:pStyle w:val="null3"/>
                    <w:ind w:left="15"/>
                    <w:jc w:val="left"/>
                  </w:pPr>
                  <w:r>
                    <w:rPr>
                      <w:rFonts w:ascii="仿宋_GB2312" w:hAnsi="仿宋_GB2312" w:cs="仿宋_GB2312" w:eastAsia="仿宋_GB2312"/>
                      <w:sz w:val="20"/>
                    </w:rPr>
                    <w:t>3、质量等级：一级；</w:t>
                  </w:r>
                </w:p>
                <w:p>
                  <w:pPr>
                    <w:pStyle w:val="null3"/>
                    <w:ind w:left="15"/>
                    <w:jc w:val="left"/>
                  </w:pPr>
                  <w:r>
                    <w:rPr>
                      <w:rFonts w:ascii="仿宋_GB2312" w:hAnsi="仿宋_GB2312" w:cs="仿宋_GB2312" w:eastAsia="仿宋_GB2312"/>
                      <w:sz w:val="20"/>
                    </w:rPr>
                    <w:t>4、三种食用油组合，配手拎盒或外包装，便于统一携带</w:t>
                  </w:r>
                </w:p>
                <w:p>
                  <w:pPr>
                    <w:pStyle w:val="null3"/>
                    <w:ind w:left="15"/>
                    <w:jc w:val="left"/>
                  </w:pPr>
                  <w:r>
                    <w:rPr>
                      <w:rFonts w:ascii="仿宋_GB2312" w:hAnsi="仿宋_GB2312" w:cs="仿宋_GB2312" w:eastAsia="仿宋_GB2312"/>
                      <w:sz w:val="20"/>
                    </w:rPr>
                    <w:t>5、执行标准：</w:t>
                  </w:r>
                </w:p>
                <w:p>
                  <w:pPr>
                    <w:pStyle w:val="null3"/>
                    <w:ind w:left="15"/>
                    <w:jc w:val="left"/>
                  </w:pPr>
                  <w:r>
                    <w:rPr>
                      <w:rFonts w:ascii="仿宋_GB2312" w:hAnsi="仿宋_GB2312" w:cs="仿宋_GB2312" w:eastAsia="仿宋_GB2312"/>
                      <w:sz w:val="20"/>
                    </w:rPr>
                    <w:t>①低芥酸浓香型菜籽油；执行标准：GB/T1536，芥酸含量≤1%；</w:t>
                  </w:r>
                </w:p>
                <w:p>
                  <w:pPr>
                    <w:pStyle w:val="null3"/>
                    <w:ind w:left="15"/>
                    <w:jc w:val="left"/>
                  </w:pPr>
                  <w:r>
                    <w:rPr>
                      <w:rFonts w:ascii="仿宋_GB2312" w:hAnsi="仿宋_GB2312" w:cs="仿宋_GB2312" w:eastAsia="仿宋_GB2312"/>
                      <w:sz w:val="20"/>
                    </w:rPr>
                    <w:t>②零反式脂肪葵花籽油；执行标准：GB/T10464，不饱和脂肪酸含量≥80%；维生素E含量50mg/100g；</w:t>
                  </w:r>
                </w:p>
                <w:p>
                  <w:pPr>
                    <w:pStyle w:val="null3"/>
                    <w:ind w:left="15"/>
                    <w:jc w:val="left"/>
                  </w:pPr>
                  <w:r>
                    <w:rPr>
                      <w:rFonts w:ascii="仿宋_GB2312" w:hAnsi="仿宋_GB2312" w:cs="仿宋_GB2312" w:eastAsia="仿宋_GB2312"/>
                      <w:sz w:val="20"/>
                    </w:rPr>
                    <w:t>③亚麻籽油GB/T8235，亚麻酸含量≥52%；</w:t>
                  </w:r>
                </w:p>
                <w:p>
                  <w:pPr>
                    <w:pStyle w:val="null3"/>
                    <w:ind w:left="15"/>
                    <w:jc w:val="left"/>
                  </w:pPr>
                  <w:r>
                    <w:rPr>
                      <w:rFonts w:ascii="仿宋_GB2312" w:hAnsi="仿宋_GB2312" w:cs="仿宋_GB2312" w:eastAsia="仿宋_GB2312"/>
                      <w:sz w:val="20"/>
                    </w:rPr>
                    <w:t>6、保质期：≥18个月</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菌菇汤料包礼盒</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≥360g</w:t>
                  </w:r>
                </w:p>
              </w:tc>
              <w:tc>
                <w:tcPr>
                  <w:tcW w:type="dxa" w:w="2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1、配料品类不少于5种</w:t>
                  </w:r>
                </w:p>
                <w:p>
                  <w:pPr>
                    <w:pStyle w:val="null3"/>
                    <w:jc w:val="left"/>
                  </w:pPr>
                  <w:r>
                    <w:rPr>
                      <w:rFonts w:ascii="仿宋_GB2312" w:hAnsi="仿宋_GB2312" w:cs="仿宋_GB2312" w:eastAsia="仿宋_GB2312"/>
                      <w:sz w:val="20"/>
                    </w:rPr>
                    <w:t>2、包装：独立小包装</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保质期：</w:t>
                  </w:r>
                  <w:r>
                    <w:rPr>
                      <w:rFonts w:ascii="仿宋_GB2312" w:hAnsi="仿宋_GB2312" w:cs="仿宋_GB2312" w:eastAsia="仿宋_GB2312"/>
                      <w:sz w:val="20"/>
                    </w:rPr>
                    <w:t>≥18个月</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杂粮</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≥2400g</w:t>
                  </w:r>
                </w:p>
              </w:tc>
              <w:tc>
                <w:tcPr>
                  <w:tcW w:type="dxa" w:w="2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1、品类：包含不限于黄小米、燕麦米、黑米、荞麦米、黄大豆6种杂粮</w:t>
                  </w:r>
                </w:p>
                <w:p>
                  <w:pPr>
                    <w:pStyle w:val="null3"/>
                    <w:ind w:left="15"/>
                    <w:jc w:val="left"/>
                  </w:pPr>
                  <w:r>
                    <w:rPr>
                      <w:rFonts w:ascii="仿宋_GB2312" w:hAnsi="仿宋_GB2312" w:cs="仿宋_GB2312" w:eastAsia="仿宋_GB2312"/>
                      <w:sz w:val="20"/>
                    </w:rPr>
                    <w:t>2、非转基因</w:t>
                  </w:r>
                  <w:r>
                    <w:br/>
                  </w:r>
                  <w:r>
                    <w:rPr>
                      <w:rFonts w:ascii="仿宋_GB2312" w:hAnsi="仿宋_GB2312" w:cs="仿宋_GB2312" w:eastAsia="仿宋_GB2312"/>
                      <w:sz w:val="20"/>
                    </w:rPr>
                    <w:t>3、执行标准：GB/T 5494</w:t>
                  </w:r>
                  <w:r>
                    <w:br/>
                  </w:r>
                  <w:r>
                    <w:rPr>
                      <w:rFonts w:ascii="仿宋_GB2312" w:hAnsi="仿宋_GB2312" w:cs="仿宋_GB2312" w:eastAsia="仿宋_GB2312"/>
                      <w:sz w:val="20"/>
                    </w:rPr>
                    <w:t>4、保质期：≥12个月</w:t>
                  </w:r>
                  <w:r>
                    <w:br/>
                  </w:r>
                  <w:r>
                    <w:rPr>
                      <w:rFonts w:ascii="仿宋_GB2312" w:hAnsi="仿宋_GB2312" w:cs="仿宋_GB2312" w:eastAsia="仿宋_GB2312"/>
                      <w:sz w:val="20"/>
                    </w:rPr>
                    <w:t>5、包装：小袋箱装</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低GI，原味即食燕麦片组合</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≥720g</w:t>
                  </w:r>
                </w:p>
              </w:tc>
              <w:tc>
                <w:tcPr>
                  <w:tcW w:type="dxa" w:w="2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
                    <w:jc w:val="left"/>
                  </w:pPr>
                  <w:r>
                    <w:rPr>
                      <w:rFonts w:ascii="仿宋_GB2312" w:hAnsi="仿宋_GB2312" w:cs="仿宋_GB2312" w:eastAsia="仿宋_GB2312"/>
                      <w:sz w:val="20"/>
                    </w:rPr>
                    <w:t>1、</w:t>
                  </w:r>
                  <w:r>
                    <w:rPr>
                      <w:rFonts w:ascii="仿宋_GB2312" w:hAnsi="仿宋_GB2312" w:cs="仿宋_GB2312" w:eastAsia="仿宋_GB2312"/>
                      <w:sz w:val="20"/>
                    </w:rPr>
                    <w:t>执行标准：</w:t>
                  </w:r>
                  <w:r>
                    <w:rPr>
                      <w:rFonts w:ascii="仿宋_GB2312" w:hAnsi="仿宋_GB2312" w:cs="仿宋_GB2312" w:eastAsia="仿宋_GB2312"/>
                      <w:sz w:val="20"/>
                    </w:rPr>
                    <w:t>GB19640</w:t>
                  </w:r>
                </w:p>
                <w:p>
                  <w:pPr>
                    <w:pStyle w:val="null3"/>
                    <w:ind w:left="15"/>
                    <w:jc w:val="left"/>
                  </w:pPr>
                  <w:r>
                    <w:rPr>
                      <w:rFonts w:ascii="仿宋_GB2312" w:hAnsi="仿宋_GB2312" w:cs="仿宋_GB2312" w:eastAsia="仿宋_GB2312"/>
                      <w:sz w:val="21"/>
                    </w:rPr>
                    <w:t>2、低GI燕麦片≥360g，原味即食燕麦片≥360g</w:t>
                  </w:r>
                </w:p>
                <w:p>
                  <w:pPr>
                    <w:pStyle w:val="null3"/>
                    <w:ind w:left="15"/>
                    <w:jc w:val="left"/>
                  </w:pPr>
                  <w:r>
                    <w:rPr>
                      <w:rFonts w:ascii="仿宋_GB2312" w:hAnsi="仿宋_GB2312" w:cs="仿宋_GB2312" w:eastAsia="仿宋_GB2312"/>
                      <w:sz w:val="20"/>
                    </w:rPr>
                    <w:t>3、</w:t>
                  </w:r>
                  <w:r>
                    <w:rPr>
                      <w:rFonts w:ascii="仿宋_GB2312" w:hAnsi="仿宋_GB2312" w:cs="仿宋_GB2312" w:eastAsia="仿宋_GB2312"/>
                      <w:sz w:val="20"/>
                    </w:rPr>
                    <w:t>低</w:t>
                  </w:r>
                  <w:r>
                    <w:rPr>
                      <w:rFonts w:ascii="仿宋_GB2312" w:hAnsi="仿宋_GB2312" w:cs="仿宋_GB2312" w:eastAsia="仿宋_GB2312"/>
                      <w:sz w:val="20"/>
                    </w:rPr>
                    <w:t>GI燕麦片：GI值≤55；具备第三方认证机构认证的低GI标识</w:t>
                  </w:r>
                </w:p>
                <w:p>
                  <w:pPr>
                    <w:pStyle w:val="null3"/>
                    <w:ind w:left="15"/>
                    <w:jc w:val="left"/>
                  </w:pPr>
                  <w:r>
                    <w:rPr>
                      <w:rFonts w:ascii="仿宋_GB2312" w:hAnsi="仿宋_GB2312" w:cs="仿宋_GB2312" w:eastAsia="仿宋_GB2312"/>
                      <w:sz w:val="20"/>
                    </w:rPr>
                    <w:t>4、</w:t>
                  </w:r>
                  <w:r>
                    <w:rPr>
                      <w:rFonts w:ascii="仿宋_GB2312" w:hAnsi="仿宋_GB2312" w:cs="仿宋_GB2312" w:eastAsia="仿宋_GB2312"/>
                      <w:sz w:val="20"/>
                    </w:rPr>
                    <w:t>保质期：</w:t>
                  </w:r>
                  <w:r>
                    <w:rPr>
                      <w:rFonts w:ascii="仿宋_GB2312" w:hAnsi="仿宋_GB2312" w:cs="仿宋_GB2312" w:eastAsia="仿宋_GB2312"/>
                      <w:sz w:val="20"/>
                    </w:rPr>
                    <w:t>≥9个月</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特浓</w:t>
                  </w:r>
                </w:p>
                <w:p>
                  <w:pPr>
                    <w:pStyle w:val="null3"/>
                    <w:jc w:val="center"/>
                  </w:pPr>
                  <w:r>
                    <w:rPr>
                      <w:rFonts w:ascii="仿宋_GB2312" w:hAnsi="仿宋_GB2312" w:cs="仿宋_GB2312" w:eastAsia="仿宋_GB2312"/>
                      <w:sz w:val="20"/>
                    </w:rPr>
                    <w:t>牛乳</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≥200ml*12</w:t>
                  </w:r>
                </w:p>
              </w:tc>
              <w:tc>
                <w:tcPr>
                  <w:tcW w:type="dxa" w:w="2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
                    <w:jc w:val="left"/>
                  </w:pPr>
                  <w:r>
                    <w:rPr>
                      <w:rFonts w:ascii="仿宋_GB2312" w:hAnsi="仿宋_GB2312" w:cs="仿宋_GB2312" w:eastAsia="仿宋_GB2312"/>
                      <w:sz w:val="20"/>
                    </w:rPr>
                    <w:t>1、乳蛋白：≥3.5g/100ml</w:t>
                  </w:r>
                  <w:r>
                    <w:br/>
                  </w:r>
                  <w:r>
                    <w:rPr>
                      <w:rFonts w:ascii="仿宋_GB2312" w:hAnsi="仿宋_GB2312" w:cs="仿宋_GB2312" w:eastAsia="仿宋_GB2312"/>
                      <w:sz w:val="20"/>
                    </w:rPr>
                    <w:t>2、配料：100%生牛乳</w:t>
                  </w:r>
                  <w:r>
                    <w:br/>
                  </w:r>
                  <w:r>
                    <w:rPr>
                      <w:rFonts w:ascii="仿宋_GB2312" w:hAnsi="仿宋_GB2312" w:cs="仿宋_GB2312" w:eastAsia="仿宋_GB2312"/>
                      <w:sz w:val="20"/>
                    </w:rPr>
                    <w:t>3、执行标准：GB 25190</w:t>
                  </w:r>
                </w:p>
                <w:p>
                  <w:pPr>
                    <w:pStyle w:val="null3"/>
                    <w:jc w:val="left"/>
                  </w:pPr>
                  <w:r>
                    <w:rPr>
                      <w:rFonts w:ascii="仿宋_GB2312" w:hAnsi="仿宋_GB2312" w:cs="仿宋_GB2312" w:eastAsia="仿宋_GB2312"/>
                      <w:sz w:val="20"/>
                    </w:rPr>
                    <w:t>4、保质期：≥6个月</w:t>
                  </w:r>
                </w:p>
                <w:p>
                  <w:pPr>
                    <w:pStyle w:val="null3"/>
                    <w:ind w:left="15"/>
                    <w:jc w:val="left"/>
                  </w:pPr>
                  <w:r>
                    <w:rPr>
                      <w:rFonts w:ascii="仿宋_GB2312" w:hAnsi="仿宋_GB2312" w:cs="仿宋_GB2312" w:eastAsia="仿宋_GB2312"/>
                      <w:sz w:val="20"/>
                    </w:rPr>
                    <w:t>5、包装：灭菌包装</w:t>
                  </w:r>
                </w:p>
              </w:tc>
            </w:tr>
            <w:tr>
              <w:tc>
                <w:tcPr>
                  <w:tcW w:type="dxa" w:w="382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rFonts w:ascii="仿宋_GB2312" w:hAnsi="仿宋_GB2312" w:cs="仿宋_GB2312" w:eastAsia="仿宋_GB2312"/>
                      <w:sz w:val="20"/>
                      <w:b/>
                    </w:rPr>
                    <w:t>春节慰问品</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长粒香大米</w:t>
                  </w:r>
                </w:p>
              </w:tc>
              <w:tc>
                <w:tcPr>
                  <w:tcW w:type="dxa" w:w="6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5kg</w:t>
                  </w:r>
                </w:p>
              </w:tc>
              <w:tc>
                <w:tcPr>
                  <w:tcW w:type="dxa" w:w="24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保质期：</w:t>
                  </w:r>
                  <w:r>
                    <w:rPr>
                      <w:rFonts w:ascii="仿宋_GB2312" w:hAnsi="仿宋_GB2312" w:cs="仿宋_GB2312" w:eastAsia="仿宋_GB2312"/>
                      <w:sz w:val="20"/>
                    </w:rPr>
                    <w:t>≥12个月</w:t>
                  </w:r>
                  <w:r>
                    <w:br/>
                  </w:r>
                  <w:r>
                    <w:rPr>
                      <w:rFonts w:ascii="仿宋_GB2312" w:hAnsi="仿宋_GB2312" w:cs="仿宋_GB2312" w:eastAsia="仿宋_GB2312"/>
                      <w:sz w:val="20"/>
                    </w:rPr>
                    <w:t>2、产品标准号：GB/T1354-2018</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质量等级：一级</w:t>
                  </w:r>
                  <w:r>
                    <w:br/>
                  </w:r>
                  <w:r>
                    <w:rPr>
                      <w:rFonts w:ascii="仿宋_GB2312" w:hAnsi="仿宋_GB2312" w:cs="仿宋_GB2312" w:eastAsia="仿宋_GB2312"/>
                      <w:sz w:val="20"/>
                    </w:rPr>
                    <w:t>4、包装形式：抽真空袋装</w:t>
                  </w:r>
                  <w:r>
                    <w:br/>
                  </w:r>
                  <w:r>
                    <w:rPr>
                      <w:rFonts w:ascii="仿宋_GB2312" w:hAnsi="仿宋_GB2312" w:cs="仿宋_GB2312" w:eastAsia="仿宋_GB2312"/>
                      <w:sz w:val="20"/>
                    </w:rPr>
                    <w:t>5、非转基因，无农残</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浓香型花生油</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5L</w:t>
                  </w:r>
                </w:p>
              </w:tc>
              <w:tc>
                <w:tcPr>
                  <w:tcW w:type="dxa" w:w="2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
                    <w:jc w:val="left"/>
                  </w:pPr>
                  <w:r>
                    <w:rPr>
                      <w:rFonts w:ascii="仿宋_GB2312" w:hAnsi="仿宋_GB2312" w:cs="仿宋_GB2312" w:eastAsia="仿宋_GB2312"/>
                      <w:sz w:val="20"/>
                    </w:rPr>
                    <w:t>1、执行标准：GB/T1534</w:t>
                  </w:r>
                </w:p>
                <w:p>
                  <w:pPr>
                    <w:pStyle w:val="null3"/>
                    <w:ind w:left="15"/>
                    <w:jc w:val="left"/>
                  </w:pPr>
                  <w:r>
                    <w:rPr>
                      <w:rFonts w:ascii="仿宋_GB2312" w:hAnsi="仿宋_GB2312" w:cs="仿宋_GB2312" w:eastAsia="仿宋_GB2312"/>
                      <w:sz w:val="20"/>
                    </w:rPr>
                    <w:t>2、质量等级：一级</w:t>
                  </w:r>
                </w:p>
                <w:p>
                  <w:pPr>
                    <w:pStyle w:val="null3"/>
                    <w:ind w:left="15"/>
                    <w:jc w:val="left"/>
                  </w:pPr>
                  <w:r>
                    <w:rPr>
                      <w:rFonts w:ascii="仿宋_GB2312" w:hAnsi="仿宋_GB2312" w:cs="仿宋_GB2312" w:eastAsia="仿宋_GB2312"/>
                      <w:sz w:val="20"/>
                    </w:rPr>
                    <w:t>3</w:t>
                  </w:r>
                  <w:r>
                    <w:rPr>
                      <w:rFonts w:ascii="仿宋_GB2312" w:hAnsi="仿宋_GB2312" w:cs="仿宋_GB2312" w:eastAsia="仿宋_GB2312"/>
                      <w:sz w:val="20"/>
                    </w:rPr>
                    <w:t>、加工工艺：压榨</w:t>
                  </w:r>
                </w:p>
                <w:p>
                  <w:pPr>
                    <w:pStyle w:val="null3"/>
                    <w:jc w:val="left"/>
                  </w:pPr>
                  <w:r>
                    <w:rPr>
                      <w:rFonts w:ascii="仿宋_GB2312" w:hAnsi="仿宋_GB2312" w:cs="仿宋_GB2312" w:eastAsia="仿宋_GB2312"/>
                      <w:sz w:val="20"/>
                    </w:rPr>
                    <w:t>4、保质期：≥18个月</w:t>
                  </w:r>
                  <w:r>
                    <w:br/>
                  </w:r>
                  <w:r>
                    <w:rPr>
                      <w:rFonts w:ascii="仿宋_GB2312" w:hAnsi="仿宋_GB2312" w:cs="仿宋_GB2312" w:eastAsia="仿宋_GB2312"/>
                      <w:sz w:val="20"/>
                    </w:rPr>
                    <w:t>5、包装形式：桶装</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菌菇</w:t>
                  </w:r>
                </w:p>
                <w:p>
                  <w:pPr>
                    <w:pStyle w:val="null3"/>
                    <w:jc w:val="center"/>
                  </w:pPr>
                  <w:r>
                    <w:rPr>
                      <w:rFonts w:ascii="仿宋_GB2312" w:hAnsi="仿宋_GB2312" w:cs="仿宋_GB2312" w:eastAsia="仿宋_GB2312"/>
                      <w:sz w:val="20"/>
                    </w:rPr>
                    <w:t>礼盒</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≥480g</w:t>
                  </w:r>
                </w:p>
              </w:tc>
              <w:tc>
                <w:tcPr>
                  <w:tcW w:type="dxa" w:w="2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品类</w:t>
                  </w:r>
                  <w:r>
                    <w:rPr>
                      <w:rFonts w:ascii="仿宋_GB2312" w:hAnsi="仿宋_GB2312" w:cs="仿宋_GB2312" w:eastAsia="仿宋_GB2312"/>
                      <w:sz w:val="20"/>
                    </w:rPr>
                    <w:t>:黑木耳：不低于95g；银耳：不低于95g；真姬菇：不低于95g；红枣：不低于185g；</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杂粮</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≥2400g</w:t>
                  </w:r>
                </w:p>
              </w:tc>
              <w:tc>
                <w:tcPr>
                  <w:tcW w:type="dxa" w:w="2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1、品类：包含不限于黄小米、燕麦米、黑米、荞麦米、黄大豆6种杂粮</w:t>
                  </w:r>
                </w:p>
                <w:p>
                  <w:pPr>
                    <w:pStyle w:val="null3"/>
                    <w:ind w:left="15"/>
                    <w:jc w:val="left"/>
                  </w:pPr>
                  <w:r>
                    <w:rPr>
                      <w:rFonts w:ascii="仿宋_GB2312" w:hAnsi="仿宋_GB2312" w:cs="仿宋_GB2312" w:eastAsia="仿宋_GB2312"/>
                      <w:sz w:val="20"/>
                    </w:rPr>
                    <w:t>2、非转基因</w:t>
                  </w:r>
                  <w:r>
                    <w:br/>
                  </w:r>
                  <w:r>
                    <w:rPr>
                      <w:rFonts w:ascii="仿宋_GB2312" w:hAnsi="仿宋_GB2312" w:cs="仿宋_GB2312" w:eastAsia="仿宋_GB2312"/>
                      <w:sz w:val="20"/>
                    </w:rPr>
                    <w:t>3、执行标准：GB/T 5494</w:t>
                  </w:r>
                  <w:r>
                    <w:br/>
                  </w:r>
                  <w:r>
                    <w:rPr>
                      <w:rFonts w:ascii="仿宋_GB2312" w:hAnsi="仿宋_GB2312" w:cs="仿宋_GB2312" w:eastAsia="仿宋_GB2312"/>
                      <w:sz w:val="20"/>
                    </w:rPr>
                    <w:t>4、保质期：≥12个月</w:t>
                  </w:r>
                  <w:r>
                    <w:br/>
                  </w:r>
                  <w:r>
                    <w:rPr>
                      <w:rFonts w:ascii="仿宋_GB2312" w:hAnsi="仿宋_GB2312" w:cs="仿宋_GB2312" w:eastAsia="仿宋_GB2312"/>
                      <w:sz w:val="20"/>
                    </w:rPr>
                    <w:t>5、包装：小袋箱装</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芝麻香油礼盒</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≥400ml*2</w:t>
                  </w:r>
                </w:p>
              </w:tc>
              <w:tc>
                <w:tcPr>
                  <w:tcW w:type="dxa" w:w="2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
                    <w:jc w:val="left"/>
                  </w:pPr>
                  <w:r>
                    <w:rPr>
                      <w:rFonts w:ascii="仿宋_GB2312" w:hAnsi="仿宋_GB2312" w:cs="仿宋_GB2312" w:eastAsia="仿宋_GB2312"/>
                      <w:sz w:val="20"/>
                    </w:rPr>
                    <w:t>1、</w:t>
                  </w:r>
                  <w:r>
                    <w:rPr>
                      <w:rFonts w:ascii="仿宋_GB2312" w:hAnsi="仿宋_GB2312" w:cs="仿宋_GB2312" w:eastAsia="仿宋_GB2312"/>
                      <w:sz w:val="20"/>
                    </w:rPr>
                    <w:t>质量等级：一级</w:t>
                  </w:r>
                </w:p>
                <w:p>
                  <w:pPr>
                    <w:pStyle w:val="null3"/>
                    <w:ind w:left="15"/>
                    <w:jc w:val="left"/>
                  </w:pPr>
                  <w:r>
                    <w:rPr>
                      <w:rFonts w:ascii="仿宋_GB2312" w:hAnsi="仿宋_GB2312" w:cs="仿宋_GB2312" w:eastAsia="仿宋_GB2312"/>
                      <w:sz w:val="20"/>
                    </w:rPr>
                    <w:t>2、</w:t>
                  </w:r>
                  <w:r>
                    <w:rPr>
                      <w:rFonts w:ascii="仿宋_GB2312" w:hAnsi="仿宋_GB2312" w:cs="仿宋_GB2312" w:eastAsia="仿宋_GB2312"/>
                      <w:sz w:val="20"/>
                    </w:rPr>
                    <w:t>执行标准：</w:t>
                  </w:r>
                  <w:r>
                    <w:rPr>
                      <w:rFonts w:ascii="仿宋_GB2312" w:hAnsi="仿宋_GB2312" w:cs="仿宋_GB2312" w:eastAsia="仿宋_GB2312"/>
                      <w:sz w:val="20"/>
                    </w:rPr>
                    <w:t>GB/T 8233</w:t>
                  </w:r>
                </w:p>
                <w:p>
                  <w:pPr>
                    <w:pStyle w:val="null3"/>
                    <w:jc w:val="left"/>
                  </w:pPr>
                  <w:r>
                    <w:rPr>
                      <w:rFonts w:ascii="仿宋_GB2312" w:hAnsi="仿宋_GB2312" w:cs="仿宋_GB2312" w:eastAsia="仿宋_GB2312"/>
                      <w:sz w:val="20"/>
                    </w:rPr>
                    <w:t>3、保质期：≥540天</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工艺：石磨水代法</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坚果</w:t>
                  </w:r>
                </w:p>
                <w:p>
                  <w:pPr>
                    <w:pStyle w:val="null3"/>
                    <w:jc w:val="center"/>
                  </w:pPr>
                  <w:r>
                    <w:rPr>
                      <w:rFonts w:ascii="仿宋_GB2312" w:hAnsi="仿宋_GB2312" w:cs="仿宋_GB2312" w:eastAsia="仿宋_GB2312"/>
                      <w:sz w:val="20"/>
                    </w:rPr>
                    <w:t>礼盒</w:t>
                  </w:r>
                </w:p>
              </w:tc>
              <w:tc>
                <w:tcPr>
                  <w:tcW w:type="dxa" w:w="6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≥1100g</w:t>
                  </w:r>
                </w:p>
              </w:tc>
              <w:tc>
                <w:tcPr>
                  <w:tcW w:type="dxa" w:w="2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
                    <w:jc w:val="left"/>
                  </w:pPr>
                  <w:r>
                    <w:rPr>
                      <w:rFonts w:ascii="仿宋_GB2312" w:hAnsi="仿宋_GB2312" w:cs="仿宋_GB2312" w:eastAsia="仿宋_GB2312"/>
                      <w:sz w:val="20"/>
                    </w:rPr>
                    <w:t>1、</w:t>
                  </w:r>
                  <w:r>
                    <w:rPr>
                      <w:rFonts w:ascii="仿宋_GB2312" w:hAnsi="仿宋_GB2312" w:cs="仿宋_GB2312" w:eastAsia="仿宋_GB2312"/>
                      <w:sz w:val="20"/>
                    </w:rPr>
                    <w:t>内配品类（少于</w:t>
                  </w:r>
                  <w:r>
                    <w:rPr>
                      <w:rFonts w:ascii="仿宋_GB2312" w:hAnsi="仿宋_GB2312" w:cs="仿宋_GB2312" w:eastAsia="仿宋_GB2312"/>
                      <w:sz w:val="20"/>
                    </w:rPr>
                    <w:t>5种坚果内配）：必须含有开心果，巴旦木，碧根果，腰果，夏威夷果坚果类，其余品类不限</w:t>
                  </w:r>
                </w:p>
                <w:p>
                  <w:pPr>
                    <w:pStyle w:val="null3"/>
                    <w:ind w:left="15"/>
                    <w:jc w:val="left"/>
                  </w:pPr>
                  <w:r>
                    <w:rPr>
                      <w:rFonts w:ascii="仿宋_GB2312" w:hAnsi="仿宋_GB2312" w:cs="仿宋_GB2312" w:eastAsia="仿宋_GB2312"/>
                      <w:sz w:val="20"/>
                    </w:rPr>
                    <w:t>2、</w:t>
                  </w:r>
                  <w:r>
                    <w:rPr>
                      <w:rFonts w:ascii="仿宋_GB2312" w:hAnsi="仿宋_GB2312" w:cs="仿宋_GB2312" w:eastAsia="仿宋_GB2312"/>
                      <w:sz w:val="20"/>
                    </w:rPr>
                    <w:t>二氧化硫含量：未检出</w:t>
                  </w:r>
                </w:p>
                <w:p>
                  <w:pPr>
                    <w:pStyle w:val="null3"/>
                    <w:ind w:left="15"/>
                    <w:jc w:val="left"/>
                  </w:pPr>
                  <w:r>
                    <w:rPr>
                      <w:rFonts w:ascii="仿宋_GB2312" w:hAnsi="仿宋_GB2312" w:cs="仿宋_GB2312" w:eastAsia="仿宋_GB2312"/>
                      <w:sz w:val="20"/>
                    </w:rPr>
                    <w:t>3、</w:t>
                  </w:r>
                  <w:r>
                    <w:rPr>
                      <w:rFonts w:ascii="仿宋_GB2312" w:hAnsi="仿宋_GB2312" w:cs="仿宋_GB2312" w:eastAsia="仿宋_GB2312"/>
                      <w:sz w:val="20"/>
                    </w:rPr>
                    <w:t>山梨酸钾：未检出</w:t>
                  </w:r>
                </w:p>
                <w:p>
                  <w:pPr>
                    <w:pStyle w:val="null3"/>
                    <w:ind w:left="15"/>
                    <w:jc w:val="left"/>
                  </w:pPr>
                  <w:r>
                    <w:rPr>
                      <w:rFonts w:ascii="仿宋_GB2312" w:hAnsi="仿宋_GB2312" w:cs="仿宋_GB2312" w:eastAsia="仿宋_GB2312"/>
                      <w:sz w:val="20"/>
                    </w:rPr>
                    <w:t>4、</w:t>
                  </w:r>
                  <w:r>
                    <w:rPr>
                      <w:rFonts w:ascii="仿宋_GB2312" w:hAnsi="仿宋_GB2312" w:cs="仿宋_GB2312" w:eastAsia="仿宋_GB2312"/>
                      <w:sz w:val="20"/>
                    </w:rPr>
                    <w:t>执行标准：</w:t>
                  </w:r>
                  <w:r>
                    <w:rPr>
                      <w:rFonts w:ascii="仿宋_GB2312" w:hAnsi="仿宋_GB2312" w:cs="仿宋_GB2312" w:eastAsia="仿宋_GB2312"/>
                      <w:sz w:val="20"/>
                    </w:rPr>
                    <w:t>GB 19300-2014</w:t>
                  </w:r>
                </w:p>
                <w:p>
                  <w:pPr>
                    <w:pStyle w:val="null3"/>
                    <w:jc w:val="left"/>
                  </w:pPr>
                  <w:r>
                    <w:rPr>
                      <w:rFonts w:ascii="仿宋_GB2312" w:hAnsi="仿宋_GB2312" w:cs="仿宋_GB2312" w:eastAsia="仿宋_GB2312"/>
                      <w:sz w:val="20"/>
                    </w:rPr>
                    <w:t>5、保质期：≥8个月</w:t>
                  </w:r>
                </w:p>
              </w:tc>
            </w:tr>
          </w:tbl>
          <w:p>
            <w:pPr>
              <w:pStyle w:val="null3"/>
            </w:pPr>
            <w:r>
              <w:rPr>
                <w:rFonts w:ascii="仿宋_GB2312" w:hAnsi="仿宋_GB2312" w:cs="仿宋_GB2312" w:eastAsia="仿宋_GB2312"/>
                <w:sz w:val="21"/>
                <w:b/>
              </w:rPr>
              <w:t>★</w:t>
            </w:r>
            <w:r>
              <w:rPr>
                <w:rFonts w:ascii="仿宋_GB2312" w:hAnsi="仿宋_GB2312" w:cs="仿宋_GB2312" w:eastAsia="仿宋_GB2312"/>
                <w:sz w:val="21"/>
                <w:b/>
              </w:rPr>
              <w:t>上表中执行标准均按照现行最新标准执行</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w:t>
            </w:r>
            <w:r>
              <w:rPr>
                <w:rFonts w:ascii="仿宋_GB2312" w:hAnsi="仿宋_GB2312" w:cs="仿宋_GB2312" w:eastAsia="仿宋_GB2312"/>
              </w:rPr>
              <w:t>1）提供拟投每种产品样品各一份参与评审；规格与采购文件要求相一致。</w:t>
            </w:r>
          </w:p>
          <w:p>
            <w:pPr>
              <w:pStyle w:val="null3"/>
            </w:pPr>
            <w:r>
              <w:rPr>
                <w:rFonts w:ascii="仿宋_GB2312" w:hAnsi="仿宋_GB2312" w:cs="仿宋_GB2312" w:eastAsia="仿宋_GB2312"/>
              </w:rPr>
              <w:t>（</w:t>
            </w:r>
            <w:r>
              <w:rPr>
                <w:rFonts w:ascii="仿宋_GB2312" w:hAnsi="仿宋_GB2312" w:cs="仿宋_GB2312" w:eastAsia="仿宋_GB2312"/>
              </w:rPr>
              <w:t>2）样品提交的相关事宜：</w:t>
            </w:r>
          </w:p>
          <w:p>
            <w:pPr>
              <w:pStyle w:val="null3"/>
              <w:ind w:firstLine="400"/>
            </w:pPr>
            <w:r>
              <w:rPr>
                <w:rFonts w:ascii="仿宋_GB2312" w:hAnsi="仿宋_GB2312" w:cs="仿宋_GB2312" w:eastAsia="仿宋_GB2312"/>
              </w:rPr>
              <w:t>①所提供样品需要密封，在密封包装上注明项目名称、项目编号、供应商名称等内容，并加盖单位公章。</w:t>
            </w:r>
          </w:p>
          <w:p>
            <w:pPr>
              <w:pStyle w:val="null3"/>
              <w:ind w:firstLine="400"/>
            </w:pPr>
            <w:r>
              <w:rPr>
                <w:rFonts w:ascii="仿宋_GB2312" w:hAnsi="仿宋_GB2312" w:cs="仿宋_GB2312" w:eastAsia="仿宋_GB2312"/>
              </w:rPr>
              <w:t>②采购人及评审小组不对样品进行封装且不支付所拆验样品的费用。</w:t>
            </w:r>
          </w:p>
          <w:p>
            <w:pPr>
              <w:pStyle w:val="null3"/>
              <w:ind w:firstLine="400"/>
            </w:pPr>
            <w:r>
              <w:rPr>
                <w:rFonts w:ascii="仿宋_GB2312" w:hAnsi="仿宋_GB2312" w:cs="仿宋_GB2312" w:eastAsia="仿宋_GB2312"/>
              </w:rPr>
              <w:t>③包装上印制的图案、品名、产地、净含量等符合国家食品包装规范。</w:t>
            </w:r>
          </w:p>
          <w:p>
            <w:pPr>
              <w:pStyle w:val="null3"/>
              <w:ind w:firstLine="400"/>
            </w:pPr>
            <w:r>
              <w:rPr>
                <w:rFonts w:ascii="仿宋_GB2312" w:hAnsi="仿宋_GB2312" w:cs="仿宋_GB2312" w:eastAsia="仿宋_GB2312"/>
              </w:rPr>
              <w:t>④投标产品需打开后进行评审，无偿供评标专家鉴别商品质量，已启封（食品类）投标商品样品不退，如未中标供应商要求退还自家样品，在中标结果公示后3个工作日内到代理公司进行领取，中标供应商样品作为验收依据由采购人进行保管。</w:t>
            </w:r>
          </w:p>
          <w:p>
            <w:pPr>
              <w:pStyle w:val="null3"/>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全套</w:t>
            </w:r>
            <w:r>
              <w:rPr>
                <w:rFonts w:ascii="仿宋_GB2312" w:hAnsi="仿宋_GB2312" w:cs="仿宋_GB2312" w:eastAsia="仿宋_GB2312"/>
                <w:sz w:val="21"/>
              </w:rPr>
              <w:t>样品于</w:t>
            </w:r>
            <w:r>
              <w:rPr>
                <w:rFonts w:ascii="仿宋_GB2312" w:hAnsi="仿宋_GB2312" w:cs="仿宋_GB2312" w:eastAsia="仿宋_GB2312"/>
                <w:sz w:val="21"/>
              </w:rPr>
              <w:t>响应</w:t>
            </w:r>
            <w:r>
              <w:rPr>
                <w:rFonts w:ascii="仿宋_GB2312" w:hAnsi="仿宋_GB2312" w:cs="仿宋_GB2312" w:eastAsia="仿宋_GB2312"/>
                <w:sz w:val="21"/>
              </w:rPr>
              <w:t>文件递交截止时间前送至陕西慧科工程管理咨询有限公司。</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自合同签订之日起至所有货物供货完成之日止。（货物分批次配送，批次不定，每次接到采购人通知5日内完成配送。）</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实物配送按时到指定分地址，协助甲方发放慰问品，部分须邮寄。</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2026年八一慰问品供货结束，经甲方验收合格后，根据实际需求数量，按照成交单价据实结算已供货款；2027年春节慰问品供货结束，经甲方验收合格后，根据实际需求数量，按照成交单价，据实进行结算已供货款，最终结算额不超过采购预算。乙方须开具足额发票给甲方，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详见采购文件及拟签订的合同文本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详见采购文件及拟签订的合同文本</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详见采购文件及拟签订的合同文本</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1.适用于本供应商须知的额外增加的变动： 1.1所有供应商线上上传加密电子版资料，作为评审核心依据，缺一不可： 1.2完整、可溯源质检报告 对应慰问品全套单品第三方检测报告（带CMA资质），报告参数必须与谈判文件量化指标完全匹配，报告出具时间不超过12个月； 1.3在评标过程中，凡遇到竞争性谈判文件中无界定或界定不清、前后不一致，使评委会意见有分歧且又难以协调一致的问题，均由评委会予以表决，获半数以上同意的即为通过，否则即为否决。 2.成交通知书发出后，成交供应商须向采购人提交响应文件纸质版一正一副（纸质版响应文件与电子版响应文件保持一致）。 3.本项目最高限价（八一慰问品单价+春节慰问单价限价）为1000元/人。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供应商为合法注册的法人、其他组织或自然人，提供营业执照等证明文件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供应商2025年度经审计的财务报告或响应截止时间前三个月内其基本开户银行出具的资信证明及账户开户许可证明材料或财政部门认可的政府采购专业担保机构开具的投标担保函（任选其一）</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提供响应文件递交截止日前一年内已缴存的至少一个月的纳税证明或完税证明。依法免税的供应商应提供相关文件证明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专业技术能力的声明</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许可证明</w:t>
            </w:r>
          </w:p>
        </w:tc>
        <w:tc>
          <w:tcPr>
            <w:tcW w:type="dxa" w:w="3322"/>
          </w:tcPr>
          <w:p>
            <w:pPr>
              <w:pStyle w:val="null3"/>
            </w:pPr>
            <w:r>
              <w:rPr>
                <w:rFonts w:ascii="仿宋_GB2312" w:hAnsi="仿宋_GB2312" w:cs="仿宋_GB2312" w:eastAsia="仿宋_GB2312"/>
              </w:rPr>
              <w:t>供应商为生产厂家的须提供《食品生产许可证》；代理商须提供本单位《食品经营许可证》或《预包装食品经营者备案表》。</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供应商信用</w:t>
            </w:r>
          </w:p>
        </w:tc>
        <w:tc>
          <w:tcPr>
            <w:tcW w:type="dxa" w:w="3322"/>
          </w:tcPr>
          <w:p>
            <w:pPr>
              <w:pStyle w:val="null3"/>
            </w:pPr>
            <w:r>
              <w:rPr>
                <w:rFonts w:ascii="仿宋_GB2312" w:hAnsi="仿宋_GB2312" w:cs="仿宋_GB2312" w:eastAsia="仿宋_GB2312"/>
              </w:rPr>
              <w:t>不得为“信用中国”网站(http://www.creditchina.gov.cn)列入“失信被执行人、重大税收违法失信主体”的供应商；不得为中国政府采购网(http://www.ccgp.gov.cn)“政府采购严重违法失信行为记录名单”中的供应商。（以代理机构开标当天查询结果为准）</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关联关系说明</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单位负责人为同一人或者存在直接控股、管理关系的不同供应商，不得参加同一合同项下的采购活动</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法定代表人或单位负责人参与谈判的，应提供法定代表人或单位负责人身份证明；授权代表参与谈判的，应提供法定代表人或单位负责人身份证明、授权委托书及授权代表在本单位缴纳养老保险证明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本项目不接受联合体谈判</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同时满足以下条款： （1）货币单位符合谈判文件要求（2）报价符合唯一性要求 （3）未超出采购预算或最高限价</w:t>
            </w:r>
          </w:p>
        </w:tc>
        <w:tc>
          <w:tcPr>
            <w:tcW w:type="dxa" w:w="1661"/>
          </w:tcPr>
          <w:p>
            <w:pPr>
              <w:pStyle w:val="null3"/>
            </w:pPr>
            <w:r>
              <w:rPr>
                <w:rFonts w:ascii="仿宋_GB2312" w:hAnsi="仿宋_GB2312" w:cs="仿宋_GB2312" w:eastAsia="仿宋_GB2312"/>
              </w:rPr>
              <w:t>响应文件封面 产品技术参数表 分项报价表（首次）.docx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交货期、交货地点、质保期</w:t>
            </w:r>
          </w:p>
        </w:tc>
        <w:tc>
          <w:tcPr>
            <w:tcW w:type="dxa" w:w="3322"/>
          </w:tcPr>
          <w:p>
            <w:pPr>
              <w:pStyle w:val="null3"/>
            </w:pPr>
            <w:r>
              <w:rPr>
                <w:rFonts w:ascii="仿宋_GB2312" w:hAnsi="仿宋_GB2312" w:cs="仿宋_GB2312" w:eastAsia="仿宋_GB2312"/>
              </w:rPr>
              <w:t>满足谈判文件的要求</w:t>
            </w:r>
          </w:p>
        </w:tc>
        <w:tc>
          <w:tcPr>
            <w:tcW w:type="dxa" w:w="1661"/>
          </w:tcPr>
          <w:p>
            <w:pPr>
              <w:pStyle w:val="null3"/>
            </w:pPr>
            <w:r>
              <w:rPr>
                <w:rFonts w:ascii="仿宋_GB2312" w:hAnsi="仿宋_GB2312" w:cs="仿宋_GB2312" w:eastAsia="仿宋_GB2312"/>
              </w:rPr>
              <w:t>响应文件封面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样品</w:t>
            </w:r>
          </w:p>
        </w:tc>
        <w:tc>
          <w:tcPr>
            <w:tcW w:type="dxa" w:w="3322"/>
          </w:tcPr>
          <w:p>
            <w:pPr>
              <w:pStyle w:val="null3"/>
            </w:pPr>
            <w:r>
              <w:rPr>
                <w:rFonts w:ascii="仿宋_GB2312" w:hAnsi="仿宋_GB2312" w:cs="仿宋_GB2312" w:eastAsia="仿宋_GB2312"/>
              </w:rPr>
              <w:t>在响应文件递交截止时间前按竞争性谈判文件要求提供样品，且样品须满足竞争性谈判文件技术要求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其他无效投标的情形</w:t>
            </w:r>
          </w:p>
        </w:tc>
        <w:tc>
          <w:tcPr>
            <w:tcW w:type="dxa" w:w="3322"/>
          </w:tcPr>
          <w:p>
            <w:pPr>
              <w:pStyle w:val="null3"/>
            </w:pPr>
            <w:r>
              <w:rPr>
                <w:rFonts w:ascii="仿宋_GB2312" w:hAnsi="仿宋_GB2312" w:cs="仿宋_GB2312" w:eastAsia="仿宋_GB2312"/>
              </w:rPr>
              <w:t>没有出现法律法规或谈判文件明确规定的其他 被视为“无效投标” 的情形及未实质性响应招标 文件的情况</w:t>
            </w:r>
          </w:p>
        </w:tc>
        <w:tc>
          <w:tcPr>
            <w:tcW w:type="dxa" w:w="1661"/>
          </w:tcPr>
          <w:p>
            <w:pPr>
              <w:pStyle w:val="null3"/>
            </w:pPr>
            <w:r>
              <w:rPr>
                <w:rFonts w:ascii="仿宋_GB2312" w:hAnsi="仿宋_GB2312" w:cs="仿宋_GB2312" w:eastAsia="仿宋_GB2312"/>
              </w:rPr>
              <w:t>本国产品说明.docx 分项报价表（首次）.docx 中小企业声明函 商务应答表 中国境内生产的组件成本核算基本规则.docx 响应文件封面 产品技术参数表 供应商应提交的相关资格证明材料.docx 残疾人福利性单位声明函 供货方案.docx 标的清单 关于符合本国产品标准的声明函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本国产品说明.docx 关于符合本国产品标准的声明函 中国境内生产的组件成本核算基本规则.docx</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详见附件：供货方案.docx</w:t>
      </w:r>
    </w:p>
    <w:p>
      <w:pPr>
        <w:pStyle w:val="null3"/>
        <w:ind w:firstLine="960"/>
      </w:pPr>
      <w:r>
        <w:rPr>
          <w:rFonts w:ascii="仿宋_GB2312" w:hAnsi="仿宋_GB2312" w:cs="仿宋_GB2312" w:eastAsia="仿宋_GB2312"/>
        </w:rPr>
        <w:t>详见附件：分项报价表（首次）.docx</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详见附件：本国产品说明.docx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