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版本号：LHZBZC2026046W20260519001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金花校区西九楼学生宿舍项目考古勘探清表工程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LHZBZC2026046W</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金花校区西九楼学生宿舍项目考古勘探清表工程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LHZBZC2026046W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金花校区西九楼学生宿舍项目考古勘探清表工程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理工大学西安理工大学金花校区西九楼学生宿舍项目考古勘探清表工程项目，金花校区西九楼学生宿舍项目建筑面积：29100㎡，北楼地上12层，南楼地上5层，地下1层，其中地上建筑面积22600㎡，地下建筑面积6500㎡，人防区域面积为2700㎡；房间数：586间；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采购包1（金花校区西九楼学生宿舍项目考古勘探清表工程）：属于专门面向中小企业采购。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响应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11、资质证书：供应商须具备建设行政主管部门核发的建筑工程施工总承包三级以上（含三级）资质，具有有效的安全生产许可证。</w:t>
      </w:r>
    </w:p>
    <w:p>
      <w:pPr>
        <w:pStyle w:val="null3"/>
      </w:pPr>
      <w:r>
        <w:rPr>
          <w:rFonts w:ascii="仿宋_GB2312" w:hAnsi="仿宋_GB2312" w:cs="仿宋_GB2312" w:eastAsia="仿宋_GB2312"/>
        </w:rPr>
        <w:t>12、项目经理：拟派项目经理须具有建筑工程专业二级及以上注册建造师执业资格，并具有合法有效的安全生产考核合格证（建安B证），须在本单位注册，无不良信用记录，无在建工程（提供无不良信用记录、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开户银行：招商银行股份有限公司西安南大街支行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80万以下项目招标代理服务费：5000.00元，80-400万项目招标代理服务费调整比例：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踏勘时间：2026-05-29 09:00:00</w:t>
            </w:r>
          </w:p>
          <w:p>
            <w:pPr>
              <w:pStyle w:val="null3"/>
              <w:ind w:firstLine="975"/>
            </w:pPr>
            <w:r>
              <w:rPr>
                <w:rFonts w:ascii="仿宋_GB2312" w:hAnsi="仿宋_GB2312" w:cs="仿宋_GB2312" w:eastAsia="仿宋_GB2312"/>
              </w:rPr>
              <w:t>踏勘地点：西安理工大学金花校区东门</w:t>
            </w:r>
          </w:p>
          <w:p>
            <w:pPr>
              <w:pStyle w:val="null3"/>
              <w:ind w:firstLine="975"/>
            </w:pPr>
            <w:r>
              <w:rPr>
                <w:rFonts w:ascii="仿宋_GB2312" w:hAnsi="仿宋_GB2312" w:cs="仿宋_GB2312" w:eastAsia="仿宋_GB2312"/>
              </w:rPr>
              <w:t>联系人：高禧、吴元帅</w:t>
            </w:r>
          </w:p>
          <w:p>
            <w:pPr>
              <w:pStyle w:val="null3"/>
              <w:ind w:firstLine="975"/>
            </w:pPr>
            <w:r>
              <w:rPr>
                <w:rFonts w:ascii="仿宋_GB2312" w:hAnsi="仿宋_GB2312" w:cs="仿宋_GB2312" w:eastAsia="仿宋_GB2312"/>
              </w:rPr>
              <w:t>联系电话号码：18292852700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联系人：高禧、吴元帅</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金花校区西九楼学生宿舍项目考古勘探清表工程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标的名称：金花校区西九楼学生宿舍项目考古勘探清表工程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工程概况：</w:t>
            </w:r>
            <w:r>
              <w:rPr>
                <w:rFonts w:ascii="仿宋_GB2312" w:hAnsi="仿宋_GB2312" w:cs="仿宋_GB2312" w:eastAsia="仿宋_GB2312"/>
                <w:sz w:val="24"/>
              </w:rPr>
              <w:t>金花校区西九楼学生宿舍项目</w:t>
            </w:r>
            <w:r>
              <w:rPr>
                <w:rFonts w:ascii="仿宋_GB2312" w:hAnsi="仿宋_GB2312" w:cs="仿宋_GB2312" w:eastAsia="仿宋_GB2312"/>
                <w:sz w:val="24"/>
              </w:rPr>
              <w:t>建筑面积：</w:t>
            </w:r>
            <w:r>
              <w:rPr>
                <w:rFonts w:ascii="仿宋_GB2312" w:hAnsi="仿宋_GB2312" w:cs="仿宋_GB2312" w:eastAsia="仿宋_GB2312"/>
                <w:sz w:val="24"/>
              </w:rPr>
              <w:t>29100</w:t>
            </w:r>
            <w:r>
              <w:rPr>
                <w:rFonts w:ascii="仿宋_GB2312" w:hAnsi="仿宋_GB2312" w:cs="仿宋_GB2312" w:eastAsia="仿宋_GB2312"/>
                <w:sz w:val="24"/>
              </w:rPr>
              <w:t>㎡，</w:t>
            </w:r>
            <w:r>
              <w:rPr>
                <w:rFonts w:ascii="仿宋_GB2312" w:hAnsi="仿宋_GB2312" w:cs="仿宋_GB2312" w:eastAsia="仿宋_GB2312"/>
                <w:sz w:val="24"/>
              </w:rPr>
              <w:t>北楼</w:t>
            </w:r>
            <w:r>
              <w:rPr>
                <w:rFonts w:ascii="仿宋_GB2312" w:hAnsi="仿宋_GB2312" w:cs="仿宋_GB2312" w:eastAsia="仿宋_GB2312"/>
                <w:sz w:val="24"/>
              </w:rPr>
              <w:t>地上</w:t>
            </w:r>
            <w:r>
              <w:rPr>
                <w:rFonts w:ascii="仿宋_GB2312" w:hAnsi="仿宋_GB2312" w:cs="仿宋_GB2312" w:eastAsia="仿宋_GB2312"/>
                <w:sz w:val="24"/>
              </w:rPr>
              <w:t>12层，</w:t>
            </w:r>
            <w:r>
              <w:rPr>
                <w:rFonts w:ascii="仿宋_GB2312" w:hAnsi="仿宋_GB2312" w:cs="仿宋_GB2312" w:eastAsia="仿宋_GB2312"/>
                <w:sz w:val="24"/>
              </w:rPr>
              <w:t>南楼地上</w:t>
            </w:r>
            <w:r>
              <w:rPr>
                <w:rFonts w:ascii="仿宋_GB2312" w:hAnsi="仿宋_GB2312" w:cs="仿宋_GB2312" w:eastAsia="仿宋_GB2312"/>
                <w:sz w:val="24"/>
              </w:rPr>
              <w:t>5层，</w:t>
            </w:r>
            <w:r>
              <w:rPr>
                <w:rFonts w:ascii="仿宋_GB2312" w:hAnsi="仿宋_GB2312" w:cs="仿宋_GB2312" w:eastAsia="仿宋_GB2312"/>
                <w:sz w:val="24"/>
              </w:rPr>
              <w:t>地下</w:t>
            </w:r>
            <w:r>
              <w:rPr>
                <w:rFonts w:ascii="仿宋_GB2312" w:hAnsi="仿宋_GB2312" w:cs="仿宋_GB2312" w:eastAsia="仿宋_GB2312"/>
                <w:sz w:val="24"/>
              </w:rPr>
              <w:t>1层，</w:t>
            </w:r>
            <w:r>
              <w:rPr>
                <w:rFonts w:ascii="仿宋_GB2312" w:hAnsi="仿宋_GB2312" w:cs="仿宋_GB2312" w:eastAsia="仿宋_GB2312"/>
                <w:sz w:val="24"/>
              </w:rPr>
              <w:t>其中地上建筑面积</w:t>
            </w:r>
            <w:r>
              <w:rPr>
                <w:rFonts w:ascii="仿宋_GB2312" w:hAnsi="仿宋_GB2312" w:cs="仿宋_GB2312" w:eastAsia="仿宋_GB2312"/>
                <w:sz w:val="24"/>
              </w:rPr>
              <w:t>22600</w:t>
            </w:r>
            <w:r>
              <w:rPr>
                <w:rFonts w:ascii="仿宋_GB2312" w:hAnsi="仿宋_GB2312" w:cs="仿宋_GB2312" w:eastAsia="仿宋_GB2312"/>
                <w:sz w:val="24"/>
              </w:rPr>
              <w:t>㎡</w:t>
            </w:r>
            <w:r>
              <w:rPr>
                <w:rFonts w:ascii="仿宋_GB2312" w:hAnsi="仿宋_GB2312" w:cs="仿宋_GB2312" w:eastAsia="仿宋_GB2312"/>
                <w:sz w:val="24"/>
              </w:rPr>
              <w:t>，地下建筑面积</w:t>
            </w:r>
            <w:r>
              <w:rPr>
                <w:rFonts w:ascii="仿宋_GB2312" w:hAnsi="仿宋_GB2312" w:cs="仿宋_GB2312" w:eastAsia="仿宋_GB2312"/>
                <w:sz w:val="24"/>
              </w:rPr>
              <w:t>6500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人防区域面积为</w:t>
            </w:r>
            <w:r>
              <w:rPr>
                <w:rFonts w:ascii="仿宋_GB2312" w:hAnsi="仿宋_GB2312" w:cs="仿宋_GB2312" w:eastAsia="仿宋_GB2312"/>
                <w:sz w:val="24"/>
              </w:rPr>
              <w:t>2700㎡；</w:t>
            </w:r>
            <w:r>
              <w:rPr>
                <w:rFonts w:ascii="仿宋_GB2312" w:hAnsi="仿宋_GB2312" w:cs="仿宋_GB2312" w:eastAsia="仿宋_GB2312"/>
                <w:sz w:val="24"/>
              </w:rPr>
              <w:t>房间数：</w:t>
            </w:r>
            <w:r>
              <w:rPr>
                <w:rFonts w:ascii="仿宋_GB2312" w:hAnsi="仿宋_GB2312" w:cs="仿宋_GB2312" w:eastAsia="仿宋_GB2312"/>
                <w:sz w:val="24"/>
              </w:rPr>
              <w:t>586</w:t>
            </w:r>
            <w:r>
              <w:rPr>
                <w:rFonts w:ascii="仿宋_GB2312" w:hAnsi="仿宋_GB2312" w:cs="仿宋_GB2312" w:eastAsia="仿宋_GB2312"/>
                <w:sz w:val="24"/>
              </w:rPr>
              <w:t>间。</w:t>
            </w:r>
          </w:p>
          <w:p>
            <w:pPr>
              <w:pStyle w:val="null3"/>
              <w:jc w:val="both"/>
            </w:pPr>
            <w:r>
              <w:rPr>
                <w:rFonts w:ascii="仿宋_GB2312" w:hAnsi="仿宋_GB2312" w:cs="仿宋_GB2312" w:eastAsia="仿宋_GB2312"/>
                <w:sz w:val="24"/>
                <w:b/>
              </w:rPr>
              <w:t>二、采购</w:t>
            </w:r>
            <w:r>
              <w:rPr>
                <w:rFonts w:ascii="仿宋_GB2312" w:hAnsi="仿宋_GB2312" w:cs="仿宋_GB2312" w:eastAsia="仿宋_GB2312"/>
                <w:sz w:val="24"/>
                <w:b/>
              </w:rPr>
              <w:t>内容：</w:t>
            </w:r>
          </w:p>
          <w:p>
            <w:pPr>
              <w:pStyle w:val="null3"/>
              <w:ind w:firstLine="48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、本工程为项目</w:t>
            </w:r>
            <w:r>
              <w:rPr>
                <w:rFonts w:ascii="仿宋_GB2312" w:hAnsi="仿宋_GB2312" w:cs="仿宋_GB2312" w:eastAsia="仿宋_GB2312"/>
                <w:sz w:val="24"/>
                <w:shd w:fill="FFFFFF" w:val="clear"/>
              </w:rPr>
              <w:t>考古勘探清表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采购</w:t>
            </w:r>
            <w:r>
              <w:rPr>
                <w:rFonts w:ascii="仿宋_GB2312" w:hAnsi="仿宋_GB2312" w:cs="仿宋_GB2312" w:eastAsia="仿宋_GB2312"/>
                <w:sz w:val="24"/>
                <w:shd w:fill="FFFFFF" w:val="clear"/>
              </w:rPr>
              <w:t>范围为场地内的</w:t>
            </w:r>
            <w:r>
              <w:rPr>
                <w:rFonts w:ascii="仿宋_GB2312" w:hAnsi="仿宋_GB2312" w:cs="仿宋_GB2312" w:eastAsia="仿宋_GB2312"/>
                <w:sz w:val="24"/>
                <w:shd w:fill="FFFFFF" w:val="clear"/>
              </w:rPr>
              <w:t>网球场</w:t>
            </w:r>
            <w:r>
              <w:rPr>
                <w:rFonts w:ascii="仿宋_GB2312" w:hAnsi="仿宋_GB2312" w:cs="仿宋_GB2312" w:eastAsia="仿宋_GB2312"/>
                <w:sz w:val="24"/>
                <w:shd w:fill="FFFFFF" w:val="clear"/>
              </w:rPr>
              <w:t>、排球场及停车场面层破除</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渣土、杂土及素填土外运</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清表</w:t>
            </w:r>
            <w:r>
              <w:rPr>
                <w:rFonts w:ascii="仿宋_GB2312" w:hAnsi="仿宋_GB2312" w:cs="仿宋_GB2312" w:eastAsia="仿宋_GB2312"/>
                <w:sz w:val="24"/>
                <w:shd w:fill="FFFFFF" w:val="clear"/>
              </w:rPr>
              <w:t>至</w:t>
            </w:r>
            <w:r>
              <w:rPr>
                <w:rFonts w:ascii="仿宋_GB2312" w:hAnsi="仿宋_GB2312" w:cs="仿宋_GB2312" w:eastAsia="仿宋_GB2312"/>
                <w:sz w:val="24"/>
                <w:shd w:fill="FFFFFF" w:val="clear"/>
              </w:rPr>
              <w:t>考古勘探</w:t>
            </w:r>
            <w:r>
              <w:rPr>
                <w:rFonts w:ascii="仿宋_GB2312" w:hAnsi="仿宋_GB2312" w:cs="仿宋_GB2312" w:eastAsia="仿宋_GB2312"/>
                <w:sz w:val="24"/>
                <w:shd w:fill="FFFFFF" w:val="clear"/>
              </w:rPr>
              <w:t>指定高程。</w:t>
            </w:r>
          </w:p>
          <w:p>
            <w:pPr>
              <w:pStyle w:val="null3"/>
              <w:ind w:firstLine="480"/>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本项目</w:t>
            </w:r>
            <w:r>
              <w:rPr>
                <w:rFonts w:ascii="仿宋_GB2312" w:hAnsi="仿宋_GB2312" w:cs="仿宋_GB2312" w:eastAsia="仿宋_GB2312"/>
                <w:sz w:val="24"/>
                <w:shd w:fill="FFFFFF" w:val="clear"/>
              </w:rPr>
              <w:t>工程量：</w:t>
            </w:r>
            <w:r>
              <w:rPr>
                <w:rFonts w:ascii="仿宋_GB2312" w:hAnsi="仿宋_GB2312" w:cs="仿宋_GB2312" w:eastAsia="仿宋_GB2312"/>
                <w:sz w:val="24"/>
                <w:shd w:fill="FFFFFF" w:val="clear"/>
              </w:rPr>
              <w:t>场地</w:t>
            </w:r>
            <w:r>
              <w:rPr>
                <w:rFonts w:ascii="仿宋_GB2312" w:hAnsi="仿宋_GB2312" w:cs="仿宋_GB2312" w:eastAsia="仿宋_GB2312"/>
                <w:sz w:val="24"/>
                <w:shd w:fill="FFFFFF" w:val="clear"/>
              </w:rPr>
              <w:t>用地</w:t>
            </w:r>
            <w:r>
              <w:rPr>
                <w:rFonts w:ascii="仿宋_GB2312" w:hAnsi="仿宋_GB2312" w:cs="仿宋_GB2312" w:eastAsia="仿宋_GB2312"/>
                <w:sz w:val="24"/>
                <w:shd w:fill="FFFFFF" w:val="clear"/>
              </w:rPr>
              <w:t>面积</w:t>
            </w:r>
            <w:r>
              <w:rPr>
                <w:rFonts w:ascii="仿宋_GB2312" w:hAnsi="仿宋_GB2312" w:cs="仿宋_GB2312" w:eastAsia="仿宋_GB2312"/>
                <w:sz w:val="24"/>
                <w:shd w:fill="FFFFFF" w:val="clear"/>
              </w:rPr>
              <w:t>约</w:t>
            </w:r>
            <w:r>
              <w:rPr>
                <w:rFonts w:ascii="仿宋_GB2312" w:hAnsi="仿宋_GB2312" w:cs="仿宋_GB2312" w:eastAsia="仿宋_GB2312"/>
                <w:sz w:val="24"/>
                <w:shd w:fill="FFFFFF" w:val="clear"/>
              </w:rPr>
              <w:t>6500㎡，现有地表</w:t>
            </w:r>
            <w:r>
              <w:rPr>
                <w:rFonts w:ascii="仿宋_GB2312" w:hAnsi="仿宋_GB2312" w:cs="仿宋_GB2312" w:eastAsia="仿宋_GB2312"/>
                <w:sz w:val="24"/>
                <w:shd w:fill="FFFFFF" w:val="clear"/>
              </w:rPr>
              <w:t>下挖约</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m</w:t>
            </w:r>
            <w:r>
              <w:rPr>
                <w:rFonts w:ascii="仿宋_GB2312" w:hAnsi="仿宋_GB2312" w:cs="仿宋_GB2312" w:eastAsia="仿宋_GB2312"/>
                <w:sz w:val="24"/>
                <w:shd w:fill="FFFFFF" w:val="clear"/>
              </w:rPr>
              <w:t>深（暂定深度）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shd w:fill="FFFFFF" w:val="clear"/>
              </w:rPr>
              <w:t>3、本工程上限控制价：180万元。</w:t>
            </w:r>
          </w:p>
          <w:p>
            <w:pPr>
              <w:pStyle w:val="null3"/>
              <w:ind w:firstLine="480"/>
              <w:jc w:val="both"/>
            </w:pPr>
            <w:r>
              <w:rPr>
                <w:rFonts w:ascii="仿宋_GB2312" w:hAnsi="仿宋_GB2312" w:cs="仿宋_GB2312" w:eastAsia="仿宋_GB2312"/>
                <w:sz w:val="24"/>
                <w:shd w:fill="FFFFFF" w:val="clear"/>
              </w:rPr>
              <w:t>4、本工程为固定综合单价合同，响应报价应按照采购文件规定，协助完成考古勘探任务所包含的全部费用。响应报价应包括但不限于完成工作的人工费、材料费、大型机械进出场费、成本、利润、税金、措施费、风险费、外围关系协调费以及政策性文件规定的所有相关费用等。响应人应列出的工程项目和工程量填报综合单价和合计总价，每一项目报价必须为唯一，任何有选择的报价将不予接受。响应人未填报单价的工程项目，视为完成该工程项目所需费用已包含在其它有价款的响应报价内。综合单价一次包死，不因政策或市场因素调整。</w:t>
            </w:r>
          </w:p>
          <w:p>
            <w:pPr>
              <w:pStyle w:val="null3"/>
              <w:ind w:firstLine="480"/>
              <w:jc w:val="both"/>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现场临时用水、用电由乙方自行解决，如需使用甲方水电的，应按规定计量并支付费用。（单价为水费</w:t>
            </w:r>
            <w:r>
              <w:rPr>
                <w:rFonts w:ascii="仿宋_GB2312" w:hAnsi="仿宋_GB2312" w:cs="仿宋_GB2312" w:eastAsia="仿宋_GB2312"/>
                <w:sz w:val="24"/>
                <w:shd w:fill="FFFFFF" w:val="clear"/>
              </w:rPr>
              <w:t>5.8元/吨、电费0.8元/度）。</w:t>
            </w:r>
          </w:p>
          <w:p>
            <w:pPr>
              <w:pStyle w:val="null3"/>
              <w:ind w:firstLine="480"/>
              <w:jc w:val="both"/>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、工期：</w:t>
            </w:r>
            <w:r>
              <w:rPr>
                <w:rFonts w:ascii="仿宋_GB2312" w:hAnsi="仿宋_GB2312" w:cs="仿宋_GB2312" w:eastAsia="仿宋_GB2312"/>
                <w:sz w:val="24"/>
                <w:shd w:fill="FFFFFF" w:val="clear"/>
              </w:rPr>
              <w:t>20</w:t>
            </w:r>
            <w:r>
              <w:rPr>
                <w:rFonts w:ascii="仿宋_GB2312" w:hAnsi="仿宋_GB2312" w:cs="仿宋_GB2312" w:eastAsia="仿宋_GB2312"/>
                <w:sz w:val="24"/>
                <w:shd w:fill="FFFFFF" w:val="clear"/>
              </w:rPr>
              <w:t>天。</w:t>
            </w:r>
          </w:p>
          <w:p>
            <w:pPr>
              <w:pStyle w:val="null3"/>
              <w:ind w:firstLine="480"/>
              <w:jc w:val="both"/>
            </w:pPr>
            <w:r>
              <w:rPr>
                <w:rFonts w:ascii="仿宋_GB2312" w:hAnsi="仿宋_GB2312" w:cs="仿宋_GB2312" w:eastAsia="仿宋_GB2312"/>
                <w:sz w:val="24"/>
                <w:shd w:fill="FFFFFF" w:val="clear"/>
              </w:rPr>
              <w:t>7、本工程组织现场踏勘，踏勘时间：采购文件发售期满后第一个工作日进行现场踏勘。</w:t>
            </w:r>
          </w:p>
          <w:p>
            <w:pPr>
              <w:pStyle w:val="null3"/>
              <w:ind w:firstLine="480"/>
              <w:jc w:val="both"/>
            </w:pPr>
            <w:r>
              <w:rPr>
                <w:rFonts w:ascii="仿宋_GB2312" w:hAnsi="仿宋_GB2312" w:cs="仿宋_GB2312" w:eastAsia="仿宋_GB2312"/>
                <w:sz w:val="24"/>
                <w:shd w:fill="FFFFFF" w:val="clear"/>
              </w:rPr>
              <w:t>8、采购方式：竞争性磋商。</w:t>
            </w:r>
          </w:p>
          <w:p>
            <w:pPr>
              <w:pStyle w:val="null3"/>
              <w:ind w:firstLine="480"/>
              <w:jc w:val="both"/>
            </w:pP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清单内容</w:t>
            </w:r>
            <w:r>
              <w:rPr>
                <w:rFonts w:ascii="仿宋_GB2312" w:hAnsi="仿宋_GB2312" w:cs="仿宋_GB2312" w:eastAsia="仿宋_GB2312"/>
                <w:sz w:val="24"/>
                <w:shd w:fill="FFFFFF" w:val="clear"/>
              </w:rPr>
              <w:t>：</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81"/>
              <w:gridCol w:w="978"/>
              <w:gridCol w:w="497"/>
              <w:gridCol w:w="513"/>
              <w:gridCol w:w="911"/>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报价内容</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工程量</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暂定</w:t>
                  </w:r>
                  <w:r>
                    <w:rPr>
                      <w:rFonts w:ascii="仿宋_GB2312" w:hAnsi="仿宋_GB2312" w:cs="仿宋_GB2312" w:eastAsia="仿宋_GB2312"/>
                      <w:sz w:val="24"/>
                    </w:rPr>
                    <w:t>）</w:t>
                  </w:r>
                </w:p>
              </w:tc>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土方</w:t>
                  </w:r>
                  <w:r>
                    <w:rPr>
                      <w:rFonts w:ascii="仿宋_GB2312" w:hAnsi="仿宋_GB2312" w:cs="仿宋_GB2312" w:eastAsia="仿宋_GB2312"/>
                      <w:sz w:val="24"/>
                    </w:rPr>
                    <w:t>（</w:t>
                  </w:r>
                  <w:r>
                    <w:rPr>
                      <w:rFonts w:ascii="仿宋_GB2312" w:hAnsi="仿宋_GB2312" w:cs="仿宋_GB2312" w:eastAsia="仿宋_GB2312"/>
                      <w:sz w:val="24"/>
                      <w:shd w:fill="FFFFFF" w:val="clear"/>
                    </w:rPr>
                    <w:t>网球场、排球场及停车场面层</w:t>
                  </w:r>
                  <w:r>
                    <w:rPr>
                      <w:rFonts w:ascii="仿宋_GB2312" w:hAnsi="仿宋_GB2312" w:cs="仿宋_GB2312" w:eastAsia="仿宋_GB2312"/>
                      <w:sz w:val="24"/>
                    </w:rPr>
                    <w:t>、</w:t>
                  </w:r>
                  <w:r>
                    <w:rPr>
                      <w:rFonts w:ascii="仿宋_GB2312" w:hAnsi="仿宋_GB2312" w:cs="仿宋_GB2312" w:eastAsia="仿宋_GB2312"/>
                      <w:sz w:val="24"/>
                    </w:rPr>
                    <w:t>渣土</w:t>
                  </w:r>
                  <w:r>
                    <w:rPr>
                      <w:rFonts w:ascii="仿宋_GB2312" w:hAnsi="仿宋_GB2312" w:cs="仿宋_GB2312" w:eastAsia="仿宋_GB2312"/>
                      <w:sz w:val="24"/>
                    </w:rPr>
                    <w:t>、</w:t>
                  </w:r>
                  <w:r>
                    <w:rPr>
                      <w:rFonts w:ascii="仿宋_GB2312" w:hAnsi="仿宋_GB2312" w:cs="仿宋_GB2312" w:eastAsia="仿宋_GB2312"/>
                      <w:sz w:val="24"/>
                    </w:rPr>
                    <w:t>杂土</w:t>
                  </w:r>
                  <w:r>
                    <w:rPr>
                      <w:rFonts w:ascii="仿宋_GB2312" w:hAnsi="仿宋_GB2312" w:cs="仿宋_GB2312" w:eastAsia="仿宋_GB2312"/>
                      <w:sz w:val="24"/>
                    </w:rPr>
                    <w:t>）</w:t>
                  </w:r>
                  <w:r>
                    <w:rPr>
                      <w:rFonts w:ascii="仿宋_GB2312" w:hAnsi="仿宋_GB2312" w:cs="仿宋_GB2312" w:eastAsia="仿宋_GB2312"/>
                      <w:sz w:val="24"/>
                    </w:rPr>
                    <w:t>破除、外运</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/立方米</w:t>
                  </w:r>
                </w:p>
                <w:p>
                  <w:pPr>
                    <w:pStyle w:val="null3"/>
                    <w:jc w:val="center"/>
                  </w:pPr>
                  <w:r>
                    <w:rPr>
                      <w:rFonts w:ascii="仿宋_GB2312" w:hAnsi="仿宋_GB2312" w:cs="仿宋_GB2312" w:eastAsia="仿宋_GB2312"/>
                      <w:sz w:val="24"/>
                    </w:rPr>
                    <w:t>（实方）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13000</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清运</w:t>
                  </w:r>
                  <w:r>
                    <w:rPr>
                      <w:rFonts w:ascii="仿宋_GB2312" w:hAnsi="仿宋_GB2312" w:cs="仿宋_GB2312" w:eastAsia="仿宋_GB2312"/>
                      <w:sz w:val="24"/>
                    </w:rPr>
                    <w:t>至考古勘探要求深度</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外围维护</w:t>
                  </w:r>
                </w:p>
                <w:p>
                  <w:pPr>
                    <w:pStyle w:val="null3"/>
                    <w:jc w:val="center"/>
                  </w:pPr>
                  <w:r>
                    <w:rPr>
                      <w:rFonts w:ascii="仿宋_GB2312" w:hAnsi="仿宋_GB2312" w:cs="仿宋_GB2312" w:eastAsia="仿宋_GB2312"/>
                      <w:sz w:val="24"/>
                    </w:rPr>
                    <w:t>（高度不低于</w:t>
                  </w:r>
                  <w:r>
                    <w:rPr>
                      <w:rFonts w:ascii="仿宋_GB2312" w:hAnsi="仿宋_GB2312" w:cs="仿宋_GB2312" w:eastAsia="仿宋_GB2312"/>
                      <w:sz w:val="24"/>
                    </w:rPr>
                    <w:t>1.8米，且符合政府相关要求）</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完工后</w:t>
                  </w:r>
                  <w:r>
                    <w:rPr>
                      <w:rFonts w:ascii="仿宋_GB2312" w:hAnsi="仿宋_GB2312" w:cs="仿宋_GB2312" w:eastAsia="仿宋_GB2312"/>
                      <w:sz w:val="24"/>
                    </w:rPr>
                    <w:t>移交甲方</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道路硬化、洗车台（满足政府相关要求）及监控设备等</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洗车台及监控设备</w:t>
                  </w:r>
                  <w:r>
                    <w:rPr>
                      <w:rFonts w:ascii="仿宋_GB2312" w:hAnsi="仿宋_GB2312" w:cs="仿宋_GB2312" w:eastAsia="仿宋_GB2312"/>
                      <w:sz w:val="24"/>
                    </w:rPr>
                    <w:t>完工后负责拆除、清场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其他费用</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供应商根据工程现场情况自行报价</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1、本项目为固定单价合同，响应单位要根据现场实际核实工程量。</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贰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1932571762@qq.com（邮件命名：项目名称、项目编号），并将保函原件单独递交至代理机构（采用电子保函的发邮箱即可无需单独递交）；投标人应在投标文件中附保函复印件。保函必须由具有开具投标保函资格的单位开具；若供应商违约，开具保函单位承担连带责任。（2）投标保证金的提交金额、时间不满足磋商文件要求的，投标无效。（建议：投标人以转账形式缴纳时备注项目名称，否则自行承担因款项用途不明导致无法辨别的不利后果） 3、本项目不适用广联达版工程量编制相关要求。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响应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执业资格，并具有合法有效的安全生产考核合格证（建安B证），须在本单位注册，无不良信用记录，无在建工程（提供无不良信用记录、无在建工程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w:t>
            </w:r>
          </w:p>
        </w:tc>
        <w:tc>
          <w:tcPr>
            <w:tcW w:type="dxa" w:w="1661"/>
          </w:tcPr>
          <w:p>
            <w:pPr>
              <w:pStyle w:val="null3"/>
            </w:pPr>
            <w:r>
              <w:rPr>
                <w:rFonts w:ascii="仿宋_GB2312" w:hAnsi="仿宋_GB2312" w:cs="仿宋_GB2312" w:eastAsia="仿宋_GB2312"/>
              </w:rPr>
              <w:t>响应文件封面 技术、服务、商务偏离表 分项报价表 报价函 标的清单 陕西省政府采购供应商拒绝政府采购领域商业贿赂承诺书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未超过采购预算金额或最高限价，无选择性报价。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工程质量达到规定要求标准</w:t>
            </w:r>
          </w:p>
        </w:tc>
        <w:tc>
          <w:tcPr>
            <w:tcW w:type="dxa" w:w="1661"/>
          </w:tcPr>
          <w:p>
            <w:pPr>
              <w:pStyle w:val="null3"/>
            </w:pPr>
            <w:r>
              <w:rPr>
                <w:rFonts w:ascii="仿宋_GB2312" w:hAnsi="仿宋_GB2312" w:cs="仿宋_GB2312" w:eastAsia="仿宋_GB2312"/>
              </w:rPr>
              <w:t>响应文件封面 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提供2021年4月至今土方或清表工程业绩，每提供一项得2分，最高得10分。 赋分依据：提供合同或中标（成交）通知书复印件加盖公章，业绩时间以合同签订时间或中标（成交）通知书时间为准。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提供2021年4月至今土方或清表工程业绩，每提供一项得1分，最高得5分。 赋分依据：提供合同或中标（成交）通知书复印件加盖公章，合同关键页或中标（成交）通知书中须体现项目经理姓名，业绩时间以合同签订时间或中标（成交）通知书时间为准。项目经理业绩可与企业业绩重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供应商提供针对本项目实际需求编制的工期的技术组织措施，内容包含：①工期计划；②关键节点工期分析；③延误工期补救措施。 2.评审标准： ①完整性：内容必须全面，对评审内容中的各项要求有详细描述； ②可实施性：切合本项目实际情况，提出步骤清晰、合理的方案； ③针对性：方案能够紧扣项目实际情况，内容科学合理。 3.赋分标准： ①工期计划：每完全满足一项评审标准得1分，满分3分； ②关键节点工期分析：每完全满足一项评审标准得1分，满分3分； ③延误工期补救措施：每完全满足一项评审标准得1分，满分3分。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施工方案及项目部组成人员情况</w:t>
            </w:r>
          </w:p>
        </w:tc>
        <w:tc>
          <w:tcPr>
            <w:tcW w:type="dxa" w:w="2492"/>
          </w:tcPr>
          <w:p>
            <w:pPr>
              <w:pStyle w:val="null3"/>
            </w:pPr>
            <w:r>
              <w:rPr>
                <w:rFonts w:ascii="仿宋_GB2312" w:hAnsi="仿宋_GB2312" w:cs="仿宋_GB2312" w:eastAsia="仿宋_GB2312"/>
              </w:rPr>
              <w:t>1.评审内容 针对本项目提供施工方案及项目部组成人员情况，内容包括：①施工目标及内容；②进度计划；③关键工序技术把控措施；④项目部组成人员情况（针对本项目提供项目组人员配置清单及人员资料）。 2.评审标准： ①完整性：内容必须全面，对评审内容中的各项要求有详细描述； ②可实施性：切合本项目实际情况，提出步骤清晰、合理的方案； ③针对性：方案能够紧扣项目实际情况，内容科学合理。 3.赋分标准： ①施工目标及内容：每完全满足一项评审标准得1分，满分3分； ②进度计划：每完全满足一项评审标准得1分，满分3分； ③关键工序技术把控措施：每完全满足一项评审标准得1分，满分3分； ④项目部组成人员情况：每完全满足一项评审标准得1分，满分3分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供应商提供针对本项目实际需求编制的工程质量的技术组织措施，内容包含：①工程质量目标；②施工质量保障措施；③施工质量检验制度。 2.评审标准： ①完整性：内容必须全面，对评审内容中的各项要求有详细描述； ②可实施性：切合本项目实际情况，提出步骤清晰、合理的方案； ③针对性：方案能够紧扣项目实际情况，内容科学合理。 3.赋分标准： ①工程质量目标：每完全满足一项评审标准得1分，满分3分； ②施工质量保障措施：每完全满足一项评审标准得1分，满分3分； ③施工质量检验制度：每完全满足一项评审标准得1分，满分3分。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1.评审内容 供应商提供针对本项目实际需求提供施工机械配备投入计划。 2.评审标准： ①完整性：内容必须全面，对评审内容中的要求有详细描述； ②可实施性：切合本项目实际情况，提出步骤清晰、合理的方案； ③针对性：方案能够紧扣项目实际情况，内容科学合理。 3.赋分标准： 施工机械配备投入计划：每完全满足一项评审标准得1分，满分3分；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1.评审内容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2.评审标准： ①完整性：内容必须全面，对评审内容中的各项要求有详细描述； ②可实施性：切合本项目实际情况，提出步骤清晰、合理的方案； ③针对性：方案能够紧扣项目实际情况，内容科学合理。 3.赋分标准： ①安全管理体系及文明施工管理制度：每完全满足一项评审标准得1分，满分3分； ②安全标识、安全教育培训、文明施工检查措施：每完全满足一项评审标准得1分，满分3分； ③环境保护控制措施：每完全满足一项评审标准得1分，满分3分。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供应商提供针对本项目提供应急预案，内容包括但不限于：①突发事件处理；②恶劣天气影响应急预案；③重大活动检查、临检应急预案等。 2.评审标准： ①完整性：内容必须全面，对评审内容中的各项要求有详细描述； ②可实施性：切合本项目实际情况，提出步骤清晰、合理的方案； ③针对性：方案能够紧扣项目实际情况，内容科学合理。 3.赋分标准： ①突发事件处理：每完全满足一项评审标准得1分，满分3分； ②恶劣天气影响应急预案：每完全满足一项评审标准得1分，满分3分； ③重大活动检查、临检应急预案等：每完全满足一项评审标准得1分，满分3分。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1.提供协调外围关系承诺书。承诺协调外围关系方案详细、具体、合理得2分。 2.提供其他有利于工程顺利开展的承诺，得2分。 以上承诺未提供不得分。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100。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详见附件：技术、服务、商务偏离表</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