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版本号：ZYHY-2026-ZB1120260514001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蒲城县水上运动基地辅助设施提升改造项目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ZYHY-2026-ZB11</w:t>
      </w:r>
      <w:r>
        <w:br/>
      </w:r>
      <w:r>
        <w:br/>
      </w:r>
      <w:r>
        <w:br/>
      </w:r>
    </w:p>
    <w:p>
      <w:pPr>
        <w:pStyle w:val="null3"/>
        <w:jc w:val="center"/>
        <w:outlineLvl w:val="2"/>
      </w:pPr>
      <w:r>
        <w:rPr>
          <w:rFonts w:ascii="仿宋_GB2312" w:hAnsi="仿宋_GB2312" w:cs="仿宋_GB2312" w:eastAsia="仿宋_GB2312"/>
          <w:sz w:val="28"/>
          <w:b/>
        </w:rPr>
        <w:t>蒲城县体育运动中心</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蒲城县体育运动中心</w:t>
      </w:r>
      <w:r>
        <w:rPr>
          <w:rFonts w:ascii="仿宋_GB2312" w:hAnsi="仿宋_GB2312" w:cs="仿宋_GB2312" w:eastAsia="仿宋_GB2312"/>
        </w:rPr>
        <w:t>委托，拟对</w:t>
      </w:r>
      <w:r>
        <w:rPr>
          <w:rFonts w:ascii="仿宋_GB2312" w:hAnsi="仿宋_GB2312" w:cs="仿宋_GB2312" w:eastAsia="仿宋_GB2312"/>
        </w:rPr>
        <w:t>蒲城县水上运动基地辅助设施提升改造项目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蒲城县水上运动基地辅助设施提升改造项目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新建卫生间一座，建筑面积 84.3 ㎡，结构尺寸 9.8m*8.6m*高 3.6m南楼一层男生淋浴间更换成男生盥洗，面积 14.7 ㎡；南楼二层女生淋浴间更换成女生盥洗室，面积 14.7 ㎡。</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采购包1（蒲城县水上运动基地辅助设施提升改造项目）：属于专门面向中小企业采购。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1、法定代表人授权书/被授权人身份证明：法定代表人直接参加磋商的，须出具法定代表人身份证明书；法定代表人授权代表参加磋商的，须出具法定代表人身份证明及法定代表人授权委托书</w:t>
      </w:r>
    </w:p>
    <w:p>
      <w:pPr>
        <w:pStyle w:val="null3"/>
      </w:pPr>
      <w:r>
        <w:rPr>
          <w:rFonts w:ascii="仿宋_GB2312" w:hAnsi="仿宋_GB2312" w:cs="仿宋_GB2312" w:eastAsia="仿宋_GB2312"/>
        </w:rPr>
        <w:t>2、信用记录：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3、企业及项目负责人资格：①企业资质：具备建筑工程施工总承包三级或其以上资质，具有有效的安全生产许可证； ②项目经理资格：具备建筑工程专业二级及以上注册建造师证书，在本单位注册，并提供安全生产考核证(建安B证)，无在建工程证明；</w:t>
      </w:r>
    </w:p>
    <w:p>
      <w:pPr>
        <w:pStyle w:val="null3"/>
      </w:pPr>
      <w:r>
        <w:rPr>
          <w:rFonts w:ascii="仿宋_GB2312" w:hAnsi="仿宋_GB2312" w:cs="仿宋_GB2312" w:eastAsia="仿宋_GB2312"/>
        </w:rPr>
        <w:t>4、磋商保证金：提供磋商保证金缴纳凭证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蒲城县奉先街道朝阳街体育场内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15877680385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19929071937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代理服务费收费标准：参照国家计委《招标代理服务收费管理暂行办法》(计价格[2002]1980号)、国家发展和改革委员会《国家发改委办公厅关于招标代理服务收费有关问题的通知》(发改办价格[2003]857号)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蒲城县体育运动中心</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联系人：同公告中联系人</w:t>
      </w:r>
    </w:p>
    <w:p>
      <w:pPr>
        <w:pStyle w:val="null3"/>
      </w:pPr>
      <w:r>
        <w:rPr>
          <w:rFonts w:ascii="仿宋_GB2312" w:hAnsi="仿宋_GB2312" w:cs="仿宋_GB2312" w:eastAsia="仿宋_GB2312"/>
        </w:rPr>
        <w:t>联系电话：同公告中联系电话</w:t>
      </w:r>
    </w:p>
    <w:p>
      <w:pPr>
        <w:pStyle w:val="null3"/>
      </w:pPr>
      <w:r>
        <w:rPr>
          <w:rFonts w:ascii="仿宋_GB2312" w:hAnsi="仿宋_GB2312" w:cs="仿宋_GB2312" w:eastAsia="仿宋_GB2312"/>
        </w:rPr>
        <w:t>地址：同公告中地址</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蒲城县水上运动基地辅助设施提升改造项目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标的名称：蒲城县水上运动基地辅助设施提升改造项目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2"/>
              </w:rPr>
              <w:t>1、工期：40日历天。</w:t>
            </w:r>
          </w:p>
          <w:p>
            <w:pPr>
              <w:pStyle w:val="null3"/>
              <w:ind w:firstLine="480"/>
              <w:jc w:val="both"/>
            </w:pPr>
            <w:r>
              <w:rPr>
                <w:rFonts w:ascii="仿宋_GB2312" w:hAnsi="仿宋_GB2312" w:cs="仿宋_GB2312" w:eastAsia="仿宋_GB2312"/>
                <w:sz w:val="22"/>
              </w:rPr>
              <w:t>2、付款方式：合同签订付30%、项目竣工付至工程款的90%、项目审计完成后付清剩余10%工程款</w:t>
            </w:r>
          </w:p>
          <w:p>
            <w:pPr>
              <w:pStyle w:val="null3"/>
              <w:ind w:firstLine="480"/>
              <w:jc w:val="both"/>
            </w:pPr>
            <w:r>
              <w:rPr>
                <w:rFonts w:ascii="仿宋_GB2312" w:hAnsi="仿宋_GB2312" w:cs="仿宋_GB2312" w:eastAsia="仿宋_GB2312"/>
                <w:sz w:val="22"/>
              </w:rPr>
              <w:t>3、质量标准：达到国家现行验收规范“合格”标准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1、本工程项目的材料、设备、施工必须符合国家有关工程建设标准强制性条文和国家或有关部门关于工程施工方面现行的标准、规范、规定以及省、市相关文件规定。 2、在施工过程中，如果国家或有关部门颁布了新的技术标准或规范，则承包人须无条件按最新标准调整施工方案施工，确保工程合规性。 3、有关标准、要求不一致时，以要求最高（最严格）者标准为准。 4、施工单位在施工期间应严格遵守国家、省、市有关施工安全以及文明施等规定，建立规章制度和防护措施,应按安全施工的要求，采取严格科学的安全措施，确保施工安全和第三者的安全，确保工程质量和生产安全。否则，由此造成的经济和法律责任均由中标人负责。</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1、提供以下资料进行电子签章：(1)提供营业执照或其他组织经营的合法凭证、自然人提供身份证明文件； (2)税收缴纳证明：提供磋商截止日期前六个月内任意一个月的纳税证明或完税证明； (3)社会保障资金缴纳证明：提供磋商截止日期前六个月内任意一个月的社会保障资金缴存单据或社保机构开具的社会保险参保缴费情况证明； (4)提供具有履行合同所必需的设备和专业技术能力承诺书； (5)提供参加政府采购活动前三年内，在经营活动中没有重大违法记录声明。 供应商需在项目电子化交易系统中按要求填写《响应函》完成承诺并提供相应证明材料后进行电子签章。 2、供应商需在项目电子化交易系统中按要求填写《响应函》完成承诺并进行电子签章。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或磋商截止日期前三个月内其基本存款账户开户银行出具的资信证明（供应商注册时间截至资格预审申请文件提交截止日不足一年的，成立时间至开标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法定代表人授权书/被授权人身份证明</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企业及项目负责人资格</w:t>
            </w:r>
          </w:p>
        </w:tc>
        <w:tc>
          <w:tcPr>
            <w:tcW w:type="dxa" w:w="3322"/>
          </w:tcPr>
          <w:p>
            <w:pPr>
              <w:pStyle w:val="null3"/>
            </w:pPr>
            <w:r>
              <w:rPr>
                <w:rFonts w:ascii="仿宋_GB2312" w:hAnsi="仿宋_GB2312" w:cs="仿宋_GB2312" w:eastAsia="仿宋_GB2312"/>
              </w:rPr>
              <w:t>①企业资质：具备建筑工程施工总承包三级或其以上资质，具有有效的安全生产许可证； ②项目经理资格：具备建筑工程专业二级及以上注册建造师证书，在本单位注册，并提供安全生产考核证(建安B证)，无在建工程证明；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已标价工程量清单.docx 供应商类似项目业绩一览表.docx 中小企业声明函 方案.docx 商务应答表.docx 资格证明文件.docx 响应文件封面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磋商文件商务要求（工期、付款方式等）响应情况，若负偏离，投标无效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报价唯一，只能有一个有效报价，不得提交选择性报价，且不高于采购限价</w:t>
            </w:r>
          </w:p>
        </w:tc>
        <w:tc>
          <w:tcPr>
            <w:tcW w:type="dxa" w:w="1661"/>
          </w:tcPr>
          <w:p>
            <w:pPr>
              <w:pStyle w:val="null3"/>
            </w:pPr>
            <w:r>
              <w:rPr>
                <w:rFonts w:ascii="仿宋_GB2312" w:hAnsi="仿宋_GB2312" w:cs="仿宋_GB2312" w:eastAsia="仿宋_GB2312"/>
              </w:rPr>
              <w:t>已标价工程量清单.docx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内容至少包括①施工总平面布置;②施工目标:安全目标、工期目标、质量目标;③资源配备计划:主要施工机械设备、劳动力等配备计划及主材进场计划; 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 评审标准: 1.完整性:响应全面，对评审内容中的各项要求有详细描述:2.可实施性:内容科学，步骤清晰、合理，可实施性强;3.针对性:能够紧扣项目实际情况，满足具体要求。 赋分标准(15分): ①每一项评审内容完全满足评审标准得5分;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评审内容：内容至少包括①施工进度计划；②工期保障措施。 评审标准：1.完整性：响应全面，对评审内容中的各项要求有详细描述；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评审内容：内容至少包括①质量管理体系；②施工质量保障措施。 评审标准：1.完整性：响应全面，对评审内容中的各项要求有详细描述；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评审内容：内容至少包括①安全生产管理制度及安全施工措施②安全应急预案。 评审标准：1.完整性：响应全面，对评审内容中的各项要求有详细描述；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评审内容：内容至少包括①文明施工管理体系及保障措施；②防尘降噪等环境保护保障措施。 评审标准：1.完整性：响应全面，对评审内容中的各项要求有详细描述；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评审内容：供应商针对本项目编制科学的项目管理机构，内容包含:①管理机构组织图②组织机构的岗位职责及人员配备情况。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供应商提供近三年（2023年1月1日至今）的类似业绩（时间以合同签订时间为准），每提供一份得2.5分，最多得5分，未提供得0分。（以合同签订时间为准）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满足磋商文件要求且磋商价格最低的磋商报价为评标基准价，其价格分为满分。价格分按照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