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16"/>
        <w:gridCol w:w="1558"/>
        <w:gridCol w:w="1275"/>
        <w:gridCol w:w="1897"/>
        <w:gridCol w:w="1083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合同签订日期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D2AFE04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</w:p>
    <w:p w14:paraId="204DFF2B">
      <w:pPr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注：后附业绩证明资料并进行电子签章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B140027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陕西中正天投项目管理有限公司</cp:lastModifiedBy>
  <dcterms:modified xsi:type="dcterms:W3CDTF">2026-05-14T03:22:08Z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eyJoZGlkIjoiMWQ1MGRhOWJiZGE5NDE3ZTgxMWExYjVhODM5NWVhZmYiLCJ1c2VySWQiOiI0MDYyOTU1MTkifQ==</vt:lpwstr>
  </property>
  <property fmtid="{D5CDD505-2E9C-101B-9397-08002B2CF9AE}" pid="4" name="ICV">
    <vt:lpwstr>10DFE80C0EE74D1A92EDE8F2279D19CB_12</vt:lpwstr>
  </property>
</Properties>
</file>