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E0F65"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已标价工程量清单</w:t>
      </w:r>
    </w:p>
    <w:p w14:paraId="63B14A5D">
      <w:pPr>
        <w:jc w:val="center"/>
        <w:rPr>
          <w:b/>
          <w:bCs/>
          <w:sz w:val="32"/>
          <w:szCs w:val="36"/>
        </w:rPr>
      </w:pPr>
    </w:p>
    <w:p w14:paraId="7BE95386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1.已标价工程量清单应按工程量清单报价相关要求进行填报；</w:t>
      </w:r>
    </w:p>
    <w:p w14:paraId="41362614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</w:rPr>
        <w:t>.已标价工程量清单的扉页(仅指投标总价扉页)应由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注册或登记</w:t>
      </w:r>
      <w:r>
        <w:rPr>
          <w:rFonts w:hint="eastAsia" w:ascii="宋体" w:hAnsi="宋体" w:cs="宋体"/>
          <w:sz w:val="28"/>
          <w:szCs w:val="28"/>
        </w:rPr>
        <w:t>的造价人员签字并盖执业印章；</w:t>
      </w:r>
    </w:p>
    <w:p w14:paraId="555FA468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.已标价工程量清单原件扫描成PDF格式，以附件形式上传，作为响应文件的组成部分。</w:t>
      </w:r>
    </w:p>
    <w:p w14:paraId="51875C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075781D"/>
    <w:rsid w:val="00A54483"/>
    <w:rsid w:val="00F45B1B"/>
    <w:rsid w:val="2C7C3CDB"/>
    <w:rsid w:val="63747888"/>
    <w:rsid w:val="679D9187"/>
    <w:rsid w:val="75F61A9A"/>
    <w:rsid w:val="773F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165</Characters>
  <Lines>1</Lines>
  <Paragraphs>1</Paragraphs>
  <TotalTime>0</TotalTime>
  <ScaleCrop>false</ScaleCrop>
  <LinksUpToDate>false</LinksUpToDate>
  <CharactersWithSpaces>165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陕西省政府采购综合管理平台</dc:creator>
  <cp:lastModifiedBy>陕西中正天投项目管理有限公司</cp:lastModifiedBy>
  <dcterms:modified xsi:type="dcterms:W3CDTF">2026-05-14T03:23:56Z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KSOTemplateDocerSaveRecord">
    <vt:lpwstr>eyJoZGlkIjoiMWQ1MGRhOWJiZGE5NDE3ZTgxMWExYjVhODM5NWVhZmYiLCJ1c2VySWQiOiI0MDYyOTU1MTkifQ==</vt:lpwstr>
  </property>
  <property fmtid="{D5CDD505-2E9C-101B-9397-08002B2CF9AE}" pid="4" name="ICV">
    <vt:lpwstr>8574A31DDE174B0AB36290507CC0CC3E_12</vt:lpwstr>
  </property>
</Properties>
</file>