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版本号：THXZB2026-102320260720001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2026年地下管廊管理维护项目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THXZB2026-1023</w:t>
      </w:r>
      <w:r>
        <w:br/>
      </w:r>
      <w:r>
        <w:br/>
      </w:r>
      <w:r>
        <w:br/>
      </w:r>
    </w:p>
    <w:p>
      <w:pPr>
        <w:pStyle w:val="null3"/>
        <w:jc w:val="center"/>
        <w:outlineLvl w:val="2"/>
      </w:pPr>
      <w:r>
        <w:rPr>
          <w:rFonts w:ascii="仿宋_GB2312" w:hAnsi="仿宋_GB2312" w:cs="仿宋_GB2312" w:eastAsia="仿宋_GB2312"/>
          <w:sz w:val="28"/>
          <w:b/>
        </w:rPr>
        <w:t>铜川市住房和城乡建设局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铜川市住房和城乡建设局</w:t>
      </w:r>
      <w:r>
        <w:rPr>
          <w:rFonts w:ascii="仿宋_GB2312" w:hAnsi="仿宋_GB2312" w:cs="仿宋_GB2312" w:eastAsia="仿宋_GB2312"/>
        </w:rPr>
        <w:t>委托，拟对</w:t>
      </w:r>
      <w:r>
        <w:rPr>
          <w:rFonts w:ascii="仿宋_GB2312" w:hAnsi="仿宋_GB2312" w:cs="仿宋_GB2312" w:eastAsia="仿宋_GB2312"/>
        </w:rPr>
        <w:t>2026年地下管廊管理维护项目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2026年地下管廊管理维护项目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市政管廊及附属设施的巡查和日常维护工作，负责正阳路、朝阳路、华夏南道、九州东道、咸丰东路、鸿基东路的地下管廊。负责管廊廊体、管线支架、支架螺丝、井盖、管廊周边安全、道路沉陷、管廊内部异味、照明灯具完好性、排水泵启停灵敏、通风设备运行、垃圾淤泥清理、管线归位检查及监控摄像头、消防设施（灭火器、感烟探测器）维护等，维护人员一个月至少检查4次管廊情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采购包1（2026年地下管廊管理维护项目）：属于专门面向中小企业采购。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 供应商需在项目电子化交易系统中按要求填写并进行电子签章；</w:t>
      </w:r>
    </w:p>
    <w:p>
      <w:pPr>
        <w:pStyle w:val="null3"/>
      </w:pPr>
      <w:r>
        <w:rPr>
          <w:rFonts w:ascii="仿宋_GB2312" w:hAnsi="仿宋_GB2312" w:cs="仿宋_GB2312" w:eastAsia="仿宋_GB2312"/>
        </w:rPr>
        <w:t>2、法定代表人或被授权人身份证明：法定代表人直接磋商须提交法定代表人证明书，法定代表人授权代表参加磋商的，须出具授权书、授权代表本单位的证明（授权代表提供有效的磋商截止时间前近半年任意一个月社保缴纳证明）， 供应商需在项目电子化交易系统中按要求填写并进行电子签章；</w:t>
      </w:r>
    </w:p>
    <w:p>
      <w:pPr>
        <w:pStyle w:val="null3"/>
      </w:pPr>
      <w:r>
        <w:rPr>
          <w:rFonts w:ascii="仿宋_GB2312" w:hAnsi="仿宋_GB2312" w:cs="仿宋_GB2312" w:eastAsia="仿宋_GB2312"/>
        </w:rPr>
        <w:t>3、审计报告：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4、税收缴纳证明：供应商须提供投标截止时间前12个月内任意一个月的缴税证明（注：依法免税或零申报的供应商应提供相关文件证明；若为新成立企业须提供相应月度的缴税证明），供应商需在项目电子化交易系统中按要求填写并进行电子签章；</w:t>
      </w:r>
    </w:p>
    <w:p>
      <w:pPr>
        <w:pStyle w:val="null3"/>
      </w:pPr>
      <w:r>
        <w:rPr>
          <w:rFonts w:ascii="仿宋_GB2312" w:hAnsi="仿宋_GB2312" w:cs="仿宋_GB2312" w:eastAsia="仿宋_GB2312"/>
        </w:rPr>
        <w:t>5、社会保障资金缴纳证明：供应商须提供投标截止时间前12个月内任意一个月的社会保险缴纳证明（注：依法不需要缴纳社会保障资金的供应商应提供相关文件证明；若为新成立企业可提供相应月度的社会保险缴纳证明），供应商需在项目电子化交易系统中按要求填写并进行电子签章；</w:t>
      </w:r>
    </w:p>
    <w:p>
      <w:pPr>
        <w:pStyle w:val="null3"/>
      </w:pPr>
      <w:r>
        <w:rPr>
          <w:rFonts w:ascii="仿宋_GB2312" w:hAnsi="仿宋_GB2312" w:cs="仿宋_GB2312" w:eastAsia="仿宋_GB2312"/>
        </w:rPr>
        <w:t>6、承诺函：供应商须提供具有履行合同所必需的产品和专业技术能力的承诺函，供应商需在项目电子化交易系统中按要求填写并进行电子签章；</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7、书面声明：供应商应具备良好的商业信誉，提供参加政府采购活动前3年内在经营活动中没有重大违法记录的书面声明，供应商需在项目电子化交易系统中按要求填写并进行电子签章；</w:t>
      </w:r>
    </w:p>
    <w:p>
      <w:pPr>
        <w:pStyle w:val="null3"/>
      </w:pPr>
      <w:r>
        <w:rPr>
          <w:rFonts w:ascii="仿宋_GB2312" w:hAnsi="仿宋_GB2312" w:cs="仿宋_GB2312" w:eastAsia="仿宋_GB2312"/>
        </w:rPr>
        <w:t>8、中小企业声明函：本项目专门面向中小型企业采购，仅限符合《政府采购促进中小企业发展管理办法》（财库〔2020〕46号）条件的中型、小型、微型企业参与，供应商应填写中小企业声明函并对其真实性负责（残疾人福利性单位及监狱企业视同为小型、微型企业），供应商需在项目电子化交易系统中按要求上传相应证明文件并进行电子签章；</w:t>
      </w:r>
    </w:p>
    <w:p>
      <w:pPr>
        <w:pStyle w:val="null3"/>
      </w:pPr>
      <w:r>
        <w:rPr>
          <w:rFonts w:ascii="仿宋_GB2312" w:hAnsi="仿宋_GB2312" w:cs="仿宋_GB2312" w:eastAsia="仿宋_GB2312"/>
        </w:rPr>
        <w:t>9、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0919-3182913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陕西省西安市雁塔区雁南二路西京公司西京科创园三号楼25楼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代理服务费收费标准：参照国家发展和改革委员会《招标代理服务收费暂行办法》（计价格〔2002〕1980号）和国家发展改革委（发改价格〔2003〕857号）文件规定计取，差额累进法进行计算，不足5000按5000收取。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铜川市住房和城乡建设局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联系电话：029-88210791转806</w:t>
      </w:r>
    </w:p>
    <w:p>
      <w:pPr>
        <w:pStyle w:val="null3"/>
      </w:pPr>
      <w:r>
        <w:rPr>
          <w:rFonts w:ascii="仿宋_GB2312" w:hAnsi="仿宋_GB2312" w:cs="仿宋_GB2312" w:eastAsia="仿宋_GB2312"/>
        </w:rPr>
        <w:t>地址：西京电气集团公司南门国家级孵化器（雁南二路）西京科创园3号楼25层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市政管廊及附属设施的巡查和日常维护工作，负责正阳路、朝阳路、华夏南道、九州东道、咸丰东路、鸿基东路的地下管廊。负责管廊廊体、管线支架、支架螺丝、井盖、管廊周边安全、道路沉陷、管廊内部异味、照明灯具完好性、排水泵启停灵敏、通风设备运行、垃圾淤泥清理、管线归位检查及监控摄像头、消防设施（灭火器、感烟探测器）维护等，维护人员一个月至少检查4次管廊情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501,200.00</w:t>
      </w:r>
    </w:p>
    <w:p>
      <w:pPr>
        <w:pStyle w:val="null3"/>
      </w:pPr>
      <w:r>
        <w:rPr>
          <w:rFonts w:ascii="仿宋_GB2312" w:hAnsi="仿宋_GB2312" w:cs="仿宋_GB2312" w:eastAsia="仿宋_GB2312"/>
        </w:rPr>
        <w:t>采购包最高限价（元）: 501,200.00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 xml:space="preserve"> </w:t>
            </w:r>
            <w:r>
              <w:rPr>
                <w:rFonts w:ascii="仿宋_GB2312" w:hAnsi="仿宋_GB2312" w:cs="仿宋_GB2312" w:eastAsia="仿宋_GB2312"/>
                <w:sz w:val="20"/>
                <w:color w:val="000000"/>
              </w:rPr>
              <w:t>（一）工作范围</w:t>
            </w:r>
          </w:p>
          <w:p>
            <w:pPr>
              <w:pStyle w:val="null3"/>
              <w:ind w:firstLine="400"/>
              <w:jc w:val="both"/>
            </w:pPr>
            <w:r>
              <w:rPr>
                <w:rFonts w:ascii="仿宋_GB2312" w:hAnsi="仿宋_GB2312" w:cs="仿宋_GB2312" w:eastAsia="仿宋_GB2312"/>
                <w:sz w:val="20"/>
                <w:color w:val="000000"/>
              </w:rPr>
              <w:t>承担市政管廊及附属设施的巡查和日常维护工作，负责巡查正阳路、朝阳路、华夏南道、九州东道、咸丰东路</w:t>
            </w:r>
            <w:r>
              <w:rPr>
                <w:rFonts w:ascii="仿宋_GB2312" w:hAnsi="仿宋_GB2312" w:cs="仿宋_GB2312" w:eastAsia="仿宋_GB2312"/>
                <w:sz w:val="20"/>
                <w:color w:val="000000"/>
              </w:rPr>
              <w:t>、</w:t>
            </w:r>
            <w:r>
              <w:rPr>
                <w:rFonts w:ascii="仿宋_GB2312" w:hAnsi="仿宋_GB2312" w:cs="仿宋_GB2312" w:eastAsia="仿宋_GB2312"/>
                <w:sz w:val="20"/>
                <w:color w:val="000000"/>
              </w:rPr>
              <w:t>鸿基东路</w:t>
            </w:r>
            <w:r>
              <w:rPr>
                <w:rFonts w:ascii="仿宋_GB2312" w:hAnsi="仿宋_GB2312" w:cs="仿宋_GB2312" w:eastAsia="仿宋_GB2312"/>
                <w:sz w:val="20"/>
                <w:color w:val="000000"/>
              </w:rPr>
              <w:t>的地下管廊。</w:t>
            </w:r>
          </w:p>
          <w:p>
            <w:pPr>
              <w:pStyle w:val="null3"/>
              <w:ind w:firstLine="400"/>
              <w:jc w:val="both"/>
            </w:pPr>
            <w:r>
              <w:rPr>
                <w:rFonts w:ascii="仿宋_GB2312" w:hAnsi="仿宋_GB2312" w:cs="仿宋_GB2312" w:eastAsia="仿宋_GB2312"/>
                <w:sz w:val="20"/>
                <w:color w:val="000000"/>
              </w:rPr>
              <w:t>（二）工作内容</w:t>
            </w:r>
          </w:p>
          <w:p>
            <w:pPr>
              <w:pStyle w:val="null3"/>
              <w:ind w:firstLine="480"/>
            </w:pPr>
            <w:r>
              <w:rPr>
                <w:rFonts w:ascii="仿宋_GB2312" w:hAnsi="仿宋_GB2312" w:cs="仿宋_GB2312" w:eastAsia="仿宋_GB2312"/>
                <w:sz w:val="20"/>
                <w:color w:val="000000"/>
              </w:rPr>
              <w:t>本项目服务内容涵盖</w:t>
            </w:r>
            <w:r>
              <w:rPr>
                <w:rFonts w:ascii="仿宋_GB2312" w:hAnsi="仿宋_GB2312" w:cs="仿宋_GB2312" w:eastAsia="仿宋_GB2312"/>
                <w:sz w:val="20"/>
                <w:color w:val="000000"/>
              </w:rPr>
              <w:t>202</w:t>
            </w:r>
            <w:r>
              <w:rPr>
                <w:rFonts w:ascii="仿宋_GB2312" w:hAnsi="仿宋_GB2312" w:cs="仿宋_GB2312" w:eastAsia="仿宋_GB2312"/>
                <w:sz w:val="20"/>
                <w:color w:val="000000"/>
              </w:rPr>
              <w:t>6</w:t>
            </w:r>
            <w:r>
              <w:rPr>
                <w:rFonts w:ascii="仿宋_GB2312" w:hAnsi="仿宋_GB2312" w:cs="仿宋_GB2312" w:eastAsia="仿宋_GB2312"/>
                <w:sz w:val="20"/>
                <w:color w:val="000000"/>
              </w:rPr>
              <w:t>年地下管廊管理维护</w:t>
            </w:r>
            <w:r>
              <w:rPr>
                <w:rFonts w:ascii="仿宋_GB2312" w:hAnsi="仿宋_GB2312" w:cs="仿宋_GB2312" w:eastAsia="仿宋_GB2312"/>
                <w:sz w:val="20"/>
                <w:color w:val="000000"/>
              </w:rPr>
              <w:t>工作，技术承担单位需主要负责以下工作：</w:t>
            </w:r>
            <w:r>
              <w:rPr>
                <w:rFonts w:ascii="仿宋_GB2312" w:hAnsi="仿宋_GB2312" w:cs="仿宋_GB2312" w:eastAsia="仿宋_GB2312"/>
                <w:sz w:val="20"/>
                <w:color w:val="000000"/>
              </w:rPr>
              <w:t>按照</w:t>
            </w:r>
            <w:r>
              <w:rPr>
                <w:rFonts w:ascii="仿宋_GB2312" w:hAnsi="仿宋_GB2312" w:cs="仿宋_GB2312" w:eastAsia="仿宋_GB2312"/>
                <w:sz w:val="20"/>
                <w:color w:val="000000"/>
              </w:rPr>
              <w:t>服务期限</w:t>
            </w:r>
            <w:r>
              <w:rPr>
                <w:rFonts w:ascii="仿宋_GB2312" w:hAnsi="仿宋_GB2312" w:cs="仿宋_GB2312" w:eastAsia="仿宋_GB2312"/>
                <w:sz w:val="20"/>
                <w:color w:val="000000"/>
              </w:rPr>
              <w:t>，</w:t>
            </w:r>
            <w:r>
              <w:rPr>
                <w:rFonts w:ascii="仿宋_GB2312" w:hAnsi="仿宋_GB2312" w:cs="仿宋_GB2312" w:eastAsia="仿宋_GB2312"/>
                <w:sz w:val="20"/>
                <w:color w:val="000000"/>
              </w:rPr>
              <w:t>对管</w:t>
            </w:r>
            <w:r>
              <w:rPr>
                <w:rFonts w:ascii="仿宋_GB2312" w:hAnsi="仿宋_GB2312" w:cs="仿宋_GB2312" w:eastAsia="仿宋_GB2312"/>
                <w:color w:val="000000"/>
              </w:rPr>
              <w:t>管廊廊体</w:t>
            </w:r>
            <w:r>
              <w:rPr>
                <w:rFonts w:ascii="仿宋_GB2312" w:hAnsi="仿宋_GB2312" w:cs="仿宋_GB2312" w:eastAsia="仿宋_GB2312"/>
                <w:color w:val="000000"/>
              </w:rPr>
              <w:t>、</w:t>
            </w:r>
            <w:r>
              <w:rPr>
                <w:rFonts w:ascii="仿宋_GB2312" w:hAnsi="仿宋_GB2312" w:cs="仿宋_GB2312" w:eastAsia="仿宋_GB2312"/>
                <w:color w:val="000000"/>
              </w:rPr>
              <w:t>管线支架</w:t>
            </w:r>
            <w:r>
              <w:rPr>
                <w:rFonts w:ascii="仿宋_GB2312" w:hAnsi="仿宋_GB2312" w:cs="仿宋_GB2312" w:eastAsia="仿宋_GB2312"/>
                <w:color w:val="000000"/>
              </w:rPr>
              <w:t>、</w:t>
            </w:r>
            <w:r>
              <w:rPr>
                <w:rFonts w:ascii="仿宋_GB2312" w:hAnsi="仿宋_GB2312" w:cs="仿宋_GB2312" w:eastAsia="仿宋_GB2312"/>
                <w:color w:val="000000"/>
              </w:rPr>
              <w:t>支架螺丝</w:t>
            </w:r>
            <w:r>
              <w:rPr>
                <w:rFonts w:ascii="仿宋_GB2312" w:hAnsi="仿宋_GB2312" w:cs="仿宋_GB2312" w:eastAsia="仿宋_GB2312"/>
                <w:color w:val="000000"/>
              </w:rPr>
              <w:t>、</w:t>
            </w:r>
            <w:r>
              <w:rPr>
                <w:rFonts w:ascii="仿宋_GB2312" w:hAnsi="仿宋_GB2312" w:cs="仿宋_GB2312" w:eastAsia="仿宋_GB2312"/>
                <w:color w:val="000000"/>
              </w:rPr>
              <w:t>井盖</w:t>
            </w:r>
            <w:r>
              <w:rPr>
                <w:rFonts w:ascii="仿宋_GB2312" w:hAnsi="仿宋_GB2312" w:cs="仿宋_GB2312" w:eastAsia="仿宋_GB2312"/>
                <w:color w:val="000000"/>
              </w:rPr>
              <w:t>、</w:t>
            </w:r>
            <w:r>
              <w:rPr>
                <w:rFonts w:ascii="仿宋_GB2312" w:hAnsi="仿宋_GB2312" w:cs="仿宋_GB2312" w:eastAsia="仿宋_GB2312"/>
                <w:color w:val="000000"/>
              </w:rPr>
              <w:t>管廊周边安全</w:t>
            </w:r>
            <w:r>
              <w:rPr>
                <w:rFonts w:ascii="仿宋_GB2312" w:hAnsi="仿宋_GB2312" w:cs="仿宋_GB2312" w:eastAsia="仿宋_GB2312"/>
                <w:color w:val="000000"/>
              </w:rPr>
              <w:t>、</w:t>
            </w:r>
            <w:r>
              <w:rPr>
                <w:rFonts w:ascii="仿宋_GB2312" w:hAnsi="仿宋_GB2312" w:cs="仿宋_GB2312" w:eastAsia="仿宋_GB2312"/>
                <w:color w:val="000000"/>
              </w:rPr>
              <w:t>道路沉陷</w:t>
            </w:r>
            <w:r>
              <w:rPr>
                <w:rFonts w:ascii="仿宋_GB2312" w:hAnsi="仿宋_GB2312" w:cs="仿宋_GB2312" w:eastAsia="仿宋_GB2312"/>
                <w:color w:val="000000"/>
              </w:rPr>
              <w:t>、</w:t>
            </w:r>
            <w:r>
              <w:rPr>
                <w:rFonts w:ascii="仿宋_GB2312" w:hAnsi="仿宋_GB2312" w:cs="仿宋_GB2312" w:eastAsia="仿宋_GB2312"/>
                <w:color w:val="000000"/>
              </w:rPr>
              <w:t>管廊内部异味</w:t>
            </w:r>
            <w:r>
              <w:rPr>
                <w:rFonts w:ascii="仿宋_GB2312" w:hAnsi="仿宋_GB2312" w:cs="仿宋_GB2312" w:eastAsia="仿宋_GB2312"/>
                <w:color w:val="000000"/>
              </w:rPr>
              <w:t>、</w:t>
            </w:r>
            <w:r>
              <w:rPr>
                <w:rFonts w:ascii="仿宋_GB2312" w:hAnsi="仿宋_GB2312" w:cs="仿宋_GB2312" w:eastAsia="仿宋_GB2312"/>
                <w:color w:val="000000"/>
              </w:rPr>
              <w:t>照明灯具完好性</w:t>
            </w:r>
            <w:r>
              <w:rPr>
                <w:rFonts w:ascii="仿宋_GB2312" w:hAnsi="仿宋_GB2312" w:cs="仿宋_GB2312" w:eastAsia="仿宋_GB2312"/>
                <w:color w:val="000000"/>
              </w:rPr>
              <w:t>、</w:t>
            </w:r>
            <w:r>
              <w:rPr>
                <w:rFonts w:ascii="仿宋_GB2312" w:hAnsi="仿宋_GB2312" w:cs="仿宋_GB2312" w:eastAsia="仿宋_GB2312"/>
                <w:color w:val="000000"/>
              </w:rPr>
              <w:t>排水泵启停灵敏</w:t>
            </w:r>
            <w:r>
              <w:rPr>
                <w:rFonts w:ascii="仿宋_GB2312" w:hAnsi="仿宋_GB2312" w:cs="仿宋_GB2312" w:eastAsia="仿宋_GB2312"/>
                <w:color w:val="000000"/>
              </w:rPr>
              <w:t>、</w:t>
            </w:r>
            <w:r>
              <w:rPr>
                <w:rFonts w:ascii="仿宋_GB2312" w:hAnsi="仿宋_GB2312" w:cs="仿宋_GB2312" w:eastAsia="仿宋_GB2312"/>
                <w:color w:val="000000"/>
              </w:rPr>
              <w:t>通风设备运行</w:t>
            </w:r>
            <w:r>
              <w:rPr>
                <w:rFonts w:ascii="仿宋_GB2312" w:hAnsi="仿宋_GB2312" w:cs="仿宋_GB2312" w:eastAsia="仿宋_GB2312"/>
                <w:color w:val="000000"/>
              </w:rPr>
              <w:t>、</w:t>
            </w:r>
            <w:r>
              <w:rPr>
                <w:rFonts w:ascii="仿宋_GB2312" w:hAnsi="仿宋_GB2312" w:cs="仿宋_GB2312" w:eastAsia="仿宋_GB2312"/>
                <w:color w:val="000000"/>
              </w:rPr>
              <w:t>垃圾淤泥清理、管线归位</w:t>
            </w:r>
            <w:r>
              <w:rPr>
                <w:rFonts w:ascii="仿宋_GB2312" w:hAnsi="仿宋_GB2312" w:cs="仿宋_GB2312" w:eastAsia="仿宋_GB2312"/>
                <w:color w:val="000000"/>
              </w:rPr>
              <w:t>检查及</w:t>
            </w:r>
            <w:r>
              <w:rPr>
                <w:rFonts w:ascii="仿宋_GB2312" w:hAnsi="仿宋_GB2312" w:cs="仿宋_GB2312" w:eastAsia="仿宋_GB2312"/>
                <w:color w:val="000000"/>
              </w:rPr>
              <w:t>监控摄像头</w:t>
            </w:r>
            <w:r>
              <w:rPr>
                <w:rFonts w:ascii="仿宋_GB2312" w:hAnsi="仿宋_GB2312" w:cs="仿宋_GB2312" w:eastAsia="仿宋_GB2312"/>
                <w:color w:val="000000"/>
              </w:rPr>
              <w:t>、</w:t>
            </w:r>
            <w:r>
              <w:rPr>
                <w:rFonts w:ascii="仿宋_GB2312" w:hAnsi="仿宋_GB2312" w:cs="仿宋_GB2312" w:eastAsia="仿宋_GB2312"/>
                <w:color w:val="000000"/>
              </w:rPr>
              <w:t>消防设施（灭火器、感烟探测器）维护等，维护人员一个月至少检查</w:t>
            </w:r>
            <w:r>
              <w:rPr>
                <w:rFonts w:ascii="仿宋_GB2312" w:hAnsi="仿宋_GB2312" w:cs="仿宋_GB2312" w:eastAsia="仿宋_GB2312"/>
                <w:color w:val="000000"/>
              </w:rPr>
              <w:t>4次管廊情况</w:t>
            </w:r>
            <w:r>
              <w:rPr>
                <w:rFonts w:ascii="仿宋_GB2312" w:hAnsi="仿宋_GB2312" w:cs="仿宋_GB2312" w:eastAsia="仿宋_GB2312"/>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2026年8月至2027年7月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进度款，2027年7月30日前，达到付款条件起30个工作日内，支付合同总金额的50.0%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甲乙双方合同内约定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1、本项目属性为服务 。 2、成交供应商需在领取中标通知书时提供纸质响应文件正本壹份、副本贰份、电子版壹份（U盘壹份）。 3.付款方式：合同签订后一个月内，支付管廊管理维护费的50%，剩余50%管廊管理维护费于2027年7月30日前一次性付清。 4、本项目所属行业为：其他未列明行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 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法定代表人或被授权人身份证明</w:t>
            </w:r>
          </w:p>
        </w:tc>
        <w:tc>
          <w:tcPr>
            <w:tcW w:type="dxa" w:w="3322"/>
          </w:tcPr>
          <w:p>
            <w:pPr>
              <w:pStyle w:val="null3"/>
            </w:pPr>
            <w:r>
              <w:rPr>
                <w:rFonts w:ascii="仿宋_GB2312" w:hAnsi="仿宋_GB2312" w:cs="仿宋_GB2312" w:eastAsia="仿宋_GB2312"/>
              </w:rPr>
              <w:t>法定代表人直接磋商须提交法定代表人证明书，法定代表人授权代表参加磋商的，须出具授权书、授权代表本单位的证明（授权代表提供有效的磋商截止时间前近半年任意一个月社保缴纳证明）， 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前12个月内任意一个月的缴税证明（注：依法免税或零申报的供应商应提供相关文件证明；若为新成立企业须提供相应月度的缴税证明），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前12个月内任意一个月的社会保险缴纳证明（注：依法不需要缴纳社会保障资金的供应商应提供相关文件证明；若为新成立企业可提供相应月度的社会保险缴纳证明），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供应商须提供具有履行合同所必需的产品和专业技术能力的承诺函，供应商需在项目电子化交易系统中按要求填写并进行电子签章；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供应商应具备良好的商业信誉，提供参加政府采购活动前3年内在经营活动中没有重大违法记录的书面声明，供应商需在项目电子化交易系统中按要求填写并进行电子签章；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型企业采购，仅限符合《政府采购促进中小企业发展管理办法》（财库〔2020〕46号）条件的中型、小型、微型企业参与，供应商应填写中小企业声明函并对其真实性负责（残疾人福利性单位及监狱企业视同为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供应商特定资格证明文件.docx 磋商响应方案.docx 中小企业声明函 商务应答表 供应商应提交的相关资格证明材料 服务内容及服务要求应答表 供应商承诺书.docx 响应文件封面 供应商需要说明的其他内容.docx 残疾人福利性单位声明函 标的清单 供应商业绩.docx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 投标人针对于本项目提供总体服务方案，方案内容包含但不限于：①本项目总体服务的思路；②本项目总体服务目标及计划安排；③项目进驻方案；④协调沟通方案。 二、评审标准 1.完整性：方案完整、内容全面，对评审内容中的各项要求有详细描述及说明； 2.可实施性：方案科学合理，服务高效，可操作性强； 3.针对性：方案能紧扣本项目实际情况，有侧重点，满足各项具体要求。 三、赋分标准（满分12分） ①本项目总体服务的思路：每满足一项评审标准得1分，满分3分； ②本项目总体服务目标及计划安排：每满足一项评审标准得1分，满分3分； ③项目进驻方案：每满足一项评审标准得1分，满分3分； ④协调沟通方案：每满足一项评审标准得1分，满分3分。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一、评审内容： 供应商根据本项目采购需求提供项目整体控制措施，内容至少包括①项目进度保障措施；②项目质量控制的方法和措施；③人员作业安全措施；④重点难点应对的方法和措施； 二、评审标准： 1、完整性：方案须全面，对评审内容中的各项要求有详细描述及说明； 2、可实施性：切合本项目实际情况，实施步骤清晰、合理； 3、针对性：方案能够紧扣项目实际情况，内容科学合理。 三、赋分标准（满分12分）： ①项目进度保障措施：每完全满足一项评审标准得1分，满分3分； ②项目质量控制的方法和措施：每完全满足一项评审标准得1分，满分3分； ③人员作业安全措施：每完全满足一项评审标准得1分，满分3分； ④重点难点应对的方法和措施：每完全满足一项评审标准得1分，满分3分；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供应商根据本项目采购需求提供应急方案，内容至少包括①应急组织机构；②应急响应时间及措施；③应急人员保障及管理等。 二、评审标准： 1、完整性：方案须全面，对评审内容中的各项要求有详细描述及说明； 2、可实施性及针对性：方案能够紧扣项目实际情况，实施步骤清晰、合理，内容科学合理。 三、赋分标准（满分6分）： ①应急组织机构：每完全满足一项评审标准得1分，满分2分； ②应急响应时间及措施：每完全满足一项评审标准得1分，满分2分； ③应急人员保障及管理：每完全满足一项评审标准得1分，满分2分。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 投标人针对于本项目提供服务质量保证措施，内容包含但不限于：①日常管廊廊体巡查质量保证措施；②管廊周边安全检查质量保证措施；③道路沉降检查质量保证措施；④垃圾淤泥清理等质量保证措施；⑤管廊内部异味检查质量保证措施等。 二、评审标准 1.完整性:方案必须全面，对评审内容中的各项要求有详细描述; 2.可实施性及针对性:切合本项目实际情况，提出步骤清晰、合理的方案，方案能够紧扣项目实际情况，内容科学合理。 三、赋分标准 （满分10分） ①日常管廊廊体巡查质量保证措施：每满足一项评审标准得1分，满分2分； ②管廊周边安全检查质量保证措施：每满足一项评审标准得1分，满分2分； ③道路沉降检查质量保证措施：每满足一项评审标准得1分，满分2分； ④垃圾淤泥清理等质量保证措施：每满足一项评审标准得1分，满分2分； ⑤管廊内部异味检查质量保证措施：每满足一项评审标准得1分，满分2分。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投标人针对于本项目提供管理制度，评审内容：①内控制度；②岗位职责；③服务人员岗位考核细则、经济考核制度、请销假制度、考核奖惩制度；④档案管理制度。评审依据： 每提供一个（项）得2分，未提供不计分。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1.接受采购人对本项目服务的考核、监督及管理，确保服务工作优质高效完成。有承诺得2分，无承诺不得分。 2.上岗人员固定，不得随意更换，若出现服务人员因事、病等不能工作的，及时调整其他服务人员补充，确保服务工作的正常进行。有承诺得2分，无承诺不得分。 3.承诺全体服务人员有近一年医院体检合格证明，有承诺得2分，无承诺不得分。 4.承诺所有拟派人员无犯罪记录，有承诺得2分，无承诺不得分。 5.承诺重点岗位人员不得随意更换，且储备可调度人员，调度人员可保障临时性工作需要及突发事件处置，有承诺得2分，无承诺不得分。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除负责人外，项目组人员每增加1名得1分，最高得8分。（提供提供社保缴纳证明，身份证，学历证）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如遇特殊情况确需更换项目组人员的，应提前向采购人告知，并取得采购人同意，所更换人员资质、能力不得低于拟更换人员，不对采购人造成任何损失，符合实际需求，得3分，未提供不得分。（提供承诺函）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①拟派项目负责人，具有本科及以上学历，须提供身份证、学历证书扫描件或《教育部学历证书电子注册备案表》或《在线验证报告》扫描件，完全满足得2分，不提供、缺项或不满足要求不得分。 ②项目负责人具有建筑工程相关专业中级及以上职称得2分，不提供或不满足要求不得分。 ③拟派项目经理具有2年及以上相关工作经验，得2分，须提供被服务单位加盖公章的证明材料，不提供或不满足要求不得分。 注：上述两项除相关证书外，还须提供项目负责人投标截止日之前六个月以内任意一个月份在投标人单位所缴纳的社保证明材料复印件并加盖供应商公章，不提供、证明材料不完全的不得分。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日常巡检与常态化维护</w:t>
            </w:r>
          </w:p>
        </w:tc>
        <w:tc>
          <w:tcPr>
            <w:tcW w:type="dxa" w:w="2492"/>
          </w:tcPr>
          <w:p>
            <w:pPr>
              <w:pStyle w:val="null3"/>
            </w:pPr>
            <w:r>
              <w:rPr>
                <w:rFonts w:ascii="仿宋_GB2312" w:hAnsi="仿宋_GB2312" w:cs="仿宋_GB2312" w:eastAsia="仿宋_GB2312"/>
              </w:rPr>
              <w:t>①制定日巡、周检、月维保台账②设备检修计划③廊体渗漏/结构病害处置流程完整。评审依据： 每提供一个（项）得2分，未提供不计分。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应急保障配置</w:t>
            </w:r>
          </w:p>
        </w:tc>
        <w:tc>
          <w:tcPr>
            <w:tcW w:type="dxa" w:w="2492"/>
          </w:tcPr>
          <w:p>
            <w:pPr>
              <w:pStyle w:val="null3"/>
            </w:pPr>
            <w:r>
              <w:rPr>
                <w:rFonts w:ascii="仿宋_GB2312" w:hAnsi="仿宋_GB2312" w:cs="仿宋_GB2312" w:eastAsia="仿宋_GB2312"/>
              </w:rPr>
              <w:t>①明确提供24小时值守人员名单、抢修设备清单、备品备件清单并加盖公章，全部提供得2分未提供不计分； ②提供驻场保障服务承诺（提供承诺函）得2分，未提供不计分。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2023年6月1日至今的类似项目业绩，每提供 1 个业绩得2.5分，满分为5分（提供合同复印件或成交（中标）通知书加盖公章作为证明材料），未提供不得分。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价格分统一采用低价优先法计算，即满足招标文件要求且价格最低的投标总报价为评标基准价，其价格分为满分。其他供应商价格分统一按照下列公式计算：投标报价得分= (评标基准价／投标报价)×10，计算分数时四舍五入取小数点后两位。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