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版本号：政采-西乡县-2026-0034420260814001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杨河镇易地搬迁后续扶持补短提升项目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政采-西乡县-2026-00344</w:t>
      </w:r>
      <w:r>
        <w:br/>
      </w:r>
      <w:r>
        <w:br/>
      </w:r>
      <w:r>
        <w:br/>
      </w:r>
    </w:p>
    <w:p>
      <w:pPr>
        <w:pStyle w:val="null3"/>
        <w:jc w:val="center"/>
        <w:outlineLvl w:val="2"/>
      </w:pPr>
      <w:r>
        <w:rPr>
          <w:rFonts w:ascii="仿宋_GB2312" w:hAnsi="仿宋_GB2312" w:cs="仿宋_GB2312" w:eastAsia="仿宋_GB2312"/>
          <w:sz w:val="28"/>
          <w:b/>
        </w:rPr>
        <w:t>西乡县杨河镇人民政府</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西乡县杨河镇人民政府</w:t>
      </w:r>
      <w:r>
        <w:rPr>
          <w:rFonts w:ascii="仿宋_GB2312" w:hAnsi="仿宋_GB2312" w:cs="仿宋_GB2312" w:eastAsia="仿宋_GB2312"/>
        </w:rPr>
        <w:t>委托，拟对</w:t>
      </w:r>
      <w:r>
        <w:rPr>
          <w:rFonts w:ascii="仿宋_GB2312" w:hAnsi="仿宋_GB2312" w:cs="仿宋_GB2312" w:eastAsia="仿宋_GB2312"/>
        </w:rPr>
        <w:t>杨河镇易地搬迁后续扶持补短提升项目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政采-西乡县-2026-00344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杨河镇易地搬迁后续扶持补短提升项目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工程为西乡县杨河镇易地搬迁后续扶持补短提质项目工程，该工程主要内容为：项目位于杨河镇拱桥社区，安置点五期内建设钢结构公共服务场地，面积约160平方米；排污管道改造约260米，检查井26处；安置区排洪渠治理约794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采购包1（西乡县杨河镇易地搬迁后续扶持补短提质项目工程）：属于专门面向中小企业采购。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应具备健全的财务会计制度、履行合同所需的设备和专业技术能力、依法缴纳税收和社会保障资金，以及参加本项目采购活动前3年内经营活动无重大违法记录:供应商未被列入“信用中国”网站(http://mw.creditchina.gov.cn)“失信被执行人”、“重大税收违法案件当事人名单”中，也未列入“中国政府采购网”(mm.ccgp.gov.cn)的“政府采购严重违法失信行为记录名单”；拟参与本项目投标响应的供应商应按照汉中市财政局《关于全面推行政府采购供应商基本资格条件承诺制的通知》(汉财办采管(2024)20号)文件要求，需提供《汉中市政府采购供应商资格承诺函》；</w:t>
      </w:r>
    </w:p>
    <w:p>
      <w:pPr>
        <w:pStyle w:val="null3"/>
      </w:pPr>
      <w:r>
        <w:rPr>
          <w:rFonts w:ascii="仿宋_GB2312" w:hAnsi="仿宋_GB2312" w:cs="仿宋_GB2312" w:eastAsia="仿宋_GB2312"/>
        </w:rPr>
        <w:t>4、供应商资质：供应商具有行政主管部门核发的水利水电工程施工总承包三级（含三级）以上资质或市政公用工程三级（含三级）以上资质，且具有有效的安全生产许可证，供应商需在项目电子化交易系统中按要求上传相应证明文件并进行电子签章；</w:t>
      </w:r>
    </w:p>
    <w:p>
      <w:pPr>
        <w:pStyle w:val="null3"/>
      </w:pPr>
      <w:r>
        <w:rPr>
          <w:rFonts w:ascii="仿宋_GB2312" w:hAnsi="仿宋_GB2312" w:cs="仿宋_GB2312" w:eastAsia="仿宋_GB2312"/>
        </w:rPr>
        <w:t>5、项目负责人：拟派项目经理须具备水利水电工程专业二级（含二级）以上注册建造师资格和安全生产考核合格B证或市政公用工程专业二级（含二级）以上注册建造师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6、非联合体投标承诺函：本项目不接受联合体投标，单位负责人为同一人或者存在直接控股、管理关系的不同单位，不得同时参加本项目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西乡县杨河镇人民政府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西乡县杨河镇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西乡县杨河镇人民政府经办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0916-6461306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汉中市汉台区汉上第一街12号楼20层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郗帆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15319294580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采购包1：1,739,112.78元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1、本项目由成交供应商向采购代理机构支付采购代理服务费，采购代理服务费的收取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2、采购代理服务费的缴纳方式：在领取《成交通知书》时向采购代理机构一次性全额缴纳采购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西乡县杨河镇人民政府</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西乡县杨河镇人民政府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西乡县杨河镇人民政府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联系人：郗帆</w:t>
      </w:r>
    </w:p>
    <w:p>
      <w:pPr>
        <w:pStyle w:val="null3"/>
      </w:pPr>
      <w:r>
        <w:rPr>
          <w:rFonts w:ascii="仿宋_GB2312" w:hAnsi="仿宋_GB2312" w:cs="仿宋_GB2312" w:eastAsia="仿宋_GB2312"/>
        </w:rPr>
        <w:t>联系电话：15319294580</w:t>
      </w:r>
    </w:p>
    <w:p>
      <w:pPr>
        <w:pStyle w:val="null3"/>
      </w:pPr>
      <w:r>
        <w:rPr>
          <w:rFonts w:ascii="仿宋_GB2312" w:hAnsi="仿宋_GB2312" w:cs="仿宋_GB2312" w:eastAsia="仿宋_GB2312"/>
        </w:rPr>
        <w:t>地址：汉中市汉台区汉上第一街12号楼20层</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1,739,112.78</w:t>
      </w:r>
    </w:p>
    <w:p>
      <w:pPr>
        <w:pStyle w:val="null3"/>
      </w:pPr>
      <w:r>
        <w:rPr>
          <w:rFonts w:ascii="仿宋_GB2312" w:hAnsi="仿宋_GB2312" w:cs="仿宋_GB2312" w:eastAsia="仿宋_GB2312"/>
        </w:rPr>
        <w:t>采购包最高限价（元）: 1,739,112.78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杨河镇易地搬迁后续扶持补短提升项目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1,739,112.78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标的名称：杨河镇易地搬迁后续扶持补短提升项目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35"/>
            </w:pPr>
            <w:r>
              <w:rPr>
                <w:rFonts w:ascii="仿宋_GB2312" w:hAnsi="仿宋_GB2312" w:cs="仿宋_GB2312" w:eastAsia="仿宋_GB2312"/>
                <w:sz w:val="21"/>
              </w:rPr>
              <w:t>一</w:t>
            </w:r>
            <w:r>
              <w:rPr>
                <w:rFonts w:ascii="仿宋_GB2312" w:hAnsi="仿宋_GB2312" w:cs="仿宋_GB2312" w:eastAsia="仿宋_GB2312"/>
                <w:sz w:val="21"/>
              </w:rPr>
              <w:t>、编制依据</w:t>
            </w:r>
          </w:p>
          <w:p>
            <w:pPr>
              <w:pStyle w:val="null3"/>
              <w:ind w:firstLine="435"/>
            </w:pPr>
            <w:r>
              <w:rPr>
                <w:rFonts w:ascii="仿宋_GB2312" w:hAnsi="仿宋_GB2312" w:cs="仿宋_GB2312" w:eastAsia="仿宋_GB2312"/>
                <w:sz w:val="21"/>
              </w:rPr>
              <w:t>1、中晟恒昌设计集团有限公司</w:t>
            </w:r>
            <w:r>
              <w:rPr>
                <w:rFonts w:ascii="仿宋_GB2312" w:hAnsi="仿宋_GB2312" w:cs="仿宋_GB2312" w:eastAsia="仿宋_GB2312"/>
                <w:sz w:val="21"/>
              </w:rPr>
              <w:t>设计的</w:t>
            </w:r>
            <w:r>
              <w:rPr>
                <w:rFonts w:ascii="仿宋_GB2312" w:hAnsi="仿宋_GB2312" w:cs="仿宋_GB2312" w:eastAsia="仿宋_GB2312"/>
                <w:sz w:val="21"/>
              </w:rPr>
              <w:t>杨河镇易地搬迁后续扶持补短提升项目</w:t>
            </w:r>
            <w:r>
              <w:rPr>
                <w:rFonts w:ascii="仿宋_GB2312" w:hAnsi="仿宋_GB2312" w:cs="仿宋_GB2312" w:eastAsia="仿宋_GB2312"/>
                <w:sz w:val="21"/>
              </w:rPr>
              <w:t>工程</w:t>
            </w:r>
            <w:r>
              <w:rPr>
                <w:rFonts w:ascii="仿宋_GB2312" w:hAnsi="仿宋_GB2312" w:cs="仿宋_GB2312" w:eastAsia="仿宋_GB2312"/>
                <w:sz w:val="21"/>
              </w:rPr>
              <w:t>图纸</w:t>
            </w:r>
            <w:r>
              <w:rPr>
                <w:rFonts w:ascii="仿宋_GB2312" w:hAnsi="仿宋_GB2312" w:cs="仿宋_GB2312" w:eastAsia="仿宋_GB2312"/>
                <w:sz w:val="21"/>
              </w:rPr>
              <w:t>；</w:t>
            </w:r>
          </w:p>
          <w:p>
            <w:pPr>
              <w:pStyle w:val="null3"/>
              <w:ind w:firstLine="435"/>
            </w:pPr>
            <w:r>
              <w:rPr>
                <w:rFonts w:ascii="仿宋_GB2312" w:hAnsi="仿宋_GB2312" w:cs="仿宋_GB2312" w:eastAsia="仿宋_GB2312"/>
                <w:sz w:val="21"/>
              </w:rPr>
              <w:t>2</w:t>
            </w:r>
            <w:r>
              <w:rPr>
                <w:rFonts w:ascii="仿宋_GB2312" w:hAnsi="仿宋_GB2312" w:cs="仿宋_GB2312" w:eastAsia="仿宋_GB2312"/>
                <w:sz w:val="21"/>
              </w:rPr>
              <w:t>、陕西省水利厅发布《陕西水利工程设计概</w:t>
            </w:r>
            <w:r>
              <w:rPr>
                <w:rFonts w:ascii="仿宋_GB2312" w:hAnsi="仿宋_GB2312" w:cs="仿宋_GB2312" w:eastAsia="仿宋_GB2312"/>
                <w:sz w:val="21"/>
              </w:rPr>
              <w:t>(估)算编制规定》、《陕西省水利建筑工程概算定额》（2024年修正）等计价依据的通知（陕水规计发[2024]107号）；</w:t>
            </w:r>
          </w:p>
          <w:p>
            <w:pPr>
              <w:pStyle w:val="null3"/>
              <w:ind w:firstLine="435"/>
            </w:pPr>
            <w:r>
              <w:rPr>
                <w:rFonts w:ascii="仿宋_GB2312" w:hAnsi="仿宋_GB2312" w:cs="仿宋_GB2312" w:eastAsia="仿宋_GB2312"/>
                <w:sz w:val="21"/>
              </w:rPr>
              <w:t>3</w:t>
            </w:r>
            <w:r>
              <w:rPr>
                <w:rFonts w:ascii="仿宋_GB2312" w:hAnsi="仿宋_GB2312" w:cs="仿宋_GB2312" w:eastAsia="仿宋_GB2312"/>
                <w:sz w:val="21"/>
              </w:rPr>
              <w:t>、《陕西省水利建筑工程预算定额》（</w:t>
            </w:r>
            <w:r>
              <w:rPr>
                <w:rFonts w:ascii="仿宋_GB2312" w:hAnsi="仿宋_GB2312" w:cs="仿宋_GB2312" w:eastAsia="仿宋_GB2312"/>
                <w:sz w:val="21"/>
              </w:rPr>
              <w:t>2024年修正）、《陕西省水利设备安装工程预算定额》（2024年修正）、《陕西省水利工程施工机械台班费定额》（2024年修正）；</w:t>
            </w:r>
          </w:p>
          <w:p>
            <w:pPr>
              <w:pStyle w:val="null3"/>
              <w:ind w:firstLine="435"/>
            </w:pPr>
            <w:r>
              <w:rPr>
                <w:rFonts w:ascii="仿宋_GB2312" w:hAnsi="仿宋_GB2312" w:cs="仿宋_GB2312" w:eastAsia="仿宋_GB2312"/>
                <w:sz w:val="21"/>
              </w:rPr>
              <w:t>4</w:t>
            </w:r>
            <w:r>
              <w:rPr>
                <w:rFonts w:ascii="仿宋_GB2312" w:hAnsi="仿宋_GB2312" w:cs="仿宋_GB2312" w:eastAsia="仿宋_GB2312"/>
                <w:sz w:val="21"/>
              </w:rPr>
              <w:t>、该工程主要材料单价按照</w:t>
            </w:r>
            <w:r>
              <w:rPr>
                <w:rFonts w:ascii="仿宋_GB2312" w:hAnsi="仿宋_GB2312" w:cs="仿宋_GB2312" w:eastAsia="仿宋_GB2312"/>
                <w:sz w:val="21"/>
              </w:rPr>
              <w:t>汉中</w:t>
            </w: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年造价信息第</w:t>
            </w:r>
            <w:r>
              <w:rPr>
                <w:rFonts w:ascii="仿宋_GB2312" w:hAnsi="仿宋_GB2312" w:cs="仿宋_GB2312" w:eastAsia="仿宋_GB2312"/>
                <w:sz w:val="21"/>
              </w:rPr>
              <w:t>6</w:t>
            </w:r>
            <w:r>
              <w:rPr>
                <w:rFonts w:ascii="仿宋_GB2312" w:hAnsi="仿宋_GB2312" w:cs="仿宋_GB2312" w:eastAsia="仿宋_GB2312"/>
                <w:sz w:val="21"/>
              </w:rPr>
              <w:t>期材料单价</w:t>
            </w:r>
            <w:r>
              <w:rPr>
                <w:rFonts w:ascii="仿宋_GB2312" w:hAnsi="仿宋_GB2312" w:cs="仿宋_GB2312" w:eastAsia="仿宋_GB2312"/>
                <w:sz w:val="21"/>
              </w:rPr>
              <w:t>并结合</w:t>
            </w:r>
            <w:r>
              <w:rPr>
                <w:rFonts w:ascii="仿宋_GB2312" w:hAnsi="仿宋_GB2312" w:cs="仿宋_GB2312" w:eastAsia="仿宋_GB2312"/>
                <w:sz w:val="21"/>
              </w:rPr>
              <w:t>当前建筑材料市场价综合计入。</w:t>
            </w:r>
          </w:p>
          <w:p>
            <w:pPr>
              <w:pStyle w:val="null3"/>
              <w:ind w:firstLine="435"/>
            </w:pPr>
            <w:r>
              <w:rPr>
                <w:rFonts w:ascii="仿宋_GB2312" w:hAnsi="仿宋_GB2312" w:cs="仿宋_GB2312" w:eastAsia="仿宋_GB2312"/>
                <w:sz w:val="21"/>
              </w:rPr>
              <w:t>二</w:t>
            </w:r>
            <w:r>
              <w:rPr>
                <w:rFonts w:ascii="仿宋_GB2312" w:hAnsi="仿宋_GB2312" w:cs="仿宋_GB2312" w:eastAsia="仿宋_GB2312"/>
                <w:sz w:val="21"/>
              </w:rPr>
              <w:t>、</w:t>
            </w:r>
            <w:r>
              <w:rPr>
                <w:rFonts w:ascii="仿宋_GB2312" w:hAnsi="仿宋_GB2312" w:cs="仿宋_GB2312" w:eastAsia="仿宋_GB2312"/>
                <w:sz w:val="21"/>
              </w:rPr>
              <w:t>工程最高限价为：</w:t>
            </w:r>
            <w:r>
              <w:rPr>
                <w:rFonts w:ascii="仿宋_GB2312" w:hAnsi="仿宋_GB2312" w:cs="仿宋_GB2312" w:eastAsia="仿宋_GB2312"/>
                <w:sz w:val="21"/>
              </w:rPr>
              <w:t>1739112.78</w:t>
            </w:r>
            <w:r>
              <w:rPr>
                <w:rFonts w:ascii="仿宋_GB2312" w:hAnsi="仿宋_GB2312" w:cs="仿宋_GB2312" w:eastAsia="仿宋_GB2312"/>
                <w:sz w:val="21"/>
              </w:rPr>
              <w:t>元</w:t>
            </w:r>
          </w:p>
          <w:p>
            <w:pPr>
              <w:pStyle w:val="null3"/>
              <w:ind w:firstLine="435"/>
            </w:pPr>
            <w:r>
              <w:rPr>
                <w:rFonts w:ascii="仿宋_GB2312" w:hAnsi="仿宋_GB2312" w:cs="仿宋_GB2312" w:eastAsia="仿宋_GB2312"/>
                <w:sz w:val="21"/>
              </w:rPr>
              <w:t>三、该项目采用易投软件</w:t>
            </w:r>
          </w:p>
          <w:p>
            <w:pPr>
              <w:pStyle w:val="null3"/>
              <w:ind w:firstLine="435"/>
            </w:pPr>
            <w:r>
              <w:rPr>
                <w:rFonts w:ascii="仿宋_GB2312" w:hAnsi="仿宋_GB2312" w:cs="仿宋_GB2312" w:eastAsia="仿宋_GB2312"/>
                <w:sz w:val="21"/>
              </w:rPr>
              <w:t>其中：施工安全生产专项工程费为建筑工程费</w:t>
            </w:r>
            <w:r>
              <w:rPr>
                <w:rFonts w:ascii="仿宋_GB2312" w:hAnsi="仿宋_GB2312" w:cs="仿宋_GB2312" w:eastAsia="仿宋_GB2312"/>
                <w:sz w:val="21"/>
              </w:rPr>
              <w:t>*1.03的2.5%；</w:t>
            </w:r>
          </w:p>
          <w:p>
            <w:pPr>
              <w:pStyle w:val="null3"/>
              <w:ind w:firstLine="435"/>
            </w:pPr>
            <w:r>
              <w:rPr>
                <w:rFonts w:ascii="仿宋_GB2312" w:hAnsi="仿宋_GB2312" w:cs="仿宋_GB2312" w:eastAsia="仿宋_GB2312"/>
                <w:sz w:val="21"/>
              </w:rPr>
              <w:t xml:space="preserve">   </w:t>
            </w:r>
            <w:r>
              <w:rPr>
                <w:rFonts w:ascii="仿宋_GB2312" w:hAnsi="仿宋_GB2312" w:cs="仿宋_GB2312" w:eastAsia="仿宋_GB2312"/>
                <w:sz w:val="21"/>
              </w:rPr>
              <w:t>其他临时工程费为（建筑工程费</w:t>
            </w:r>
            <w:r>
              <w:rPr>
                <w:rFonts w:ascii="仿宋_GB2312" w:hAnsi="仿宋_GB2312" w:cs="仿宋_GB2312" w:eastAsia="仿宋_GB2312"/>
                <w:sz w:val="21"/>
              </w:rPr>
              <w:t>+施工安全生产专项工程费）的2%</w:t>
            </w:r>
          </w:p>
          <w:p>
            <w:pPr>
              <w:pStyle w:val="null3"/>
              <w:ind w:firstLine="435"/>
            </w:pPr>
            <w:r>
              <w:rPr>
                <w:rFonts w:ascii="仿宋_GB2312" w:hAnsi="仿宋_GB2312" w:cs="仿宋_GB2312" w:eastAsia="仿宋_GB2312"/>
                <w:sz w:val="21"/>
              </w:rPr>
              <w:t xml:space="preserve">  </w:t>
            </w:r>
            <w:r>
              <w:rPr>
                <w:rFonts w:ascii="仿宋_GB2312" w:hAnsi="仿宋_GB2312" w:cs="仿宋_GB2312" w:eastAsia="仿宋_GB2312"/>
                <w:sz w:val="21"/>
              </w:rPr>
              <w:t>工程保险费为（建筑工程费</w:t>
            </w:r>
            <w:r>
              <w:rPr>
                <w:rFonts w:ascii="仿宋_GB2312" w:hAnsi="仿宋_GB2312" w:cs="仿宋_GB2312" w:eastAsia="仿宋_GB2312"/>
                <w:sz w:val="21"/>
              </w:rPr>
              <w:t>+施工安全生产专项工程费+其他临时工程费）的0.45%</w:t>
            </w:r>
            <w:r>
              <w:rPr>
                <w:rFonts w:ascii="仿宋_GB2312" w:hAnsi="仿宋_GB2312" w:cs="仿宋_GB2312" w:eastAsia="仿宋_GB2312"/>
                <w:sz w:val="21"/>
              </w:rPr>
              <w:t xml:space="preserve">                                                        </w:t>
            </w:r>
            <w:r>
              <w:rPr>
                <w:rFonts w:ascii="仿宋_GB2312" w:hAnsi="仿宋_GB2312" w:cs="仿宋_GB2312" w:eastAsia="仿宋_GB2312"/>
                <w:sz w:val="21"/>
              </w:rPr>
              <w:t>预留金为（建筑工程费</w:t>
            </w:r>
            <w:r>
              <w:rPr>
                <w:rFonts w:ascii="仿宋_GB2312" w:hAnsi="仿宋_GB2312" w:cs="仿宋_GB2312" w:eastAsia="仿宋_GB2312"/>
                <w:sz w:val="21"/>
              </w:rPr>
              <w:t>+施工安全生产专项工程费+其他临时工程费）的2%</w:t>
            </w:r>
            <w:r>
              <w:rPr>
                <w:rFonts w:ascii="仿宋_GB2312" w:hAnsi="仿宋_GB2312" w:cs="仿宋_GB2312" w:eastAsia="仿宋_GB2312"/>
                <w:sz w:val="21"/>
              </w:rPr>
              <w:t xml:space="preserve"> </w:t>
            </w:r>
          </w:p>
          <w:p>
            <w:pPr>
              <w:pStyle w:val="null3"/>
              <w:ind w:firstLine="560"/>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工期：90日历天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http://mw.creditchina.gov.cn)“失信被执行人”、“重大税收违法案件当事人名单”中，也未列入“中国政府采购网”(mm.ccgp.gov.cn)的“政府采购严重违法失信行为记录名单”；拟参与本项目投标响应的供应商应按照汉中市财政局《关于全面推行政府采购供应商基本资格条件承诺制的通知》(汉财办采管(2024)20号)文件要求，需提供《汉中市政府采购供应商资格承诺函》；</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行政主管部门核发的水利水电工程施工总承包三级（含三级）以上资质或市政公用工程三级（含三级）以上资质，且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须具备水利水电工程专业二级（含二级）以上注册建造师资格和安全生产考核合格B证或市政公用工程专业二级（含二级）以上注册建造师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非联合体投标承诺函</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本项目不接受联合体投标，单位负责人为同一人或者存在直接控股、管理关系的不同单位，不得同时参加本项目投标，供应商需在项目电子化交易系统中按要求上传相应证明文件并进行电子签章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具体按照财政部《 关于推动解决政府采购异常低价问题的通知》 （财库[2026]2号）文件执行。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响应文件有法定代表人或授权委托人的签字或盖章并加盖投标供应商公章。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响应文件封面 项目管理机构组成表 技术响应方案.docx 残疾人福利性单位声明函 报价函 标的清单 供应商类似项目业绩一览表 供应商应提交的相关资格证明文件.docx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一、评审内容：供应商针对本项目编制完善的施工方案， 内容包含但不限于：①项目总体概况表述；② 施工方法（工艺）；③施工次序；④施工准备：技术准备、材料准备、机械准备、劳动力准备等； ⑤工程重难点及解决措施；二、评审标准完整性：涵盖要求全部内容，无缺项、漏项、内容空白；可实施性：步骤清晰、流程规范、符合施工规范及现场实际，可直接落地执行；针对性：紧扣本项目场地、工况、施工范围、现场条件编制，无通用套话、无脱离项目实际内容。。 三、赋分标准（满分15分，针对每条评审标准，如存在不合理的方面每处扣0.5分，扣完为止）：1. 项目总体概况表述（3分）：完整、贴合项目实际、内容详实，同时满足完整性、可实施性、针对性三项标准得3分；缺项、表述笼统、与项目不符、照搬通用概况，每处瑕疵扣0.5分，扣完为止。2. 施工方法（工艺）（3分）：匹配本项目施工内容，工艺流程完整、合规、步骤清晰，贴合现场工况，满足三项核心标准得3分；工艺缺失、流程错误、方法不适配项目、表述模糊，每处瑕疵扣0.5分，扣完为止。3. 施工次序（3分）：施工先后顺序科学合理、工序衔接顺畅，符合项目施工逻辑及规范要求，满足三项核心标准得3分；次序混乱、工序颠倒、衔接不合理、无专项排布，每处瑕疵扣0.5分，扣完为止。4. 施工准备工作（3分）：完整包含技术准备、材料准备、机械准备、劳动力准备四大板块，内容详实、贴合项目需求、具备可落地性，满足三项核心标准得3分；缺任意板块、准备方案笼统、与项目规模不匹配、无具体规划，每处瑕疵扣0.5分，扣完为止。5. 工程重难点及解决措施（3分）：精准识别本项目施工重难点，问题定位贴合实际，解决措施具体、可行、有针对性，满足三项核心标准得3分；重难点识别不全、判断偏差、措施空洞无落地性、无对应解决办法，每处瑕疵扣0.5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施工进度计划及保障措施</w:t>
            </w:r>
          </w:p>
        </w:tc>
        <w:tc>
          <w:tcPr>
            <w:tcW w:type="dxa" w:w="2492"/>
          </w:tcPr>
          <w:p>
            <w:pPr>
              <w:pStyle w:val="null3"/>
            </w:pPr>
            <w:r>
              <w:rPr>
                <w:rFonts w:ascii="仿宋_GB2312" w:hAnsi="仿宋_GB2312" w:cs="仿宋_GB2312" w:eastAsia="仿宋_GB2312"/>
              </w:rPr>
              <w:t>一、评审内容：供应商针对本项目编制完善的施工进度计划，内容包含但不限于： ①施工进度目标及重要节点安排；②施工进度网络图或施工进度表；③进度计划保证措施；④遇汛期、雨期、高温期等情况的工期保证措施。 二、评审标准 ：完整性：全覆盖评审要求四大板块内容，无遗漏；可实施性：进度排布合理、节点清晰、工期可控、保障措施可落地；针对性：结合本项目工期要求、施工体量、季节特点编制，无通用模板内容。 三、赋分标准（满分12分，针对每条评审标准，如存在不合理的方面每处扣0.5分，扣完为止）： 1. 施工进度目标及重要节点安排（3分）：进度目标明确，开工、完工、分项关键节点排布合理、贴合项目工期要求，满足三项核心标准得3分；目标模糊、节点缺失、工期排布不合理、与项目要求不符，每处瑕疵扣0.5分，扣完为止。2. 施工进度网络图/进度表（3分）：提供规范完整的网络图或进度计划表，分项工程排布清晰、工期衔接合理、覆盖全施工周期，满足三项核心标准得3分；未提供图表、图表残缺、逻辑混乱、节点对应错误，每处瑕疵扣0.5分，扣完为止。 3. 常规进度计划保证措施（3分）：从人员、机械、材料、管理、制度等方面制定完善进度保障措施，内容具体、可落地，满足三项核心标准得3分；措施单一、内容空洞、无具体管控手段、通用套话严重，每处瑕疵扣0.5分，扣完为止。4. 遇汛期、雨期、高温期等情况的工期保证措施（3分）：针对项目施工周期内的特殊天气、季节特点，制定专项工期保障、赶工、避险措施，贴合本地气候及项目实际，满足三项核心标准得3分；未覆盖对应季节、措施笼统、无针对性、无法保障工期，每处瑕疵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一、评审内容：供应商针对本项目编制完善的质量保证措施，内容包含但不限于：①质量管理工作流程；②工程质量保障方案；③工程质量控制体系；④各施工阶段质量管理措施。 二、评审标准 。 三、赋分标准 （满分12分，针对每条评审标准，如存在不合理的方面每处扣0.5分，扣完为止）：1. 质量管理工作流程（3分）：建立完整的项目质量管控流程，从进场、施工、验收、复检全流程闭环管理，流程清晰、权责明确，满足三项核心标准得3分；流程残缺、环节缺失、权责模糊、无闭环管理，每处瑕疵扣0.5分，扣完为止。2. 工程质量保障方案（3分）：结合项目质量目标，制定专项质量总体保障方案，目标明确、体系健全、管控思路清晰，满足三项核心标准得3分；方案笼统、无明确质量目标、保障逻辑混乱、套用通用模板，每处瑕疵扣0.5分，扣完为止。3. 施工质量控制措施体系（3分）：针对本项目各分项施工内容，制定具体、细化的质量管控、偏差整改、验收管控措施，满足三项核心标准得3分；措施宽泛、无专项管控手段、无整改机制，每处瑕疵扣0.5分，扣完为止。4. 各施工阶段质量管理措施（3分）：覆盖施工准备、施工过程、竣工验收全阶段质量管控，各阶段管控重点清晰、措施到位，满足三项核心标准得3分；阶段划分不全、部分阶段无管控措施、措施不匹配阶段特点，每处瑕疵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安全文明施工保证措施</w:t>
            </w:r>
          </w:p>
        </w:tc>
        <w:tc>
          <w:tcPr>
            <w:tcW w:type="dxa" w:w="2492"/>
          </w:tcPr>
          <w:p>
            <w:pPr>
              <w:pStyle w:val="null3"/>
            </w:pPr>
            <w:r>
              <w:rPr>
                <w:rFonts w:ascii="仿宋_GB2312" w:hAnsi="仿宋_GB2312" w:cs="仿宋_GB2312" w:eastAsia="仿宋_GB2312"/>
              </w:rPr>
              <w:t>一、评审内容：投标人针对本项目编制完善的安全文明施工保障措施，内容包含但不限于：①安全施工目标及施工现场的临时管理措施；②安全生产应急预案；③文明施工保证措施；④环境保护控制措施：污染物及废弃物处理的排放、噪音控制、防尘及扬尘的控制措施。二、评审标准：完整性：全覆盖安全管理、应急预案、文明施工、环保管控四大板块；可实施性：制度健全、预案完整、管控措施可直接落地、符合现场安全规范；针对性：贴合项目现场环境、施工工况，规避现场安全、环保、文明施工风险。 三、赋分标准（满分12分，针对每条评审标准，如存在不合理的方面每处扣0.5分，扣完为止）： 1. 安全施工目标及施工现场临时管理措施（3分）：明确项目安全管理目标，对现场围挡、临时用电、临时设施、场地布置、人员进出等制定完善管控措施，满足三项核心标准得3分；目标缺失、临时管理内容不全、措施笼统、不符合现场管控要求，每处瑕疵扣0.5分，扣完为止。2. 安全生产应急预案（3分）：针对高处作业、机械作业、触电、防汛、火灾等常见风险制定专项应急预案，包含应急组织、救援流程、物资储备、处置流程，内容完整合规，满足三项核心标准得3分；预案残缺、无针对性风险处置、流程缺失、无应急保障，每处瑕疵扣0.5分，扣完为止。3. 文明施工保证措施（3分）：针对现场场地整洁、物料堆放、施工秩序、现场标识、人员着装等制定完善文明施工管控措施，贴合项目现场，满足三项核心标准得3分；措施简单、管控维度缺失、无现场落地细则，每处瑕疵扣0.5分，扣完为止。4. 环境保护控制措施（3分）：完整包含废弃物处理、污水排放、施工噪音管控、扬尘防尘治理等环保措施，贴合项目施工特点，满足三项核心标准得3分；环保措施缺项、无具体管控手段、不符合环保要求、措施空洞，每处瑕疵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评审内容： 供应商针对本项目提供项目经理部组织机构人员，提供但不限于技术负责人、安全员、质量员、材料员、施工员、资料员等，以上人员配备齐全、岗位职责分工明确、资料齐全的得满分6分，人员配备少1人或该人员未提供相关资料扣1分，扣完为止；（需提供拟派人员身份证、执业资格证书扫描件以及社保缴纳证明，且应加盖投标供应商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 ①劳动力资源配置计划； ②施工机械设备投入计划； ③主要施工材料供应计划。 二、评审标准：完整性：全覆盖劳动力、施工机械、主材供应三大配置计划；可实施性：配置数量、进场时间、调配计划合理，满足施工进度需求；针对性：完全匹配本项目施工工期、施工体量、施工工艺需求。 三、赋分标准（满分9分，针对每条评审标准，如存在不合理的方面每处扣0.5分，扣完为止）：1. 劳动力资源配置计划（3分）：根据施工进度、施工工序制定分阶段劳动力配置计划，人员数量、工种配置合理，进场退场时间明确，满足三项核心标准得3分；工种缺失、人数不匹配、无阶段调配、计划笼统，每处瑕疵扣0.5分，扣完为止。2. 施工机械设备投入计划（3分）：匹配施工工艺及进度，明确机械型号、数量、进场时间、维保管控计划，设备配置充足、适配项目施工，满足三项核心标准得3分；机械配置不足、型号不匹配、无进场计划、无管控措施，每处瑕疵扣0.5分，扣完为止。3. 主要施工材料供应计划（3分）：明确主材采购、进场、检验、存放、供应计划，匹配施工进度，保障施工连续性，满足三项核心标准得3分；材料计划缺失、进场时间混乱、无质量管控、供应无保障，每处瑕疵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2023年1月1日（以签订合同时间为准）至今完成的类似项目业绩，每提供一个合格业绩得2分，满分4分。未提供此项内容不得分。注：业绩以中标或成交通知书、合同协议书为准，响应文件内附相关资料复印件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1.上限为采购项目最高限价，即报价大于上限价视为报价无效； 2.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详见附件：技术响应方案.docx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