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版本号：ZDHH【2026】-01220260425001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乾县农村综合改革村级公益事业财政奖补（路灯安装）项目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ZDHH【2026】-012</w:t>
      </w:r>
      <w:r>
        <w:br/>
      </w:r>
      <w:r>
        <w:br/>
      </w:r>
      <w:r>
        <w:br/>
      </w:r>
    </w:p>
    <w:p>
      <w:pPr>
        <w:pStyle w:val="null3"/>
        <w:jc w:val="center"/>
        <w:outlineLvl w:val="2"/>
      </w:pPr>
      <w:r>
        <w:rPr>
          <w:rFonts w:ascii="仿宋_GB2312" w:hAnsi="仿宋_GB2312" w:cs="仿宋_GB2312" w:eastAsia="仿宋_GB2312"/>
          <w:sz w:val="28"/>
          <w:b/>
        </w:rPr>
        <w:t>乾县农村综合改革领导小组办公室</w:t>
      </w:r>
    </w:p>
    <w:p>
      <w:pPr>
        <w:pStyle w:val="null3"/>
        <w:jc w:val="center"/>
        <w:outlineLvl w:val="2"/>
      </w:pPr>
      <w:r>
        <w:rPr>
          <w:rFonts w:ascii="仿宋_GB2312" w:hAnsi="仿宋_GB2312" w:cs="仿宋_GB2312" w:eastAsia="仿宋_GB2312"/>
          <w:sz w:val="28"/>
          <w:b/>
        </w:rPr>
        <w:t>陕西中达恒辉项目管理有限公司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陕西中达恒辉项目管理有限公司</w:t>
      </w:r>
      <w:r>
        <w:rPr>
          <w:rFonts w:ascii="仿宋_GB2312" w:hAnsi="仿宋_GB2312" w:cs="仿宋_GB2312" w:eastAsia="仿宋_GB2312"/>
        </w:rPr>
        <w:t>（以下简称“代理机构”）受</w:t>
      </w:r>
      <w:r>
        <w:rPr>
          <w:rFonts w:ascii="仿宋_GB2312" w:hAnsi="仿宋_GB2312" w:cs="仿宋_GB2312" w:eastAsia="仿宋_GB2312"/>
        </w:rPr>
        <w:t>乾县农村综合改革领导小组办公室</w:t>
      </w:r>
      <w:r>
        <w:rPr>
          <w:rFonts w:ascii="仿宋_GB2312" w:hAnsi="仿宋_GB2312" w:cs="仿宋_GB2312" w:eastAsia="仿宋_GB2312"/>
        </w:rPr>
        <w:t>委托，拟对</w:t>
      </w:r>
      <w:r>
        <w:rPr>
          <w:rFonts w:ascii="仿宋_GB2312" w:hAnsi="仿宋_GB2312" w:cs="仿宋_GB2312" w:eastAsia="仿宋_GB2312"/>
        </w:rPr>
        <w:t>乾县农村综合改革村级公益事业财政奖补（路灯安装）项目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ZDHH【2026】-012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乾县农村综合改革村级公益事业财政奖补（路灯安装）项目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在全县16个镇办46个村安装太阳能路灯6538盏，确保及时安装到位。其中包1：1196盏路灯，包2：5342盏路灯</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采购包1（乾县农村综合改革村级公益事业财政奖补（路灯安装）项目一标段）：属于专门面向中小企业采购。</w:t>
      </w:r>
    </w:p>
    <w:p>
      <w:pPr>
        <w:pStyle w:val="null3"/>
      </w:pPr>
      <w:r>
        <w:rPr>
          <w:rFonts w:ascii="仿宋_GB2312" w:hAnsi="仿宋_GB2312" w:cs="仿宋_GB2312" w:eastAsia="仿宋_GB2312"/>
        </w:rPr>
        <w:t>采购包2（乾县农村综合改革村级公益事业财政奖补（路灯安装）项目二标段）：属于专门面向中小企业采购。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 证、税务登记证（三证合一只提供营业执照，事业单位提供事业单位法人证书，自然人应提供身份证）合法有效</w:t>
      </w:r>
    </w:p>
    <w:p>
      <w:pPr>
        <w:pStyle w:val="null3"/>
      </w:pPr>
      <w:r>
        <w:rPr>
          <w:rFonts w:ascii="仿宋_GB2312" w:hAnsi="仿宋_GB2312" w:cs="仿宋_GB2312" w:eastAsia="仿宋_GB2312"/>
        </w:rPr>
        <w:t>2、供应商身份证明文件：法定代表人直接参加投标的，须出具法定代表人身份证明书（含法人身份证复印件）；法定代表人授权代表参加投标的，须出具法定代表人授权书（附法定代表人身份证复印件及被授权人身份证复印件）</w:t>
      </w:r>
    </w:p>
    <w:p>
      <w:pPr>
        <w:pStyle w:val="null3"/>
      </w:pPr>
      <w:r>
        <w:rPr>
          <w:rFonts w:ascii="仿宋_GB2312" w:hAnsi="仿宋_GB2312" w:cs="仿宋_GB2312" w:eastAsia="仿宋_GB2312"/>
        </w:rPr>
        <w:t>3、企业资质：供应商须具备建设行政主管部门颁发的市政公用工程施工总承包三级及以上资质，并具有有效的安全生产许可证</w:t>
      </w:r>
    </w:p>
    <w:p>
      <w:pPr>
        <w:pStyle w:val="null3"/>
      </w:pPr>
      <w:r>
        <w:rPr>
          <w:rFonts w:ascii="仿宋_GB2312" w:hAnsi="仿宋_GB2312" w:cs="仿宋_GB2312" w:eastAsia="仿宋_GB2312"/>
        </w:rPr>
        <w:t>4、拟派项目负责人：拟派项目负责人须具备市政公用工程专业二级及以上资格，具有有效的安全生产考核合格证书（B级），且无在建项目</w:t>
      </w:r>
    </w:p>
    <w:p>
      <w:pPr>
        <w:pStyle w:val="null3"/>
      </w:pPr>
      <w:r>
        <w:rPr>
          <w:rFonts w:ascii="仿宋_GB2312" w:hAnsi="仿宋_GB2312" w:cs="仿宋_GB2312" w:eastAsia="仿宋_GB2312"/>
        </w:rPr>
        <w:t>5、书面声明：出具参加本次采购活动前三年内在经营活动中没有重大违法记录的书面声明</w:t>
      </w:r>
    </w:p>
    <w:p>
      <w:pPr>
        <w:pStyle w:val="null3"/>
      </w:pPr>
      <w:r>
        <w:rPr>
          <w:rFonts w:ascii="仿宋_GB2312" w:hAnsi="仿宋_GB2312" w:cs="仿宋_GB2312" w:eastAsia="仿宋_GB2312"/>
        </w:rPr>
        <w:t>6、设备和专业技术能力的承诺：供应商须提供具有履行合同所必需的设备和专业技术能力的承诺</w:t>
      </w:r>
    </w:p>
    <w:p>
      <w:pPr>
        <w:pStyle w:val="null3"/>
      </w:pPr>
      <w:r>
        <w:rPr>
          <w:rFonts w:ascii="仿宋_GB2312" w:hAnsi="仿宋_GB2312" w:cs="仿宋_GB2312" w:eastAsia="仿宋_GB2312"/>
        </w:rPr>
        <w:t>7、财务状况报告：提供2024年度或2025年度经审计的财务报告（成立时间至递交投标文件截止时间不足一年的可提供成立后任意时段的资产负债表）或其基本存款账户开户银行出具投标文件递交截止时间前6个月内的资信证明及基本存款账户开户许可证（或基本存款账户信息）</w:t>
      </w:r>
    </w:p>
    <w:p>
      <w:pPr>
        <w:pStyle w:val="null3"/>
      </w:pPr>
      <w:r>
        <w:rPr>
          <w:rFonts w:ascii="仿宋_GB2312" w:hAnsi="仿宋_GB2312" w:cs="仿宋_GB2312" w:eastAsia="仿宋_GB2312"/>
        </w:rPr>
        <w:t>8、社会保障资金缴纳证明：提供投标文件递交截止时间前6个月内任意一个月已缴纳的社会保障资金缴存单据或社保机构开具的社会保险参保缴费情况证明，依法不需要缴纳社会保障资金的应提供相关文件证明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9、税收缴纳证明：提供投标文件递交截止时间前6个月内任意一个月已缴纳的完税凭证或税务机关开具的完税证明（任意税种），依法免税的应提供相关文件证明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10、信誉要求：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11、本项目不接受联合体投标：本项目不接受联合体投标,供应商需保证资质文件的真实、合法、有效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 证、税务登记证（三证合一只提供营业执照，事业单位提供事业单位法人证书，自然人应提供身份证）合法有效</w:t>
      </w:r>
    </w:p>
    <w:p>
      <w:pPr>
        <w:pStyle w:val="null3"/>
      </w:pPr>
      <w:r>
        <w:rPr>
          <w:rFonts w:ascii="仿宋_GB2312" w:hAnsi="仿宋_GB2312" w:cs="仿宋_GB2312" w:eastAsia="仿宋_GB2312"/>
        </w:rPr>
        <w:t>2、供应商身份证明文件：法定代表人直接参加投标的，须出具法定代表人身份证明书（含法人身份证复印件）；法定代表人授权代表参加投标的，须出具法定代表人授权书（附法定代表人身份证复印件及被授权人身份证复印件）</w:t>
      </w:r>
    </w:p>
    <w:p>
      <w:pPr>
        <w:pStyle w:val="null3"/>
      </w:pPr>
      <w:r>
        <w:rPr>
          <w:rFonts w:ascii="仿宋_GB2312" w:hAnsi="仿宋_GB2312" w:cs="仿宋_GB2312" w:eastAsia="仿宋_GB2312"/>
        </w:rPr>
        <w:t>3、企业资质：供应商须具备建设行政主管部门颁发的市政公用工程施工总承包三级及以上资质，并具有有效的安全生产许可证</w:t>
      </w:r>
    </w:p>
    <w:p>
      <w:pPr>
        <w:pStyle w:val="null3"/>
      </w:pPr>
      <w:r>
        <w:rPr>
          <w:rFonts w:ascii="仿宋_GB2312" w:hAnsi="仿宋_GB2312" w:cs="仿宋_GB2312" w:eastAsia="仿宋_GB2312"/>
        </w:rPr>
        <w:t>4、拟派项目负责人：拟派项目负责人须具备市政公用工程专业二级及以上资格，具有有效的安全生产考核合格证书（B级），且无在建项目</w:t>
      </w:r>
    </w:p>
    <w:p>
      <w:pPr>
        <w:pStyle w:val="null3"/>
      </w:pPr>
      <w:r>
        <w:rPr>
          <w:rFonts w:ascii="仿宋_GB2312" w:hAnsi="仿宋_GB2312" w:cs="仿宋_GB2312" w:eastAsia="仿宋_GB2312"/>
        </w:rPr>
        <w:t>5、书面声明：出具参加本次采购活动前三年内在经营活动中没有重大违法记录的书面声明</w:t>
      </w:r>
    </w:p>
    <w:p>
      <w:pPr>
        <w:pStyle w:val="null3"/>
      </w:pPr>
      <w:r>
        <w:rPr>
          <w:rFonts w:ascii="仿宋_GB2312" w:hAnsi="仿宋_GB2312" w:cs="仿宋_GB2312" w:eastAsia="仿宋_GB2312"/>
        </w:rPr>
        <w:t>6、设备和专业技术能力的承诺：供应商须提供具有履行合同所必需的设备和专业技术能力的承诺</w:t>
      </w:r>
    </w:p>
    <w:p>
      <w:pPr>
        <w:pStyle w:val="null3"/>
      </w:pPr>
      <w:r>
        <w:rPr>
          <w:rFonts w:ascii="仿宋_GB2312" w:hAnsi="仿宋_GB2312" w:cs="仿宋_GB2312" w:eastAsia="仿宋_GB2312"/>
        </w:rPr>
        <w:t>7、财务状况报告：提供2024年度或2025年度经审计的财务报告（成立时间至递交投标文件截止时间不足一年的可提供成立后任意时段的资产负债表）或其基本存款账户开户银行出具投标文件递交截止时间前6个月内的资信证明及基本存款账户开户许可证（或基本存款账户信息）</w:t>
      </w:r>
    </w:p>
    <w:p>
      <w:pPr>
        <w:pStyle w:val="null3"/>
      </w:pPr>
      <w:r>
        <w:rPr>
          <w:rFonts w:ascii="仿宋_GB2312" w:hAnsi="仿宋_GB2312" w:cs="仿宋_GB2312" w:eastAsia="仿宋_GB2312"/>
        </w:rPr>
        <w:t>8、社会保障资金缴纳证明：提供投标文件递交截止时间前6个月内任意一个月已缴纳的社会保障资金缴存单据或社保机构开具的社会保险参保缴费情况证明，依法不需要缴纳社会保障资金的应提供相关文件证明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9、税收缴纳证明：提供投标文件递交截止时间前6个月内任意一个月已缴纳的完税凭证或税务机关开具的完税证明（任意税种），依法免税的应提供相关文件证明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10、信誉要求：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11、本项目不接受联合体投标：本项目不接受联合体投标,供应商需保证资质文件的真实、合法、有效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乾县农村综合改革领导小组办公室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乾县城关街办东新街15号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乾县农村综合改革领导小组办公室经办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13700201899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陕西中达恒辉项目管理有限公司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陕西省咸阳市秦都区陕西省西咸新区沣西新城丰邑大道与康定路交汇处沣西国际大厦1号楼1104室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029-81636358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采购包1：1,508,000.00元</w:t>
            </w:r>
          </w:p>
          <w:p>
            <w:pPr>
              <w:pStyle w:val="null3"/>
            </w:pPr>
            <w:r>
              <w:rPr>
                <w:rFonts w:ascii="仿宋_GB2312" w:hAnsi="仿宋_GB2312" w:cs="仿宋_GB2312" w:eastAsia="仿宋_GB2312"/>
              </w:rPr>
              <w:t>采购包2：6,738,400.00元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乾县农村综合改革领导小组办公室</w:t>
      </w:r>
      <w:r>
        <w:rPr>
          <w:rFonts w:ascii="仿宋_GB2312" w:hAnsi="仿宋_GB2312" w:cs="仿宋_GB2312" w:eastAsia="仿宋_GB2312"/>
        </w:rPr>
        <w:t>和</w:t>
      </w:r>
      <w:r>
        <w:rPr>
          <w:rFonts w:ascii="仿宋_GB2312" w:hAnsi="仿宋_GB2312" w:cs="仿宋_GB2312" w:eastAsia="仿宋_GB2312"/>
        </w:rPr>
        <w:t>陕西中达恒辉项目管理有限公司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乾县农村综合改革领导小组办公室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陕西中达恒辉项目管理有限公司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乾县农村综合改革领导小组办公室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陕西中达恒辉项目管理有限公司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1.项目安装完成后，中标人向采购人提交验收申请。 2.采购人收到验收申请后组织验收，验收时中标人应无条件予以配合并提供验收所需的全部资料，若中标人不配合或者未达到合同约定的，采购人将拒绝验收。3.验收依据：招标文件、投标文件、合同文本、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1.项目安装完成后，中标人向采购人提交验收申请。 2.采购人收到验收申请后组织验收，验收时中标人应无条件予以配合并提供验收所需的全部资料，若中标人不配合或者未达到合同约定的，采购人将拒绝验收。3.验收依据：招标文件、投标文件、合同文本、国内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陕西中达恒辉项目管理有限公司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陕西中达恒辉项目管理有限公司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陕西中达恒辉项目管理有限公司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联系人：任乐</w:t>
      </w:r>
    </w:p>
    <w:p>
      <w:pPr>
        <w:pStyle w:val="null3"/>
      </w:pPr>
      <w:r>
        <w:rPr>
          <w:rFonts w:ascii="仿宋_GB2312" w:hAnsi="仿宋_GB2312" w:cs="仿宋_GB2312" w:eastAsia="仿宋_GB2312"/>
        </w:rPr>
        <w:t>联系电话：029-81636358</w:t>
      </w:r>
    </w:p>
    <w:p>
      <w:pPr>
        <w:pStyle w:val="null3"/>
      </w:pPr>
      <w:r>
        <w:rPr>
          <w:rFonts w:ascii="仿宋_GB2312" w:hAnsi="仿宋_GB2312" w:cs="仿宋_GB2312" w:eastAsia="仿宋_GB2312"/>
        </w:rPr>
        <w:t>地址：陕西省西咸新区沣西新城丰邑大道与康定路交汇处沣西国际大厦1号楼1104室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在全县16个镇办46个村安装太阳能路灯6538盏，确保及时安装到位。其中包1：1196盏路灯，包2：5342盏路灯。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1,508,000.00</w:t>
      </w:r>
    </w:p>
    <w:p>
      <w:pPr>
        <w:pStyle w:val="null3"/>
      </w:pPr>
      <w:r>
        <w:rPr>
          <w:rFonts w:ascii="仿宋_GB2312" w:hAnsi="仿宋_GB2312" w:cs="仿宋_GB2312" w:eastAsia="仿宋_GB2312"/>
        </w:rPr>
        <w:t>采购包最高限价（元）: 1,508,000.00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路灯安装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6,738,400.00</w:t>
      </w:r>
    </w:p>
    <w:p>
      <w:pPr>
        <w:pStyle w:val="null3"/>
      </w:pPr>
      <w:r>
        <w:rPr>
          <w:rFonts w:ascii="仿宋_GB2312" w:hAnsi="仿宋_GB2312" w:cs="仿宋_GB2312" w:eastAsia="仿宋_GB2312"/>
        </w:rPr>
        <w:t>采购包最高限价（元）: 6,738,400.00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路灯安装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6,738,400.00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标的名称：路灯安装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b/>
              </w:rPr>
              <w:t>一、采购清单：</w:t>
            </w:r>
          </w:p>
          <w:tbl>
            <w:tblPr>
              <w:tblInd w:type="dxa" w:w="90"/>
              <w:tblBorders>
                <w:top w:val="none" w:color="000000" w:sz="4"/>
                <w:left w:val="none" w:color="000000" w:sz="4"/>
                <w:bottom w:val="none" w:color="000000" w:sz="4"/>
                <w:right w:val="none" w:color="000000" w:sz="4"/>
                <w:insideH w:val="none"/>
                <w:insideV w:val="none"/>
              </w:tblBorders>
            </w:tblPr>
            <w:tblGrid>
              <w:gridCol w:w="260"/>
              <w:gridCol w:w="411"/>
              <w:gridCol w:w="704"/>
              <w:gridCol w:w="732"/>
              <w:gridCol w:w="425"/>
            </w:tblGrid>
            <w:tr>
              <w:tc>
                <w:tcPr>
                  <w:tcW w:type="dxa" w:w="26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4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乡镇名称</w:t>
                  </w:r>
                </w:p>
              </w:tc>
              <w:tc>
                <w:tcPr>
                  <w:tcW w:type="dxa" w:w="7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行政村</w:t>
                  </w:r>
                </w:p>
              </w:tc>
              <w:tc>
                <w:tcPr>
                  <w:tcW w:type="dxa" w:w="7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项目名称</w:t>
                  </w:r>
                </w:p>
              </w:tc>
              <w:tc>
                <w:tcPr>
                  <w:tcW w:type="dxa" w:w="4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路灯（盏）</w:t>
                  </w:r>
                </w:p>
              </w:tc>
            </w:tr>
            <w:tr>
              <w:tc>
                <w:tcPr>
                  <w:tcW w:type="dxa" w:w="260"/>
                  <w:vMerge/>
                  <w:tcBorders>
                    <w:top w:val="single" w:color="000000" w:sz="4"/>
                    <w:left w:val="single" w:color="000000" w:sz="4"/>
                    <w:bottom w:val="single" w:color="000000" w:sz="4"/>
                    <w:right w:val="single" w:color="000000" w:sz="4"/>
                  </w:tcBorders>
                </w:tcPr>
                <w:p/>
              </w:tc>
              <w:tc>
                <w:tcPr>
                  <w:tcW w:type="dxa" w:w="411"/>
                  <w:vMerge/>
                  <w:tcBorders>
                    <w:top w:val="single" w:color="000000" w:sz="4"/>
                    <w:left w:val="none" w:color="000000" w:sz="4"/>
                    <w:bottom w:val="single" w:color="000000" w:sz="4"/>
                    <w:right w:val="single" w:color="000000" w:sz="4"/>
                  </w:tcBorders>
                </w:tcPr>
                <w:p/>
              </w:tc>
              <w:tc>
                <w:tcPr>
                  <w:tcW w:type="dxa" w:w="704"/>
                  <w:vMerge/>
                  <w:tcBorders>
                    <w:top w:val="single" w:color="000000" w:sz="4"/>
                    <w:left w:val="none" w:color="000000" w:sz="4"/>
                    <w:bottom w:val="single" w:color="000000" w:sz="4"/>
                    <w:right w:val="single" w:color="000000" w:sz="4"/>
                  </w:tcBorders>
                </w:tcPr>
                <w:p/>
              </w:tc>
              <w:tc>
                <w:tcPr>
                  <w:tcW w:type="dxa" w:w="732"/>
                  <w:vMerge/>
                  <w:tcBorders>
                    <w:top w:val="single" w:color="000000" w:sz="4"/>
                    <w:left w:val="none" w:color="000000" w:sz="4"/>
                    <w:bottom w:val="single" w:color="000000" w:sz="4"/>
                    <w:right w:val="single" w:color="000000" w:sz="4"/>
                  </w:tcBorders>
                </w:tcPr>
                <w:p/>
              </w:tc>
              <w:tc>
                <w:tcPr>
                  <w:tcW w:type="dxa" w:w="425"/>
                  <w:vMerge/>
                  <w:tcBorders>
                    <w:top w:val="single" w:color="000000" w:sz="4"/>
                    <w:left w:val="none" w:color="000000" w:sz="4"/>
                    <w:bottom w:val="single" w:color="000000" w:sz="4"/>
                    <w:right w:val="single" w:color="000000" w:sz="4"/>
                  </w:tcBorders>
                </w:tcP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w:t>
                  </w:r>
                </w:p>
              </w:tc>
              <w:tc>
                <w:tcPr>
                  <w:tcW w:type="dxa" w:w="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薛录镇</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昙支坊</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村内亮化</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50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w:t>
                  </w:r>
                </w:p>
              </w:tc>
              <w:tc>
                <w:tcPr>
                  <w:tcW w:type="dxa" w:w="411"/>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西天堡村（东西组）</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村内亮化</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80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3</w:t>
                  </w:r>
                </w:p>
              </w:tc>
              <w:tc>
                <w:tcPr>
                  <w:tcW w:type="dxa" w:w="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姜村镇</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田双村</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路面亮化工程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150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4</w:t>
                  </w:r>
                </w:p>
              </w:tc>
              <w:tc>
                <w:tcPr>
                  <w:tcW w:type="dxa" w:w="411"/>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姜村村</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路面亮化工程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110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5</w:t>
                  </w:r>
                </w:p>
              </w:tc>
              <w:tc>
                <w:tcPr>
                  <w:tcW w:type="dxa" w:w="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马连镇</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三马村</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村内亮化工程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156</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6</w:t>
                  </w:r>
                </w:p>
              </w:tc>
              <w:tc>
                <w:tcPr>
                  <w:tcW w:type="dxa" w:w="411"/>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高家庄村</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村内亮化工程</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7</w:t>
                  </w:r>
                </w:p>
              </w:tc>
              <w:tc>
                <w:tcPr>
                  <w:tcW w:type="dxa" w:w="4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王村镇</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王召村</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太阳能路灯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200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8</w:t>
                  </w:r>
                </w:p>
              </w:tc>
              <w:tc>
                <w:tcPr>
                  <w:tcW w:type="dxa" w:w="411"/>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大王村</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太阳能路灯</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9</w:t>
                  </w:r>
                </w:p>
              </w:tc>
              <w:tc>
                <w:tcPr>
                  <w:tcW w:type="dxa" w:w="411"/>
                  <w:vMerge/>
                  <w:tcBorders>
                    <w:top w:val="none" w:color="000000" w:sz="4"/>
                    <w:left w:val="none" w:color="000000" w:sz="4"/>
                    <w:bottom w:val="single" w:color="000000" w:sz="4"/>
                    <w:right w:val="single" w:color="000000" w:sz="4"/>
                  </w:tcBorders>
                </w:tc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索村</w:t>
                  </w:r>
                </w:p>
              </w:tc>
              <w:tc>
                <w:tcPr>
                  <w:tcW w:type="dxa" w:w="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村内亮化项目</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150</w:t>
                  </w:r>
                </w:p>
              </w:tc>
            </w:tr>
            <w:tr>
              <w:tc>
                <w:tcPr>
                  <w:tcW w:type="dxa" w:w="21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合计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1196</w:t>
                  </w:r>
                </w:p>
              </w:tc>
            </w:tr>
          </w:tbl>
          <w:p>
            <w:pPr>
              <w:pStyle w:val="null3"/>
              <w:spacing w:before="105" w:after="105"/>
              <w:jc w:val="left"/>
            </w:pPr>
            <w:r>
              <w:rPr>
                <w:rFonts w:ascii="仿宋_GB2312" w:hAnsi="仿宋_GB2312" w:cs="仿宋_GB2312" w:eastAsia="仿宋_GB2312"/>
                <w:sz w:val="24"/>
                <w:b/>
              </w:rPr>
              <w:t>二、参数要求：</w:t>
            </w:r>
          </w:p>
          <w:p>
            <w:pPr>
              <w:pStyle w:val="null3"/>
              <w:spacing w:before="105" w:after="105"/>
              <w:ind w:firstLine="482"/>
              <w:jc w:val="left"/>
            </w:pPr>
            <w:r>
              <w:rPr>
                <w:rFonts w:ascii="仿宋_GB2312" w:hAnsi="仿宋_GB2312" w:cs="仿宋_GB2312" w:eastAsia="仿宋_GB2312"/>
                <w:sz w:val="24"/>
                <w:b/>
              </w:rPr>
              <w:t>抱箍式太阳能路灯：</w:t>
            </w:r>
          </w:p>
          <w:p>
            <w:pPr>
              <w:pStyle w:val="null3"/>
              <w:ind w:firstLine="482"/>
              <w:jc w:val="left"/>
            </w:pPr>
            <w:r>
              <w:rPr>
                <w:rFonts w:ascii="仿宋_GB2312" w:hAnsi="仿宋_GB2312" w:cs="仿宋_GB2312" w:eastAsia="仿宋_GB2312"/>
                <w:sz w:val="24"/>
              </w:rPr>
              <w:t>1、灯具（LED灯源）：功率≥80W，显色指数Ra≥70,色温≥600OK，防护等级≥IP65。</w:t>
            </w:r>
          </w:p>
          <w:p>
            <w:pPr>
              <w:pStyle w:val="null3"/>
              <w:ind w:firstLine="482"/>
              <w:jc w:val="left"/>
            </w:pPr>
            <w:r>
              <w:rPr>
                <w:rFonts w:ascii="仿宋_GB2312" w:hAnsi="仿宋_GB2312" w:cs="仿宋_GB2312" w:eastAsia="仿宋_GB2312"/>
                <w:sz w:val="24"/>
              </w:rPr>
              <w:t>2、太阳能电池板：功率≥120W</w:t>
            </w:r>
          </w:p>
          <w:p>
            <w:pPr>
              <w:pStyle w:val="null3"/>
              <w:ind w:firstLine="482"/>
              <w:jc w:val="left"/>
            </w:pPr>
            <w:r>
              <w:rPr>
                <w:rFonts w:ascii="仿宋_GB2312" w:hAnsi="仿宋_GB2312" w:cs="仿宋_GB2312" w:eastAsia="仿宋_GB2312"/>
                <w:sz w:val="24"/>
              </w:rPr>
              <w:t>3、储能蓄电池：磷酸铁锂电池≥120Ah</w:t>
            </w:r>
          </w:p>
          <w:p>
            <w:pPr>
              <w:pStyle w:val="null3"/>
              <w:ind w:firstLine="482"/>
              <w:jc w:val="left"/>
            </w:pPr>
            <w:r>
              <w:rPr>
                <w:rFonts w:ascii="仿宋_GB2312" w:hAnsi="仿宋_GB2312" w:cs="仿宋_GB2312" w:eastAsia="仿宋_GB2312"/>
                <w:sz w:val="24"/>
              </w:rPr>
              <w:t>4、控制器：控制方式PWM或MPPT,充电效率不低于 90% 。</w:t>
            </w:r>
          </w:p>
          <w:p>
            <w:pPr>
              <w:pStyle w:val="null3"/>
              <w:ind w:firstLine="482"/>
              <w:jc w:val="left"/>
            </w:pPr>
            <w:r>
              <w:rPr>
                <w:rFonts w:ascii="仿宋_GB2312" w:hAnsi="仿宋_GB2312" w:cs="仿宋_GB2312" w:eastAsia="仿宋_GB2312"/>
                <w:sz w:val="24"/>
              </w:rPr>
              <w:t>5、抱箍组件及连接件等：</w:t>
            </w:r>
          </w:p>
          <w:p>
            <w:pPr>
              <w:pStyle w:val="null3"/>
              <w:ind w:firstLine="482"/>
              <w:jc w:val="left"/>
            </w:pPr>
            <w:r>
              <w:rPr>
                <w:rFonts w:ascii="仿宋_GB2312" w:hAnsi="仿宋_GB2312" w:cs="仿宋_GB2312" w:eastAsia="仿宋_GB2312"/>
                <w:sz w:val="24"/>
              </w:rPr>
              <w:t>1）臂长≥1.2m,直径*壁厚≥φ60*2.5mm（抱箍杆件直径约200mm，以现场实物为准）；</w:t>
            </w:r>
          </w:p>
          <w:p>
            <w:pPr>
              <w:pStyle w:val="null3"/>
              <w:ind w:firstLine="482"/>
              <w:jc w:val="left"/>
            </w:pPr>
            <w:r>
              <w:rPr>
                <w:rFonts w:ascii="仿宋_GB2312" w:hAnsi="仿宋_GB2312" w:cs="仿宋_GB2312" w:eastAsia="仿宋_GB2312"/>
                <w:sz w:val="24"/>
              </w:rPr>
              <w:t>2）所有结构件及连接件材质不低于Q235碳素钢，表面防锈处理、灰色烤漆。</w:t>
            </w:r>
          </w:p>
          <w:p>
            <w:pPr>
              <w:pStyle w:val="null3"/>
              <w:ind w:firstLine="482"/>
              <w:jc w:val="left"/>
            </w:pPr>
            <w:r>
              <w:rPr>
                <w:rFonts w:ascii="仿宋_GB2312" w:hAnsi="仿宋_GB2312" w:cs="仿宋_GB2312" w:eastAsia="仿宋_GB2312"/>
                <w:sz w:val="24"/>
              </w:rPr>
              <w:t>6、整体性能要求：</w:t>
            </w:r>
          </w:p>
          <w:p>
            <w:pPr>
              <w:pStyle w:val="null3"/>
              <w:ind w:firstLine="482"/>
              <w:jc w:val="left"/>
            </w:pPr>
            <w:r>
              <w:rPr>
                <w:rFonts w:ascii="仿宋_GB2312" w:hAnsi="仿宋_GB2312" w:cs="仿宋_GB2312" w:eastAsia="仿宋_GB2312"/>
                <w:sz w:val="24"/>
              </w:rPr>
              <w:t>1）照明时长≥10h/天（晴天）；</w:t>
            </w:r>
          </w:p>
          <w:p>
            <w:pPr>
              <w:pStyle w:val="null3"/>
              <w:ind w:firstLine="482"/>
              <w:jc w:val="left"/>
            </w:pPr>
            <w:r>
              <w:rPr>
                <w:rFonts w:ascii="仿宋_GB2312" w:hAnsi="仿宋_GB2312" w:cs="仿宋_GB2312" w:eastAsia="仿宋_GB2312"/>
                <w:sz w:val="24"/>
              </w:rPr>
              <w:t>2）阴雨天续航≥3 天；</w:t>
            </w:r>
          </w:p>
          <w:p>
            <w:pPr>
              <w:pStyle w:val="null3"/>
              <w:ind w:firstLine="482"/>
              <w:jc w:val="left"/>
            </w:pPr>
            <w:r>
              <w:rPr>
                <w:rFonts w:ascii="仿宋_GB2312" w:hAnsi="仿宋_GB2312" w:cs="仿宋_GB2312" w:eastAsia="仿宋_GB2312"/>
                <w:sz w:val="24"/>
              </w:rPr>
              <w:t>3）抗风等级：≥12 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标的名称：路灯安装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b/>
                <w:color w:val="333333"/>
              </w:rPr>
              <w:t>一、采购清单：</w:t>
            </w:r>
          </w:p>
          <w:tbl>
            <w:tblPr>
              <w:tblInd w:type="dxa" w:w="90"/>
              <w:tblBorders>
                <w:top w:val="none" w:color="000000" w:sz="4"/>
                <w:left w:val="none" w:color="000000" w:sz="4"/>
                <w:bottom w:val="none" w:color="000000" w:sz="4"/>
                <w:right w:val="none" w:color="000000" w:sz="4"/>
                <w:insideH w:val="none"/>
                <w:insideV w:val="none"/>
              </w:tblBorders>
            </w:tblPr>
            <w:tblGrid>
              <w:gridCol w:w="222"/>
              <w:gridCol w:w="370"/>
              <w:gridCol w:w="624"/>
              <w:gridCol w:w="968"/>
              <w:gridCol w:w="357"/>
            </w:tblGrid>
            <w:tr>
              <w:tc>
                <w:tcPr>
                  <w:tcW w:type="dxa" w:w="22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乡镇名称</w:t>
                  </w:r>
                </w:p>
              </w:tc>
              <w:tc>
                <w:tcPr>
                  <w:tcW w:type="dxa" w:w="6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行政村</w:t>
                  </w:r>
                </w:p>
              </w:tc>
              <w:tc>
                <w:tcPr>
                  <w:tcW w:type="dxa" w:w="96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项目名称</w:t>
                  </w:r>
                </w:p>
              </w:tc>
              <w:tc>
                <w:tcPr>
                  <w:tcW w:type="dxa" w:w="35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路灯（盏）</w:t>
                  </w:r>
                </w:p>
              </w:tc>
            </w:tr>
            <w:tr>
              <w:tc>
                <w:tcPr>
                  <w:tcW w:type="dxa" w:w="222"/>
                  <w:vMerge/>
                  <w:tcBorders>
                    <w:top w:val="single" w:color="000000" w:sz="4"/>
                    <w:left w:val="single" w:color="000000" w:sz="4"/>
                    <w:bottom w:val="single" w:color="000000" w:sz="4"/>
                    <w:right w:val="single" w:color="000000" w:sz="4"/>
                  </w:tcBorders>
                </w:tcPr>
                <w:p/>
              </w:tc>
              <w:tc>
                <w:tcPr>
                  <w:tcW w:type="dxa" w:w="370"/>
                  <w:vMerge/>
                  <w:tcBorders>
                    <w:top w:val="single" w:color="000000" w:sz="4"/>
                    <w:left w:val="none" w:color="000000" w:sz="4"/>
                    <w:bottom w:val="single" w:color="000000" w:sz="4"/>
                    <w:right w:val="single" w:color="000000" w:sz="4"/>
                  </w:tcBorders>
                </w:tcPr>
                <w:p/>
              </w:tc>
              <w:tc>
                <w:tcPr>
                  <w:tcW w:type="dxa" w:w="624"/>
                  <w:vMerge/>
                  <w:tcBorders>
                    <w:top w:val="single" w:color="000000" w:sz="4"/>
                    <w:left w:val="none" w:color="000000" w:sz="4"/>
                    <w:bottom w:val="single" w:color="000000" w:sz="4"/>
                    <w:right w:val="single" w:color="000000" w:sz="4"/>
                  </w:tcBorders>
                </w:tcPr>
                <w:p/>
              </w:tc>
              <w:tc>
                <w:tcPr>
                  <w:tcW w:type="dxa" w:w="968"/>
                  <w:vMerge/>
                  <w:tcBorders>
                    <w:top w:val="single" w:color="000000" w:sz="4"/>
                    <w:left w:val="none" w:color="000000" w:sz="4"/>
                    <w:bottom w:val="single" w:color="000000" w:sz="4"/>
                    <w:right w:val="single" w:color="000000" w:sz="4"/>
                  </w:tcBorders>
                </w:tcPr>
                <w:p/>
              </w:tc>
              <w:tc>
                <w:tcPr>
                  <w:tcW w:type="dxa" w:w="357"/>
                  <w:vMerge/>
                  <w:tcBorders>
                    <w:top w:val="single" w:color="000000" w:sz="4"/>
                    <w:left w:val="none" w:color="000000" w:sz="4"/>
                    <w:bottom w:val="single" w:color="000000" w:sz="4"/>
                    <w:right w:val="single" w:color="000000" w:sz="4"/>
                  </w:tcBorders>
                </w:tcP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阳洪镇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团结村陈村组</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好畤村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习家东村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大杨镇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大杨村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杨汉村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路面亮化工程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杨善村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路面亮化工程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让闫村（让村）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村内亮化</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药宁村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村内亮化工程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祥符村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路面亮化工程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阳峪镇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任家洼村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村内亮化工程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冯市村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街区亮化改造</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峰阳镇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峰东村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太阳能路灯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凤凰村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太阳能路灯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注泔镇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羊牧村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太阳能路灯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城关街办</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北寺村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北街村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邀驾宫村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金岭村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高陈村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巨洲村（新巨洲）</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亓父村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乾陵村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37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临平镇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武兴村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武兴村村内亮化工程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165</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70"/>
                  <w:vMerge/>
                  <w:tcBorders>
                    <w:top w:val="none" w:color="000000" w:sz="4"/>
                    <w:left w:val="none" w:color="000000" w:sz="4"/>
                    <w:bottom w:val="non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枣新村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枣新村道路硬化亮化工程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197</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370"/>
                  <w:vMerge/>
                  <w:tcBorders>
                    <w:top w:val="none" w:color="000000" w:sz="4"/>
                    <w:left w:val="none" w:color="000000" w:sz="4"/>
                    <w:bottom w:val="non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龙背村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道路亮化</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370"/>
                  <w:vMerge/>
                  <w:tcBorders>
                    <w:top w:val="none" w:color="000000" w:sz="4"/>
                    <w:left w:val="none" w:color="000000" w:sz="4"/>
                    <w:bottom w:val="non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新星村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新星村道路亮化工程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3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梁村镇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梁村村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路灯安装项目</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370"/>
                  <w:vMerge/>
                  <w:tcBorders>
                    <w:top w:val="singl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西阳坊村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西阳坊村内道路亮化提升项目</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70"/>
                  <w:vMerge/>
                  <w:tcBorders>
                    <w:top w:val="singl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大坡口村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大坡口村内道路亮化提升项目</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37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梁山镇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坊里村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坊里村亮化工程村内路灯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370"/>
                  <w:vMerge/>
                  <w:tcBorders>
                    <w:top w:val="none" w:color="000000" w:sz="4"/>
                    <w:left w:val="none" w:color="000000" w:sz="4"/>
                    <w:bottom w:val="non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吴店村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安装太阳能路灯</w:t>
                  </w:r>
                  <w:r>
                    <w:rPr>
                      <w:rFonts w:ascii="仿宋_GB2312" w:hAnsi="仿宋_GB2312" w:cs="仿宋_GB2312" w:eastAsia="仿宋_GB2312"/>
                      <w:sz w:val="24"/>
                      <w:color w:val="000000"/>
                    </w:rPr>
                    <w:t>120盏</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370"/>
                  <w:vMerge/>
                  <w:tcBorders>
                    <w:top w:val="none" w:color="000000" w:sz="4"/>
                    <w:left w:val="none" w:color="000000" w:sz="4"/>
                    <w:bottom w:val="non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五兴村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安装太阳能路灯</w:t>
                  </w:r>
                  <w:r>
                    <w:rPr>
                      <w:rFonts w:ascii="仿宋_GB2312" w:hAnsi="仿宋_GB2312" w:cs="仿宋_GB2312" w:eastAsia="仿宋_GB2312"/>
                      <w:sz w:val="24"/>
                      <w:color w:val="000000"/>
                    </w:rPr>
                    <w:t>150盏</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3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新阳镇</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善化寺村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安装太阳能路灯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三合村（小咸阳组）</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安装太阳能路灯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三星村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安装太阳能路灯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370"/>
                  <w:vMerge/>
                  <w:tcBorders>
                    <w:top w:val="none" w:color="000000" w:sz="4"/>
                    <w:left w:val="none" w:color="000000" w:sz="4"/>
                    <w:bottom w:val="single" w:color="000000" w:sz="4"/>
                    <w:right w:val="single" w:color="000000" w:sz="4"/>
                  </w:tcBorders>
                </w:tcP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凤凰村</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新阳镇凤凰村亮化项目（</w:t>
                  </w:r>
                  <w:r>
                    <w:rPr>
                      <w:rFonts w:ascii="仿宋_GB2312" w:hAnsi="仿宋_GB2312" w:cs="仿宋_GB2312" w:eastAsia="仿宋_GB2312"/>
                      <w:sz w:val="24"/>
                      <w:color w:val="000000"/>
                    </w:rPr>
                    <w:t>220盏）</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220</w:t>
                  </w:r>
                </w:p>
              </w:tc>
            </w:tr>
            <w:tr>
              <w:tc>
                <w:tcPr>
                  <w:tcW w:type="dxa" w:w="2184"/>
                  <w:gridSpan w:val="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5342</w:t>
                  </w:r>
                </w:p>
              </w:tc>
            </w:tr>
          </w:tbl>
          <w:p>
            <w:pPr>
              <w:pStyle w:val="null3"/>
              <w:spacing w:before="105" w:after="105"/>
              <w:jc w:val="left"/>
            </w:pPr>
            <w:r>
              <w:rPr>
                <w:rFonts w:ascii="仿宋_GB2312" w:hAnsi="仿宋_GB2312" w:cs="仿宋_GB2312" w:eastAsia="仿宋_GB2312"/>
                <w:sz w:val="24"/>
                <w:b/>
                <w:color w:val="333333"/>
              </w:rPr>
              <w:t>二、参数要求：</w:t>
            </w:r>
          </w:p>
          <w:p>
            <w:pPr>
              <w:pStyle w:val="null3"/>
              <w:ind w:firstLine="482"/>
              <w:jc w:val="left"/>
            </w:pPr>
            <w:r>
              <w:rPr>
                <w:rFonts w:ascii="仿宋_GB2312" w:hAnsi="仿宋_GB2312" w:cs="仿宋_GB2312" w:eastAsia="仿宋_GB2312"/>
                <w:sz w:val="24"/>
                <w:b/>
                <w:color w:val="333333"/>
              </w:rPr>
              <w:t>抱箍式太阳能路灯：</w:t>
            </w:r>
          </w:p>
          <w:p>
            <w:pPr>
              <w:pStyle w:val="null3"/>
              <w:ind w:firstLine="480"/>
              <w:jc w:val="left"/>
            </w:pPr>
            <w:r>
              <w:rPr>
                <w:rFonts w:ascii="仿宋_GB2312" w:hAnsi="仿宋_GB2312" w:cs="仿宋_GB2312" w:eastAsia="仿宋_GB2312"/>
                <w:sz w:val="24"/>
                <w:color w:val="333333"/>
              </w:rPr>
              <w:t>1、灯具（LED灯源）：功率≥80W，显色指数Ra≥70,色温≥600OK，防护等级≥IP65。</w:t>
            </w:r>
          </w:p>
          <w:p>
            <w:pPr>
              <w:pStyle w:val="null3"/>
              <w:ind w:firstLine="480"/>
              <w:jc w:val="left"/>
            </w:pPr>
            <w:r>
              <w:rPr>
                <w:rFonts w:ascii="仿宋_GB2312" w:hAnsi="仿宋_GB2312" w:cs="仿宋_GB2312" w:eastAsia="仿宋_GB2312"/>
                <w:sz w:val="24"/>
                <w:color w:val="333333"/>
              </w:rPr>
              <w:t>2、太阳能电池板：功率≥120W</w:t>
            </w:r>
          </w:p>
          <w:p>
            <w:pPr>
              <w:pStyle w:val="null3"/>
              <w:ind w:firstLine="480"/>
              <w:jc w:val="left"/>
            </w:pPr>
            <w:r>
              <w:rPr>
                <w:rFonts w:ascii="仿宋_GB2312" w:hAnsi="仿宋_GB2312" w:cs="仿宋_GB2312" w:eastAsia="仿宋_GB2312"/>
                <w:sz w:val="24"/>
                <w:color w:val="333333"/>
              </w:rPr>
              <w:t>3、储能蓄电池：磷酸铁锂电池≥120Ah</w:t>
            </w:r>
          </w:p>
          <w:p>
            <w:pPr>
              <w:pStyle w:val="null3"/>
              <w:ind w:firstLine="480"/>
              <w:jc w:val="left"/>
            </w:pPr>
            <w:r>
              <w:rPr>
                <w:rFonts w:ascii="仿宋_GB2312" w:hAnsi="仿宋_GB2312" w:cs="仿宋_GB2312" w:eastAsia="仿宋_GB2312"/>
                <w:sz w:val="24"/>
                <w:color w:val="333333"/>
              </w:rPr>
              <w:t>4、控制器：控制方式PWM或MPPT,充电效率不低于 90% 。</w:t>
            </w:r>
          </w:p>
          <w:p>
            <w:pPr>
              <w:pStyle w:val="null3"/>
              <w:ind w:firstLine="480"/>
              <w:jc w:val="left"/>
            </w:pPr>
            <w:r>
              <w:rPr>
                <w:rFonts w:ascii="仿宋_GB2312" w:hAnsi="仿宋_GB2312" w:cs="仿宋_GB2312" w:eastAsia="仿宋_GB2312"/>
                <w:sz w:val="24"/>
                <w:color w:val="333333"/>
              </w:rPr>
              <w:t>5、抱箍组件及连接件等：</w:t>
            </w:r>
          </w:p>
          <w:p>
            <w:pPr>
              <w:pStyle w:val="null3"/>
              <w:ind w:firstLine="480"/>
              <w:jc w:val="left"/>
            </w:pPr>
            <w:r>
              <w:rPr>
                <w:rFonts w:ascii="仿宋_GB2312" w:hAnsi="仿宋_GB2312" w:cs="仿宋_GB2312" w:eastAsia="仿宋_GB2312"/>
                <w:sz w:val="24"/>
                <w:color w:val="333333"/>
              </w:rPr>
              <w:t>1）臂长≥1.2m,直径*壁厚≥φ60*2.5mm（抱箍杆件直径约200mm，以现场实物为准）；</w:t>
            </w:r>
          </w:p>
          <w:p>
            <w:pPr>
              <w:pStyle w:val="null3"/>
              <w:ind w:firstLine="480"/>
              <w:jc w:val="left"/>
            </w:pPr>
            <w:r>
              <w:rPr>
                <w:rFonts w:ascii="仿宋_GB2312" w:hAnsi="仿宋_GB2312" w:cs="仿宋_GB2312" w:eastAsia="仿宋_GB2312"/>
                <w:sz w:val="24"/>
                <w:color w:val="333333"/>
              </w:rPr>
              <w:t>2）所有结构件及连接件材质不低于Q235碳素钢，表面防锈处理、灰色烤漆。</w:t>
            </w:r>
          </w:p>
          <w:p>
            <w:pPr>
              <w:pStyle w:val="null3"/>
              <w:ind w:firstLine="480"/>
              <w:jc w:val="left"/>
            </w:pPr>
            <w:r>
              <w:rPr>
                <w:rFonts w:ascii="仿宋_GB2312" w:hAnsi="仿宋_GB2312" w:cs="仿宋_GB2312" w:eastAsia="仿宋_GB2312"/>
                <w:sz w:val="24"/>
                <w:color w:val="333333"/>
              </w:rPr>
              <w:t>6、整体性能要求：</w:t>
            </w:r>
          </w:p>
          <w:p>
            <w:pPr>
              <w:pStyle w:val="null3"/>
              <w:ind w:firstLine="480"/>
              <w:jc w:val="left"/>
            </w:pPr>
            <w:r>
              <w:rPr>
                <w:rFonts w:ascii="仿宋_GB2312" w:hAnsi="仿宋_GB2312" w:cs="仿宋_GB2312" w:eastAsia="仿宋_GB2312"/>
                <w:sz w:val="24"/>
                <w:color w:val="333333"/>
              </w:rPr>
              <w:t>1）照明时长≥10h/天（晴天）；</w:t>
            </w:r>
          </w:p>
          <w:p>
            <w:pPr>
              <w:pStyle w:val="null3"/>
              <w:ind w:firstLine="480"/>
              <w:jc w:val="left"/>
            </w:pPr>
            <w:r>
              <w:rPr>
                <w:rFonts w:ascii="仿宋_GB2312" w:hAnsi="仿宋_GB2312" w:cs="仿宋_GB2312" w:eastAsia="仿宋_GB2312"/>
                <w:sz w:val="24"/>
                <w:color w:val="333333"/>
              </w:rPr>
              <w:t>2）阴雨天续航≥3 天；</w:t>
            </w:r>
          </w:p>
          <w:p>
            <w:pPr>
              <w:pStyle w:val="null3"/>
              <w:ind w:firstLine="480"/>
              <w:jc w:val="left"/>
            </w:pPr>
            <w:r>
              <w:rPr>
                <w:rFonts w:ascii="仿宋_GB2312" w:hAnsi="仿宋_GB2312" w:cs="仿宋_GB2312" w:eastAsia="仿宋_GB2312"/>
                <w:sz w:val="24"/>
                <w:color w:val="333333"/>
              </w:rPr>
              <w:t>3）抗风等级：≥12 级。</w:t>
            </w:r>
          </w:p>
          <w:p>
            <w:pPr>
              <w:pStyle w:val="null3"/>
              <w:spacing w:before="105" w:after="105"/>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项目开始材料进场后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同时按照安装进度付款，待工程竣工验收合格后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如开据具有权威正规项目质保金保函，可一次性支付剩余款项。如未开具则保留3%质保金</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项目开始材料进场后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同时按照安装进度付款，待工程竣工验收合格后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47.00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如开据具有权威正规项目质保金保函，可一次性支付剩余款项。如未开具则保留3%质保金</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1.项目安装完成后，中标人向采购人提交验收申请。 2.采购人收到验收申请后组织验收，验收时中标人应无条件予以配合并提供验收所需的全部资料，若中标人不配合或者未达到合同约定的，采购人将拒绝验收。3.验收依据：招标文件、投标文件、合同文本、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1.项目安装完成后，中标人向采购人提交验收申请。 2.采购人收到验收申请后组织验收，验收时中标人应无条件予以配合并提供验收所需的全部资料，若中标人不配合或者未达到合同约定的，采购人将拒绝验收。3.验收依据：招标文件、投标文件、合同文本、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自验收合格之日起二年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自验收合格之日起二年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合同执行中发生争议的，当事人双方应协商解决。协商达不成一致时，可向当地行政仲裁机关申请仲裁或者向人民法院提请诉讼。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 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法定代表人直接参加投标的，须出具法定代表人身份证明书（含法人身份证复印件）；法定代表人授权代表参加投标的，须出具法定代表人授权书（附法定代表人身份证复印件及被授权人身份证复印件）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拟派项目负责人须具备市政公用工程专业二级及以上资格，具有有效的安全生产考核合格证书（B级），且无在建项目</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递交投标文件截止时间不足一年的可提供成立后任意时段的资产负债表）或其基本存款账户开户银行出具投标文件递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本项目不接受联合体投标,供应商需保证资质文件的真实、合法、有效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 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法定代表人直接参加投标的，须出具法定代表人身份证明书（含法人身份证复印件）；法定代表人授权代表参加投标的，须出具法定代表人授权书（附法定代表人身份证复印件及被授权人身份证复印件）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拟派项目负责人须具备市政公用工程专业二级及以上资格，具有有效的安全生产考核合格证书（B级），且无在建项目</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递交投标文件截止时间不足一年的可提供成立后任意时段的资产负债表）或其基本存款账户开户银行出具投标文件递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本项目不接受联合体投标,供应商需保证资质文件的真实、合法、有效</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文件，在评标过程中，评标委员会认为供应商报价低于采购预算50%或者低于其他有效供应商报价算术平均价40%，有可能影响产品质量或者不能诚信履约的，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投标文件编制格式</w:t>
            </w:r>
          </w:p>
        </w:tc>
        <w:tc>
          <w:tcPr>
            <w:tcW w:type="dxa" w:w="3322"/>
          </w:tcPr>
          <w:p>
            <w:pPr>
              <w:pStyle w:val="null3"/>
            </w:pPr>
            <w:r>
              <w:rPr>
                <w:rFonts w:ascii="仿宋_GB2312" w:hAnsi="仿宋_GB2312" w:cs="仿宋_GB2312" w:eastAsia="仿宋_GB2312"/>
              </w:rPr>
              <w:t>除明确允许供应商可以自行编写的外，投标文件按照招标文件给定的格式和要求编制</w:t>
            </w:r>
          </w:p>
        </w:tc>
        <w:tc>
          <w:tcPr>
            <w:tcW w:type="dxa" w:w="1661"/>
          </w:tcPr>
          <w:p>
            <w:pPr>
              <w:pStyle w:val="null3"/>
            </w:pPr>
            <w:r>
              <w:rPr>
                <w:rFonts w:ascii="仿宋_GB2312" w:hAnsi="仿宋_GB2312" w:cs="仿宋_GB2312" w:eastAsia="仿宋_GB2312"/>
              </w:rPr>
              <w:t>商务响应偏离表 开标一览表 投标方案 技术响应偏离表 中小企业声明函 承诺书 投标人应提交的相关资格证明材料 业绩一览表 其他资料 投标函 残疾人福利性单位声明函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商务响应偏离表 开标一览表 投标方案 技术响应偏离表 中小企业声明函 承诺书 投标人应提交的相关资格证明材料 业绩一览表 其他资料 投标函 残疾人福利性单位声明函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对招标文件商务要求作出明确且实质性响应；对招标文件技术要求作出明确响应，对不得偏离的要求作出实质性响应。</w:t>
            </w:r>
          </w:p>
        </w:tc>
        <w:tc>
          <w:tcPr>
            <w:tcW w:type="dxa" w:w="1661"/>
          </w:tcPr>
          <w:p>
            <w:pPr>
              <w:pStyle w:val="null3"/>
            </w:pPr>
            <w:r>
              <w:rPr>
                <w:rFonts w:ascii="仿宋_GB2312" w:hAnsi="仿宋_GB2312" w:cs="仿宋_GB2312" w:eastAsia="仿宋_GB2312"/>
              </w:rPr>
              <w:t>商务响应偏离表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文件，在评标过程中，评标委员会认为供应商报价低于采购预算50%或者低于其他有效供应商报价算术平均价40%，有可能影响产品质量或者不能诚信履约的，评标委员会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投标文件编制格式</w:t>
            </w:r>
          </w:p>
        </w:tc>
        <w:tc>
          <w:tcPr>
            <w:tcW w:type="dxa" w:w="3322"/>
          </w:tcPr>
          <w:p>
            <w:pPr>
              <w:pStyle w:val="null3"/>
            </w:pPr>
            <w:r>
              <w:rPr>
                <w:rFonts w:ascii="仿宋_GB2312" w:hAnsi="仿宋_GB2312" w:cs="仿宋_GB2312" w:eastAsia="仿宋_GB2312"/>
              </w:rPr>
              <w:t>除明确允许供应商可以自行编写的外，投标文件按照招标文件给定的格式和要求编制</w:t>
            </w:r>
          </w:p>
        </w:tc>
        <w:tc>
          <w:tcPr>
            <w:tcW w:type="dxa" w:w="1661"/>
          </w:tcPr>
          <w:p>
            <w:pPr>
              <w:pStyle w:val="null3"/>
            </w:pPr>
            <w:r>
              <w:rPr>
                <w:rFonts w:ascii="仿宋_GB2312" w:hAnsi="仿宋_GB2312" w:cs="仿宋_GB2312" w:eastAsia="仿宋_GB2312"/>
              </w:rPr>
              <w:t>商务响应偏离表 开标一览表 投标方案 技术响应偏离表 中小企业声明函 承诺书 投标人应提交的相关资格证明材料 业绩一览表 其他资料 投标函 残疾人福利性单位声明函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商务响应偏离表 开标一览表 投标方案 技术响应偏离表 中小企业声明函 承诺书 投标人应提交的相关资格证明材料 业绩一览表 其他资料 投标函 残疾人福利性单位声明函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对招标文件商务要求作出明确且实质性响应；对招标文件技术要求作出明确响应，对不得偏离的要求作出实质性响应。</w:t>
            </w:r>
          </w:p>
        </w:tc>
        <w:tc>
          <w:tcPr>
            <w:tcW w:type="dxa" w:w="1661"/>
          </w:tcPr>
          <w:p>
            <w:pPr>
              <w:pStyle w:val="null3"/>
            </w:pPr>
            <w:r>
              <w:rPr>
                <w:rFonts w:ascii="仿宋_GB2312" w:hAnsi="仿宋_GB2312" w:cs="仿宋_GB2312" w:eastAsia="仿宋_GB2312"/>
              </w:rPr>
              <w:t>商务响应偏离表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一、评审内容：供应商针对本项目实际情况提供项目实施方案，包含：①项目实施准备；②项目进度安排；③施工技术方法；④施工重点、难点分析及解决措施；⑤验收方案。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上述5项评审内容全部满足评审标准得10分，评审内容缺项每项扣2.0分，每有一项评审内容存在缺陷，根据缺陷程度扣（0-2.0）分，扣完为止。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一、评审内容：供应商针对本项目实际情况提供确保项目质量的技术组织措施，包含：①质量管理工作流程；②质量保障方案；③质量控制体系；④材料和构配件的质量控制。 二、评审标准： 1、完善性：措施必须全面，对评审内容中的各项要求有详细阐述； 2、可实施性：切合本项目实际情况，提出步骤清晰、合理的方案； 3、针对性：措施能够紧扣项目实际情况，内容科学合理。 上述4项评审内容全部满足评审标准得8分，评审内容缺项每项扣2.0分，每有一项评审内容存在缺陷，根据缺陷程度扣（0-2.0）分，扣完为止。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项目主要部件（灯具、太阳能电池板、储能蓄电池、控制器、钢结构件等）的合法来源渠道证明材料（包含但不限于厂家授权、销售合同、销售协议等）。每提供一个主要部件有效的来源渠道证明材料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安全生产与文明施工组织措施</w:t>
            </w:r>
          </w:p>
        </w:tc>
        <w:tc>
          <w:tcPr>
            <w:tcW w:type="dxa" w:w="2492"/>
          </w:tcPr>
          <w:p>
            <w:pPr>
              <w:pStyle w:val="null3"/>
            </w:pPr>
            <w:r>
              <w:rPr>
                <w:rFonts w:ascii="仿宋_GB2312" w:hAnsi="仿宋_GB2312" w:cs="仿宋_GB2312" w:eastAsia="仿宋_GB2312"/>
              </w:rPr>
              <w:t>一、评审内容：供应商针对本项目实际情况提供安全生产与文明施工组织措施，包含：①安全生产的技术组织措施；②安全生产与文明施工的管理制度；③防尘降噪措施； ④节能减排措施；⑤安全生产与文明施工监督检查机制。 二、评审标准： 1、完善性：措施必须全面，对评审内容中的各项要求有详细阐述； 2、可实施性：切合本项目实际情况，提出步骤清晰、合理的方案； 3、针对性：措施能够紧扣项目实际情况，内容科学合理。 上述5项评审内容全部满足评审标准得10分，评审内容缺项每项扣2.0分，每有一项评审内容存在缺陷，根据缺陷程度扣（0-2.0）分，扣完为止。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一、评审内容：供应商针对本项目实际情况提供施工机械配置和材料投入计划，包含：①施工机械配置计划； ②施工材料投入计划；③施工机械的维护保养和材料的贮存；④施工机械、材料的监督和检查。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上述4项评审内容全部满足评审标准得6分，评审内容缺项每项扣1.5分，每有一项评审内容存在缺陷，根据缺陷程度扣（0-1.5）分，扣完为止。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一、评审内容：供应商针对本项目提供人员配置方案，包含：①项目组织架构；②岗位职责；③团队人员配置清单（须提供人员身份证、毕业证、相关行业证书等）。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上述3项评审内容全部满足评审标准得6分，评审内容缺项每项扣2分，每有一项评审内容存在缺陷，根据缺陷程度扣（0-2.0）分，扣完为止。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一、评审内容：供应商针对本项目提供售后服务，售后服务包含：①售后服务机构地址，电话联系人；②售后服务内容及保障服务；③响应时间及承诺；④售后服务定期巡检方案及人员安排。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上述4项评审内容全部满足评审标准得8分，评审内容缺项每项扣2.0分，每有一项评审内容存在缺陷，根据缺陷程度扣（0-2.0）分，扣完为止。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一、评审内容：供应商针对本项目实际情况提供应急预案，应急预案包含：①出现质量问题时的紧急处理措施②遇到突发事故时的应急处理方案③故障响应时技术保障方案。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上述3项评审内容全部满足评审标准得3分，评审内容缺项每项扣1.0分，每有一项评审 内容存在缺陷，根据缺陷程度扣（0-1.0）分，扣完为止。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所投产品选型符合使用需求，配置合理，技术参数清晰明确，整体性能满足招标要求的计10分；所投产品技术参数每有一项负偏离的扣除1分，扣完为止。 注：除在技术参数偏离表响应外、还须提供相应的技术参数证明文件，包括但不限于制造商出具的技术文件、产品彩页、官网截图、检测报告等，否则不予计分。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提供2023年1月1日至今类似项目完成的业绩，每提供一个计1分，最高得3分。须提供完整合同复印件并加盖供应商公章，以合同签订时间为准。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1）供应商所投产品属于《环境标志产品政府采购品目清单》范围内，且具有国家确定的认证机构出具的处于有效期之内的中国环境标志产品认证证书，每有一项得0.5分（提供复印件加并加盖公章）； 2）所投产品属于《节能产品政府采购目录清单》范围内(政府强制采购产品除外)，且具有国家确定的认证机构出具的处于有效期之内的中国节能产品认证证书，每有一项得0.5分（提供复印件加并加盖公章）； 3）投标人所投产品中每有一项产品同时为节能产品和环境标志产品的得1分（提供复印件加并加盖公章）； 以上认证证书不重复计分，最高得1分。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满足招标文件要求且最后报价最低的供应商的价格为基准价，其价格分为满分。其他供应商的价格分统一按照下列公式计算：报价得分=（基准价/投标报价）×30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一、评审内容：供应商针对本项目实际情况提供项目实施方案，包含：①项目实施准备；②项目进度安排；③施工技术方法；④施工重点、难点分析及解决措施；⑤验收方案。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上述5项评审内容全部满足评审标准得10分，评审内容缺项每项扣2.0分，每有一项评审内容存在缺陷，根据缺陷程度扣（0-2.0）分，扣完为止。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一、评审内容：供应商针对本项目实际情况提供确保项目质量的技术组织措施，包含：①质量管理工作流程；②质量保障方案；③质量控制体系；④材料和构配件的质量控制。 二、评审标准： 1、完善性：措施必须全面，对评审内容中的各项要求有详细阐述； 2、可实施性：切合本项目实际情况，提出步骤清晰、合理的方案； 3、针对性：措施能够紧扣项目实际情况，内容科学合理。 上述4项评审内容全部满足评审标准得8分，评审内容缺项每项扣2.0分，每有一项评审内容存在缺陷，根据缺陷程度扣（0-2.0）分，扣完为止。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项目主要部件（灯具、太阳能电池板、储能蓄电池、控制器、钢结构件等）的合法来源渠道证明材料（包含但不限于厂家授权、销售合同、销售协议等）。每提供一个主要部件有效的来源渠道证明材料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安全生产与文明施工组织措施</w:t>
            </w:r>
          </w:p>
        </w:tc>
        <w:tc>
          <w:tcPr>
            <w:tcW w:type="dxa" w:w="2492"/>
          </w:tcPr>
          <w:p>
            <w:pPr>
              <w:pStyle w:val="null3"/>
            </w:pPr>
            <w:r>
              <w:rPr>
                <w:rFonts w:ascii="仿宋_GB2312" w:hAnsi="仿宋_GB2312" w:cs="仿宋_GB2312" w:eastAsia="仿宋_GB2312"/>
              </w:rPr>
              <w:t>一、评审内容：供应商针对本项目实际情况提供安全生产与文明施工组织措施，包含：①安全生产的技术组织措施；②安全生产与文明施工的管理制度；③防尘降噪措施； ④节能减排措施；⑤安全生产与文明施工监督检查机制。 二、评审标准： 1、完善性：措施必须全面，对评审内容中的各项要求有详细阐述； 2、可实施性：切合本项目实际情况，提出步骤清晰、合理的方案； 3、针对性：措施能够紧扣项目实际情况，内容科学合理。 上述5项评审内容全部满足评审标准得10分，评审内容缺项每项扣2.0分，每有一项评审内容存在缺陷，根据缺陷程度扣（0-2.0）分，扣完为止。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一、评审内容：供应商针对本项目实际情况提供施工机械配置和材料投入计划，包含：①施工机械配置计划； ②施工材料投入计划；③施工机械的维护保养和材料的贮存；④施工机械、材料的监督和检查。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上述4项评审内容全部满足评审标准得6分，评审内容缺项每项扣1.5分，每有一项评审内容存在缺陷，根据缺陷程度扣（0-1.5）分，扣完为止。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一、评审内容：供应商针对本项目提供人员配置方案，包含：①项目组织架构；②岗位职责；③团队人员配置清单（须提供人员身份证、毕业证、相关行业证书等）。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上述3项评审内容全部满足评审标准得6分，评审内容缺项每项扣2分，每有一项评审内容存在缺陷，根据缺陷程度扣（0-2.0）分，扣完为止。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一、评审内容：供应商针对本项目提供售后服务，售后服务包含：①售后服务机构地址，电话联系人；②售后服务内容及保障服务；③响应时间及承诺；④售后服务定期巡检方案及人员安排。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上述4项评审内容全部满足评审标准得8分，评审内容缺项每项扣2.0分，每有一项评审内容存在缺陷，根据缺陷程度扣（0-2.0）分，扣完为止。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一、评审内容：供应商针对本项目实际情况提供应急预案，应急预案包含：①出现质量问题时的紧急处理措施②遇到突发事故时的应急处理方案③故障响应时技术保障方案。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上述3项评审内容全部满足评审标准得3分，评审内容缺项每项扣1.0分，每有一项评审 内容存在缺陷，根据缺陷程度扣（0-1.0）分，扣完为止。 说明：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所投产品选型符合使用需求，配置合理，技术参数清晰明确，整体性能满足招标要求的计10分；所投产品技术参数每有一项负偏离的扣除1分，扣完为止。 注：除在技术参数偏离表响应外、还须提供相应的技术参数证明文件，包括但不限于制造商出具的技术文件、产品彩页、官网截图、检测报告等，否则不予计分。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提供2023年1月1日至今类似项目完成的业绩，每提供一个计1分，最高得3分。须提供完整合同复印件并加盖供应商公章，以合同签订时间为准。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1）供应商所投产品属于《环境标志产品政府采购品目清单》范围内，且具有国家确定的认证机构出具的处于有效期之内的中国环境标志产品认证证书，每有一项得0.5分（提供复印件加并加盖公章）； 2）所投产品属于《节能产品政府采购目录清单》范围内(政府强制采购产品除外)，且具有国家确定的认证机构出具的处于有效期之内的中国节能产品认证证书，每有一项得0.5分（提供复印件加并加盖公章）； 3）投标人所投产品中每有一项产品同时为节能产品和环境标志产品的得1分（提供复印件加并加盖公章）； 以上认证证书不重复计分，最高得1分。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满足招标文件要求且最后报价最低的供应商的价格为基准价，其价格分为满分。其他供应商的价格分统一按照下列公式计算：报价得分=（基准价/投标报价）×30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