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版本号：BYZX2026-10620260618001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周至县人民医院9台彩色多普勒超声诊断仪保修项目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BYZX2026-106</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周至县人民医院9台彩色多普勒超声诊断仪保修项目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BYZX2026-106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周至县人民医院9台彩色多普勒超声诊断仪保修项目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对在用的9台彩色多普勒超声诊断仪购买全保保修服务，保修时间为3年 。</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采购包1（周至县人民医院9台彩色多普勒超声诊断仪保修项目）：属于专门面向中小企业采购。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1、主体资格：具有独立承担民事责任能力的法人、其他组织或自然人，提供营业执照/事业单位法人证书/非企业专业服务机构执业许可证/自然人身份证等证明；</w:t>
      </w:r>
    </w:p>
    <w:p>
      <w:pPr>
        <w:pStyle w:val="null3"/>
      </w:pPr>
      <w:r>
        <w:rPr>
          <w:rFonts w:ascii="仿宋_GB2312" w:hAnsi="仿宋_GB2312" w:cs="仿宋_GB2312" w:eastAsia="仿宋_GB2312"/>
        </w:rPr>
        <w:t>2、身份证明：法定代表人参加开标时，提供法定代表人证明书；授权代表参加开标时，提供法定代表人授权书；非法人单位参照执行；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3、财务状况报告：提供经审计的2024年度或2025年度完整的财务审计报告（成⽴时间⾄提交响应⽂件截⽌时间不⾜⼀年的可提供成⽴后任意时段的资产负债表），审计报告应当经过注册会计师⾏业统⼀监管平台备案赋码）或在开标⽇期前六个⽉内其开⼾银⾏出具的资信证明或信⽤担保机构出具的投标担保函，以上三种形式的资料提供任何⼀种即可（分⽀机构如⽆法提供财务审计报告，须出具包含分⽀机构的财务数据的总公司财务审计报告）；</w:t>
      </w:r>
    </w:p>
    <w:p>
      <w:pPr>
        <w:pStyle w:val="null3"/>
      </w:pPr>
      <w:r>
        <w:rPr>
          <w:rFonts w:ascii="仿宋_GB2312" w:hAnsi="仿宋_GB2312" w:cs="仿宋_GB2312" w:eastAsia="仿宋_GB2312"/>
        </w:rPr>
        <w:t>4、税收缴纳证明：提供2025年6月1日至今已缴纳的任意一个月的纳税凭证或完税证明，依法免税的供应商应提供相关文件证明；</w:t>
      </w:r>
    </w:p>
    <w:p>
      <w:pPr>
        <w:pStyle w:val="null3"/>
      </w:pPr>
      <w:r>
        <w:rPr>
          <w:rFonts w:ascii="仿宋_GB2312" w:hAnsi="仿宋_GB2312" w:cs="仿宋_GB2312" w:eastAsia="仿宋_GB2312"/>
        </w:rPr>
        <w:t>5、社会保障资金缴纳证明：提供2025年6月1日至今已缴存的任意一个月的社会保障资金缴纳凭证，或社保机构出具的社会保险参保缴费情况证明，依法不需要缴纳社会保障资金的单位应提供相关证明材料；</w:t>
      </w:r>
    </w:p>
    <w:p>
      <w:pPr>
        <w:pStyle w:val="null3"/>
      </w:pPr>
      <w:r>
        <w:rPr>
          <w:rFonts w:ascii="仿宋_GB2312" w:hAnsi="仿宋_GB2312" w:cs="仿宋_GB2312" w:eastAsia="仿宋_GB2312"/>
        </w:rPr>
        <w:t>6、承诺函：提供具有履行本合同所必需的设备和专业技术能力的承诺函；</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9、资质证书：供应商提供第二类医疗器械经营备案凭证或医疗器械经营许可证。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陕西省西安市浐灞生态区欧亚大道欧亚国际一期B座10楼1007室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不⾜6000元按6000元收取。 账⼾信息： 开⼾名称：陕西百岳项⽬管理咨询有限公司 开⼾银⾏：华夏银⾏股份有限公司西安欧亚⼤道⽀⾏ 银⾏账号：11474000000227339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1、招标文件、投标文件、澄清表（函）；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地址：西安市浐灞⽣态区欧亚⼤道666号欧亚国际⼀期B座10楼1007室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对在用的9台彩色多普勒超声诊断仪购买全保保修服务，保修时间为3年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1,443,000.00</w:t>
      </w:r>
    </w:p>
    <w:p>
      <w:pPr>
        <w:pStyle w:val="null3"/>
      </w:pPr>
      <w:r>
        <w:rPr>
          <w:rFonts w:ascii="仿宋_GB2312" w:hAnsi="仿宋_GB2312" w:cs="仿宋_GB2312" w:eastAsia="仿宋_GB2312"/>
        </w:rPr>
        <w:t>采购包最高限价（元）: 1,443,000.00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9台彩超维保服务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标的名称：9台彩超维保服务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9台彩色多普勒超声诊断仪保修项目清单</w:t>
            </w:r>
          </w:p>
          <w:tbl>
            <w:tblPr>
              <w:tblInd w:type="dxa" w:w="135"/>
              <w:tblBorders>
                <w:top w:val="none" w:color="000000" w:sz="4"/>
                <w:left w:val="none" w:color="000000" w:sz="4"/>
                <w:bottom w:val="none" w:color="000000" w:sz="4"/>
                <w:right w:val="none" w:color="000000" w:sz="4"/>
                <w:insideH w:val="none"/>
                <w:insideV w:val="none"/>
              </w:tblBorders>
            </w:tblPr>
            <w:tblGrid>
              <w:gridCol w:w="361"/>
              <w:gridCol w:w="511"/>
              <w:gridCol w:w="934"/>
              <w:gridCol w:w="250"/>
              <w:gridCol w:w="483"/>
            </w:tblGrid>
            <w:tr>
              <w:tc>
                <w:tcPr>
                  <w:tcW w:type="dxa" w:w="361"/>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1"/>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使用科室</w:t>
                  </w:r>
                </w:p>
              </w:tc>
              <w:tc>
                <w:tcPr>
                  <w:tcW w:type="dxa" w:w="934"/>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w:t>
                  </w:r>
                </w:p>
              </w:tc>
              <w:tc>
                <w:tcPr>
                  <w:tcW w:type="dxa" w:w="250"/>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83"/>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启用日期</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B超室</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飞利浦</w:t>
                  </w:r>
                  <w:r>
                    <w:rPr>
                      <w:rFonts w:ascii="仿宋_GB2312" w:hAnsi="仿宋_GB2312" w:cs="仿宋_GB2312" w:eastAsia="仿宋_GB2312"/>
                      <w:sz w:val="24"/>
                    </w:rPr>
                    <w:t>Affiniti50</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2023.5.31</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B超室</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飞利浦</w:t>
                  </w:r>
                  <w:r>
                    <w:rPr>
                      <w:rFonts w:ascii="仿宋_GB2312" w:hAnsi="仿宋_GB2312" w:cs="仿宋_GB2312" w:eastAsia="仿宋_GB2312"/>
                      <w:sz w:val="24"/>
                    </w:rPr>
                    <w:t>Affiniti70C</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2023.5.31</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B超室</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飞利浦</w:t>
                  </w:r>
                  <w:r>
                    <w:rPr>
                      <w:rFonts w:ascii="仿宋_GB2312" w:hAnsi="仿宋_GB2312" w:cs="仿宋_GB2312" w:eastAsia="仿宋_GB2312"/>
                      <w:sz w:val="24"/>
                    </w:rPr>
                    <w:t>Affiniti70W</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2023.5.31</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B超室</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M9</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2021.6.5</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体检中心</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GE </w:t>
                  </w:r>
                  <w:r>
                    <w:rPr>
                      <w:rFonts w:ascii="仿宋_GB2312" w:hAnsi="仿宋_GB2312" w:cs="仿宋_GB2312" w:eastAsia="仿宋_GB2312"/>
                      <w:sz w:val="24"/>
                    </w:rPr>
                    <w:t>Versana</w:t>
                  </w:r>
                  <w:r>
                    <w:rPr>
                      <w:rFonts w:ascii="仿宋_GB2312" w:hAnsi="仿宋_GB2312" w:cs="仿宋_GB2312" w:eastAsia="仿宋_GB2312"/>
                      <w:sz w:val="21"/>
                    </w:rPr>
                    <w:t xml:space="preserve"> </w:t>
                  </w:r>
                  <w:r>
                    <w:rPr>
                      <w:rFonts w:ascii="仿宋_GB2312" w:hAnsi="仿宋_GB2312" w:cs="仿宋_GB2312" w:eastAsia="仿宋_GB2312"/>
                      <w:sz w:val="24"/>
                    </w:rPr>
                    <w:t>Premier</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2023.5.31</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百胜</w:t>
                  </w:r>
                  <w:r>
                    <w:rPr>
                      <w:rFonts w:ascii="仿宋_GB2312" w:hAnsi="仿宋_GB2312" w:cs="仿宋_GB2312" w:eastAsia="仿宋_GB2312"/>
                      <w:sz w:val="24"/>
                    </w:rPr>
                    <w:t>Mylab65</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2016.6.18</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贝尔森</w:t>
                  </w:r>
                  <w:r>
                    <w:rPr>
                      <w:rFonts w:ascii="仿宋_GB2312" w:hAnsi="仿宋_GB2312" w:cs="仿宋_GB2312" w:eastAsia="仿宋_GB2312"/>
                      <w:sz w:val="24"/>
                    </w:rPr>
                    <w:t>720</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2016.6.5</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产科</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东软</w:t>
                  </w:r>
                  <w:r>
                    <w:rPr>
                      <w:rFonts w:ascii="仿宋_GB2312" w:hAnsi="仿宋_GB2312" w:cs="仿宋_GB2312" w:eastAsia="仿宋_GB2312"/>
                      <w:sz w:val="24"/>
                    </w:rPr>
                    <w:t>Neusoft</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2017.1.8</w:t>
                  </w:r>
                </w:p>
              </w:tc>
            </w:tr>
            <w:tr>
              <w:tc>
                <w:tcPr>
                  <w:tcW w:type="dxa" w:w="36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1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急诊科</w:t>
                  </w:r>
                </w:p>
              </w:tc>
              <w:tc>
                <w:tcPr>
                  <w:tcW w:type="dxa" w:w="934"/>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飞依诺</w:t>
                  </w:r>
                  <w:r>
                    <w:rPr>
                      <w:rFonts w:ascii="仿宋_GB2312" w:hAnsi="仿宋_GB2312" w:cs="仿宋_GB2312" w:eastAsia="仿宋_GB2312"/>
                      <w:sz w:val="24"/>
                    </w:rPr>
                    <w:t>VINN08</w:t>
                  </w:r>
                </w:p>
              </w:tc>
              <w:tc>
                <w:tcPr>
                  <w:tcW w:type="dxa" w:w="25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3"/>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r>
                    <w:rPr>
                      <w:rFonts w:ascii="仿宋_GB2312" w:hAnsi="仿宋_GB2312" w:cs="仿宋_GB2312" w:eastAsia="仿宋_GB2312"/>
                      <w:sz w:val="24"/>
                    </w:rPr>
                    <w:t>22.3.18</w:t>
                  </w: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技术服务要求：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8"/>
              </w:rPr>
              <w:t>1.</w:t>
            </w:r>
            <w:r>
              <w:rPr>
                <w:rFonts w:ascii="仿宋_GB2312" w:hAnsi="仿宋_GB2312" w:cs="仿宋_GB2312" w:eastAsia="仿宋_GB2312"/>
                <w:sz w:val="28"/>
              </w:rPr>
              <w:t>服务范围</w:t>
            </w:r>
            <w:r>
              <w:rPr>
                <w:rFonts w:ascii="仿宋_GB2312" w:hAnsi="仿宋_GB2312" w:cs="仿宋_GB2312" w:eastAsia="仿宋_GB2312"/>
                <w:sz w:val="28"/>
                <w:b/>
              </w:rPr>
              <w:t>（需出具承诺函，并加盖</w:t>
            </w:r>
            <w:r>
              <w:rPr>
                <w:rFonts w:ascii="仿宋_GB2312" w:hAnsi="仿宋_GB2312" w:cs="仿宋_GB2312" w:eastAsia="仿宋_GB2312"/>
                <w:sz w:val="28"/>
                <w:b/>
              </w:rPr>
              <w:t>投标人</w:t>
            </w:r>
            <w:r>
              <w:rPr>
                <w:rFonts w:ascii="仿宋_GB2312" w:hAnsi="仿宋_GB2312" w:cs="仿宋_GB2312" w:eastAsia="仿宋_GB2312"/>
                <w:sz w:val="28"/>
                <w:b/>
              </w:rPr>
              <w:t>公章，格式自拟）</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1.1、九台彩超设备全保保修三年。</w:t>
            </w:r>
          </w:p>
          <w:p>
            <w:pPr>
              <w:pStyle w:val="null3"/>
              <w:jc w:val="both"/>
            </w:pPr>
            <w:r>
              <w:rPr>
                <w:rFonts w:ascii="仿宋_GB2312" w:hAnsi="仿宋_GB2312" w:cs="仿宋_GB2312" w:eastAsia="仿宋_GB2312"/>
                <w:sz w:val="28"/>
              </w:rPr>
              <w:t>1.2、保修期内，每年有九把探头的保用更换。</w:t>
            </w:r>
          </w:p>
          <w:p>
            <w:pPr>
              <w:pStyle w:val="null3"/>
            </w:pPr>
            <w:r>
              <w:rPr>
                <w:rFonts w:ascii="仿宋_GB2312" w:hAnsi="仿宋_GB2312" w:cs="仿宋_GB2312" w:eastAsia="仿宋_GB2312"/>
                <w:sz w:val="28"/>
              </w:rPr>
              <w:t>1.3、维修及更换备件、提供技术服务、保养费用、派工费用、现场服务等所有费用</w:t>
            </w:r>
            <w:r>
              <w:rPr>
                <w:rFonts w:ascii="仿宋_GB2312" w:hAnsi="仿宋_GB2312" w:cs="仿宋_GB2312" w:eastAsia="仿宋_GB2312"/>
                <w:sz w:val="28"/>
              </w:rPr>
              <w:t>包含在报价总费用内</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4"/>
              </w:rPr>
              <w:t>▲</w:t>
            </w:r>
            <w:r>
              <w:rPr>
                <w:rFonts w:ascii="仿宋_GB2312" w:hAnsi="仿宋_GB2312" w:cs="仿宋_GB2312" w:eastAsia="仿宋_GB2312"/>
                <w:sz w:val="28"/>
              </w:rPr>
              <w:t>主机定期保养</w:t>
            </w:r>
            <w:r>
              <w:rPr>
                <w:rFonts w:ascii="仿宋_GB2312" w:hAnsi="仿宋_GB2312" w:cs="仿宋_GB2312" w:eastAsia="仿宋_GB2312"/>
                <w:sz w:val="28"/>
              </w:rPr>
              <w:t>：</w:t>
            </w:r>
            <w:r>
              <w:rPr>
                <w:rFonts w:ascii="仿宋_GB2312" w:hAnsi="仿宋_GB2312" w:cs="仿宋_GB2312" w:eastAsia="仿宋_GB2312"/>
                <w:sz w:val="28"/>
              </w:rPr>
              <w:t>合同期内必须对清单内提供</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次／年常规机器调试和专业维护保养，及清单外其它保外彩超设备的周期性保养与日常维修人工服务。按照标准对设备进行校准、检测、主机定期保养，确认各项技术指标和性能，记录设备运行状况，图像质量检查、机除尘清洁、机械安全检查、质量安全检查等，并在预防性维护结束时提供合同设备的主动维护报告及整机质量评估报告。</w:t>
            </w:r>
            <w:r>
              <w:rPr>
                <w:rFonts w:ascii="仿宋_GB2312" w:hAnsi="仿宋_GB2312" w:cs="仿宋_GB2312" w:eastAsia="仿宋_GB2312"/>
                <w:sz w:val="28"/>
                <w:b/>
              </w:rPr>
              <w:t>（需出具承诺函，并加盖</w:t>
            </w:r>
            <w:r>
              <w:rPr>
                <w:rFonts w:ascii="仿宋_GB2312" w:hAnsi="仿宋_GB2312" w:cs="仿宋_GB2312" w:eastAsia="仿宋_GB2312"/>
                <w:sz w:val="28"/>
                <w:b/>
              </w:rPr>
              <w:t>投标人</w:t>
            </w:r>
            <w:r>
              <w:rPr>
                <w:rFonts w:ascii="仿宋_GB2312" w:hAnsi="仿宋_GB2312" w:cs="仿宋_GB2312" w:eastAsia="仿宋_GB2312"/>
                <w:sz w:val="28"/>
                <w:b/>
              </w:rPr>
              <w:t>公章，格式自拟）</w:t>
            </w:r>
          </w:p>
          <w:p>
            <w:pPr>
              <w:pStyle w:val="null3"/>
              <w:jc w:val="both"/>
            </w:pPr>
            <w:r>
              <w:rPr>
                <w:rFonts w:ascii="仿宋_GB2312" w:hAnsi="仿宋_GB2312" w:cs="仿宋_GB2312" w:eastAsia="仿宋_GB2312"/>
                <w:sz w:val="28"/>
              </w:rPr>
              <w:t>3</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8"/>
              </w:rPr>
              <w:t>维修质量保证：保证在合同服务期内设备开机率</w:t>
            </w:r>
            <w:r>
              <w:rPr>
                <w:rFonts w:ascii="仿宋_GB2312" w:hAnsi="仿宋_GB2312" w:cs="仿宋_GB2312" w:eastAsia="仿宋_GB2312"/>
                <w:sz w:val="28"/>
              </w:rPr>
              <w:t>≥95%，每超过一天保修延长5天。</w:t>
            </w:r>
            <w:r>
              <w:rPr>
                <w:rFonts w:ascii="仿宋_GB2312" w:hAnsi="仿宋_GB2312" w:cs="仿宋_GB2312" w:eastAsia="仿宋_GB2312"/>
                <w:sz w:val="28"/>
                <w:b/>
              </w:rPr>
              <w:t>（需出具承诺函，并加盖</w:t>
            </w:r>
            <w:r>
              <w:rPr>
                <w:rFonts w:ascii="仿宋_GB2312" w:hAnsi="仿宋_GB2312" w:cs="仿宋_GB2312" w:eastAsia="仿宋_GB2312"/>
                <w:sz w:val="28"/>
                <w:b/>
              </w:rPr>
              <w:t>投标人</w:t>
            </w:r>
            <w:r>
              <w:rPr>
                <w:rFonts w:ascii="仿宋_GB2312" w:hAnsi="仿宋_GB2312" w:cs="仿宋_GB2312" w:eastAsia="仿宋_GB2312"/>
                <w:sz w:val="28"/>
                <w:b/>
              </w:rPr>
              <w:t>公章，格式自拟）</w:t>
            </w:r>
          </w:p>
          <w:p>
            <w:pPr>
              <w:pStyle w:val="null3"/>
              <w:jc w:val="both"/>
            </w:pPr>
            <w:r>
              <w:rPr>
                <w:rFonts w:ascii="仿宋_GB2312" w:hAnsi="仿宋_GB2312" w:cs="仿宋_GB2312" w:eastAsia="仿宋_GB2312"/>
                <w:sz w:val="28"/>
              </w:rPr>
              <w:t>4.</w:t>
            </w:r>
            <w:r>
              <w:rPr>
                <w:rFonts w:ascii="仿宋_GB2312" w:hAnsi="仿宋_GB2312" w:cs="仿宋_GB2312" w:eastAsia="仿宋_GB2312"/>
                <w:sz w:val="24"/>
              </w:rPr>
              <w:t>▲</w:t>
            </w:r>
            <w:r>
              <w:rPr>
                <w:rFonts w:ascii="仿宋_GB2312" w:hAnsi="仿宋_GB2312" w:cs="仿宋_GB2312" w:eastAsia="仿宋_GB2312"/>
                <w:sz w:val="28"/>
              </w:rPr>
              <w:t>备件质量要求：需要更换的损耗件及零备件的来源必须符合国家相关法律法规要求，并在合同期内因故障而需要更换的备件，如果需要报关单证明，必须提供并不受数量限制。</w:t>
            </w:r>
            <w:r>
              <w:rPr>
                <w:rFonts w:ascii="仿宋_GB2312" w:hAnsi="仿宋_GB2312" w:cs="仿宋_GB2312" w:eastAsia="仿宋_GB2312"/>
                <w:sz w:val="28"/>
                <w:b/>
              </w:rPr>
              <w:t>（</w:t>
            </w:r>
            <w:r>
              <w:rPr>
                <w:rFonts w:ascii="仿宋_GB2312" w:hAnsi="仿宋_GB2312" w:cs="仿宋_GB2312" w:eastAsia="仿宋_GB2312"/>
                <w:sz w:val="28"/>
                <w:b/>
              </w:rPr>
              <w:t>提供并出具承诺函加盖投标人公章</w:t>
            </w:r>
            <w:r>
              <w:rPr>
                <w:rFonts w:ascii="仿宋_GB2312" w:hAnsi="仿宋_GB2312" w:cs="仿宋_GB2312" w:eastAsia="仿宋_GB2312"/>
                <w:sz w:val="28"/>
                <w:b/>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4"/>
              </w:rPr>
              <w:t>▲</w:t>
            </w:r>
            <w:r>
              <w:rPr>
                <w:rFonts w:ascii="仿宋_GB2312" w:hAnsi="仿宋_GB2312" w:cs="仿宋_GB2312" w:eastAsia="仿宋_GB2312"/>
                <w:sz w:val="28"/>
              </w:rPr>
              <w:t>响应速度：提供</w:t>
            </w:r>
            <w:r>
              <w:rPr>
                <w:rFonts w:ascii="仿宋_GB2312" w:hAnsi="仿宋_GB2312" w:cs="仿宋_GB2312" w:eastAsia="仿宋_GB2312"/>
                <w:sz w:val="28"/>
              </w:rPr>
              <w:t>7*24小时报修及免费技术支持电话，接到故障报修电话通知后10分钟之内响应，提供电话、网络等技术支持。如以上技术支持无法解决设备故障，供应商须在2小时内到达设备使用现场进行维修，排除故障</w:t>
            </w:r>
            <w:r>
              <w:rPr>
                <w:rFonts w:ascii="仿宋_GB2312" w:hAnsi="仿宋_GB2312" w:cs="仿宋_GB2312" w:eastAsia="仿宋_GB2312"/>
                <w:sz w:val="28"/>
                <w:b/>
              </w:rPr>
              <w:t>（需出具承诺函，并加盖</w:t>
            </w:r>
            <w:r>
              <w:rPr>
                <w:rFonts w:ascii="仿宋_GB2312" w:hAnsi="仿宋_GB2312" w:cs="仿宋_GB2312" w:eastAsia="仿宋_GB2312"/>
                <w:sz w:val="28"/>
                <w:b/>
              </w:rPr>
              <w:t>投标人</w:t>
            </w:r>
            <w:r>
              <w:rPr>
                <w:rFonts w:ascii="仿宋_GB2312" w:hAnsi="仿宋_GB2312" w:cs="仿宋_GB2312" w:eastAsia="仿宋_GB2312"/>
                <w:sz w:val="28"/>
                <w:b/>
              </w:rPr>
              <w:t>公章，格式自拟）</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维修专业工具</w:t>
            </w:r>
            <w:r>
              <w:rPr>
                <w:rFonts w:ascii="仿宋_GB2312" w:hAnsi="仿宋_GB2312" w:cs="仿宋_GB2312" w:eastAsia="仿宋_GB2312"/>
                <w:sz w:val="28"/>
              </w:rPr>
              <w:t>：具有该设备专业维修工具，并提供工具清单及工具图片。</w:t>
            </w:r>
          </w:p>
          <w:p>
            <w:pPr>
              <w:pStyle w:val="null3"/>
            </w:pPr>
            <w:r>
              <w:rPr>
                <w:rFonts w:ascii="仿宋_GB2312" w:hAnsi="仿宋_GB2312" w:cs="仿宋_GB2312" w:eastAsia="仿宋_GB2312"/>
                <w:sz w:val="28"/>
              </w:rPr>
              <w:t>7.</w:t>
            </w:r>
            <w:r>
              <w:rPr>
                <w:rFonts w:ascii="仿宋_GB2312" w:hAnsi="仿宋_GB2312" w:cs="仿宋_GB2312" w:eastAsia="仿宋_GB2312"/>
                <w:sz w:val="28"/>
              </w:rPr>
              <w:t>服务报告：每年度服务结束后应提交年度服务报告，包括维修情况、服务总结、设备运行时状况分析、设备存在问题及建议等。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根据项⽬情况配备⼈员，满⾜3.2.2服务要求。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根据项⽬情况提供相关设备，满⾜3.2.2服务要求。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（1）供应商按合同约定完成所有项目内容，且达到采购人使用要求视为验收合格。（2）验收依据：合同文本；国家有关的验收标准及规范；招标文件；投标文件。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进度款，合同签订一年期满，达到付款条件起30个工作日内，支付合同总金额的30.0%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进度款，合同签订二年期满，达到付款条件起30个工作日内，支付合同总金额的30.0%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具有独立承担民事责任能力的法人、其他组织或自然人，提供营业执照/事业单位法人证书/非企业专业服务机构执业许可证/自然人身份证等证明；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审计报告（成⽴时间⾄提交响应⽂件截⽌时间不⾜⼀年的可提供成⽴后任意时段的资产负债表），审计报告应当经过注册会计师⾏业统⼀监管平台备案赋码）或在开标⽇期前六个⽉内其开⼾银⾏出具的资信证明或信⽤担保机构出具的投标担保函，以上三种形式的资料提供任何⼀种即可（分⽀机构如⽆法提供财务审计报告，须出具包含分⽀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提供2025年6月1日至今已缴纳的任意一个月的纳税凭证或完税证明，依法免税的供应商应提供相关文件证明；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提供2025年6月1日至今已缴存的任意一个月的社会保障资金缴纳凭证，或社保机构出具的社会保险参保缴费情况证明，依法不需要缴纳社会保障资金的单位应提供相关证明材料；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供应商提供第二类医疗器械经营备案凭证或医疗器械经营许可证。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参与的供应商（联合体）服务全部由符合政策要求的中小企业承接。供应商必须提供中小企业声明函。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（1）投标⽂件的签字、盖章：投标⽂件上法定代表⼈或其委托代理⼈的签字⻬全并加盖单位章；投标⽂件应逐⻚加盖单位公章，且公章清晰可⻅； （2）投标⽂件格式：应符合招标⽂件要求； （3）报价唯⼀：只能有⼀个有效报价，不得提交选择性报价，且报价不超过限价</w:t>
            </w:r>
          </w:p>
        </w:tc>
        <w:tc>
          <w:tcPr>
            <w:tcW w:type="dxa" w:w="1661"/>
          </w:tcPr>
          <w:p>
            <w:pPr>
              <w:pStyle w:val="null3"/>
            </w:pPr>
            <w:r>
              <w:rPr>
                <w:rFonts w:ascii="仿宋_GB2312" w:hAnsi="仿宋_GB2312" w:cs="仿宋_GB2312" w:eastAsia="仿宋_GB2312"/>
              </w:rPr>
              <w:t>开标一览表 分项报价表.docx 投标函 格式服务响应偏离表.docx 格式商务响应偏离表.docx 中小企业声明函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（1）对投标⽂件响应程度：要求全⾯响应，不能有任何采购⼈不能接受的附加条件；（2）服务时间：应满⾜招标⽂件要求；（3) 服务地点：采购⼈指定点；（4）有效期：应满⾜招标⽂件要求。</w:t>
            </w:r>
          </w:p>
        </w:tc>
        <w:tc>
          <w:tcPr>
            <w:tcW w:type="dxa" w:w="1661"/>
          </w:tcPr>
          <w:p>
            <w:pPr>
              <w:pStyle w:val="null3"/>
            </w:pPr>
            <w:r>
              <w:rPr>
                <w:rFonts w:ascii="仿宋_GB2312" w:hAnsi="仿宋_GB2312" w:cs="仿宋_GB2312" w:eastAsia="仿宋_GB2312"/>
              </w:rPr>
              <w:t>开标一览表 分项报价表.docx 投标函 格式服务响应偏离表.docx 格式商务响应偏离表.docx 中小企业声明函 残疾人福利性单位声明函 服务方案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重要技术条款的符合性</w:t>
            </w:r>
          </w:p>
        </w:tc>
        <w:tc>
          <w:tcPr>
            <w:tcW w:type="dxa" w:w="2492"/>
          </w:tcPr>
          <w:p>
            <w:pPr>
              <w:pStyle w:val="null3"/>
            </w:pPr>
            <w:r>
              <w:rPr>
                <w:rFonts w:ascii="仿宋_GB2312" w:hAnsi="仿宋_GB2312" w:cs="仿宋_GB2312" w:eastAsia="仿宋_GB2312"/>
              </w:rPr>
              <w:t>投标内容完全满足或优于“第三章3.2.2技术服务要求”中带“▲”重要技术条款（共5项）的，得15分，每有一项负偏离或者未响应的，扣3分，扣完为止。 注：未提供承诺函的视为负偏离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格式服务响应偏离表.docx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定期维护保养方案</w:t>
            </w:r>
          </w:p>
        </w:tc>
        <w:tc>
          <w:tcPr>
            <w:tcW w:type="dxa" w:w="2492"/>
          </w:tcPr>
          <w:p>
            <w:pPr>
              <w:pStyle w:val="null3"/>
            </w:pPr>
            <w:r>
              <w:rPr>
                <w:rFonts w:ascii="仿宋_GB2312" w:hAnsi="仿宋_GB2312" w:cs="仿宋_GB2312" w:eastAsia="仿宋_GB2312"/>
              </w:rPr>
              <w:t>一、评审内容：供应商提供详细的维保服务方案，包括①设备安全检查②运行状态检查③维修服务④主机定期保养方案⑤备品备件储备等技术方案。 二、评审标准： 1.完整性：实施方案须全面，思路清晰、分析透彻，内容完整、方案科学、合理； 2.可实施性；切合本项目实际情况，步骤明确、可操作性强； 3.针对性：总体方案能够紧扣项目实际情况，专业性强、内容科学、合理。 三、赋分标准（15 分）： ①设备安全检查：每完全满足一个评审标准得 1 分，满分 3 分; ②运行状态检查：每完全满足一个评审标准得 1 分，满分 3 分; ③维修服务：每完全满足一个评审标准得 1 分，满分 3 分; ④保养方案：每完全满足一个评审标准得 1 分，满分 3 分; ⑤备品备件储备：每完全满足一个评审标准得 1 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供应商针对本项目制定的质量保证措施，包含①明确清晰的质量保证措施；②能满足采购人的多种需求的考虑及保证方案；③接受采购人对服务的监督、批评和建议及相应的整改措施。 二、评审标准： 1.完整性：实施方案须全面，思路清晰、分析透彻，内容完整、方案科学、合理； 2.可实施性；切合本项目实际情况，步骤明确、可操作性强； 3.针对性：总体方案能够紧扣项目实际情况，专业性强、内容科学、合理。 三、赋分标准（9 分）： ①明确清晰的质量保证措施：每完全满足一个评审标准得 1 分，满分3 分; ②能满足采购人的多种需求的考虑及保证方案：每完全满足一个评审标准得 1 分，满分 3 分; ③接受采购人对服务的监督、批评和建议及相应的整改措施：每完全满足一个评审标准得1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供应商针对本项目制定的应急处理方案，包含①对紧急或突发业务的应急保障措施；②应急响应时间；③出现问题应急人员安排。 二、评审标准： 1.完整性：实施方案须全面，思路清晰、分析透彻，内容完整、方案科学、合理； 2.可实施性；切合本项目实际情况，步骤明确、可操作性强；3.针对性：总体方案能够紧扣项目实际情况，专业性强、内容科学、合理。 三、赋分标准（9 分）： ①对紧急或突发业务的应急保障措施：每完全满足一个评审标准得 1分，满分 3 分; ②应急响应时间：每完全满足一个评审标准得 1 分，满分3 分；③出现问题应急人员安排：每完全满足一个评审标准得 1分，满分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供应商提供履约能力证明，包含①服务质量检查制度；②管理内控制度、信息反馈制度等。 二、评审标准： 1.完整性：实施方案须全面，思路清晰、分析透彻，内容完整、方案科学、合理； 2.可实施性；切合本项目实际情况，步骤明确、可操作性强； 3.针对性：总体方案能够紧扣项目实际情况，专业性强、内容科学、合理。 三、赋分标准（6 分）： ①服务质量检查制度：每完全满足一个评审标准得 1 分，满分3 分; ②管理内控制度、信息反馈制度等：每完全满足一个评审标准得 1分，满分3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服务报告</w:t>
            </w:r>
          </w:p>
        </w:tc>
        <w:tc>
          <w:tcPr>
            <w:tcW w:type="dxa" w:w="2492"/>
          </w:tcPr>
          <w:p>
            <w:pPr>
              <w:pStyle w:val="null3"/>
            </w:pPr>
            <w:r>
              <w:rPr>
                <w:rFonts w:ascii="仿宋_GB2312" w:hAnsi="仿宋_GB2312" w:cs="仿宋_GB2312" w:eastAsia="仿宋_GB2312"/>
              </w:rPr>
              <w:t>一、评审内容：供应商按照采购需求提供①保养报告②整机质量评估报告③设备年度服务报告。二、评审标准： 1.完整性：实施方案须全面，思路清晰、分析透彻，内容完整、方案科学、合理； 2.可实施性；切合本项目实际情况，步骤明确、可操作性强； 3.针对性：总体方案能够紧扣项目实际情况，专业性强、内容科学、合理。 三、赋分标准（9 分）： ①保养报告：每完全满足一个评审标准得 1 分，满分3 分; ②整机质量评估报告：每完全满足一个评审标准得 1分，满分3 分。③设备年度服务报告：每完全满足一个评审标准得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备品备件供应能力</w:t>
            </w:r>
          </w:p>
        </w:tc>
        <w:tc>
          <w:tcPr>
            <w:tcW w:type="dxa" w:w="2492"/>
          </w:tcPr>
          <w:p>
            <w:pPr>
              <w:pStyle w:val="null3"/>
            </w:pPr>
            <w:r>
              <w:rPr>
                <w:rFonts w:ascii="仿宋_GB2312" w:hAnsi="仿宋_GB2312" w:cs="仿宋_GB2312" w:eastAsia="仿宋_GB2312"/>
              </w:rPr>
              <w:t>供应商具有备件仓库，提供备件仓库的租赁合同或产权证明得1分。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1.项目经理具有医疗设备维修相关专业证书，并提供近三个月内单位为其缴纳的社保缴费证明，得2分。 2.维修人员具有设备管理与维修相关专业证书，每提供一人得2分，最高得6分。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维修专业工具</w:t>
            </w:r>
          </w:p>
        </w:tc>
        <w:tc>
          <w:tcPr>
            <w:tcW w:type="dxa" w:w="2492"/>
          </w:tcPr>
          <w:p>
            <w:pPr>
              <w:pStyle w:val="null3"/>
            </w:pPr>
            <w:r>
              <w:rPr>
                <w:rFonts w:ascii="仿宋_GB2312" w:hAnsi="仿宋_GB2312" w:cs="仿宋_GB2312" w:eastAsia="仿宋_GB2312"/>
              </w:rPr>
              <w:t>供应商提供维修工具清单及图片并加盖供应商公章，每提供一种得0.5分，最高得3分。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供应商需提供2023年6月1日至今的彩超维保业绩证明(提供合同扫描件加盖投标人公章），提供一份得2分，共10分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采用低价优先法计算，即实质性满足招标文件要求且报价最低的报价为评标基准价，其价格分为满分。投标报价得分＝（评标基准价/投标报价）×15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详见附件：格式服务响应偏离表.docx</w:t>
      </w:r>
    </w:p>
    <w:p>
      <w:pPr>
        <w:pStyle w:val="null3"/>
        <w:ind w:firstLine="960"/>
      </w:pPr>
      <w:r>
        <w:rPr>
          <w:rFonts w:ascii="仿宋_GB2312" w:hAnsi="仿宋_GB2312" w:cs="仿宋_GB2312" w:eastAsia="仿宋_GB2312"/>
        </w:rPr>
        <w:t>详见附件：格式商务响应偏离表.docx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