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6C63F">
      <w:pPr>
        <w:pStyle w:val="2"/>
        <w:jc w:val="center"/>
        <w:rPr>
          <w:rFonts w:hint="eastAsia"/>
          <w:b/>
          <w:bCs/>
          <w:sz w:val="28"/>
          <w:szCs w:val="28"/>
          <w:lang w:val="en-US" w:eastAsia="zh-CN"/>
        </w:rPr>
      </w:pPr>
      <w:r>
        <w:rPr>
          <w:rFonts w:hint="eastAsia"/>
          <w:b/>
          <w:bCs/>
          <w:sz w:val="28"/>
          <w:szCs w:val="28"/>
          <w:lang w:val="en-US" w:eastAsia="zh-CN"/>
        </w:rPr>
        <w:t>合同文本</w:t>
      </w:r>
      <w:bookmarkStart w:id="0" w:name="_GoBack"/>
      <w:bookmarkEnd w:id="0"/>
    </w:p>
    <w:p w14:paraId="23B74F90">
      <w:pPr>
        <w:pStyle w:val="3"/>
        <w:ind w:left="0" w:leftChars="0" w:firstLine="0" w:firstLineChars="0"/>
        <w:rPr>
          <w:rFonts w:hint="eastAsia"/>
          <w:lang w:val="en-US" w:eastAsia="zh-CN"/>
        </w:rPr>
      </w:pPr>
      <w:r>
        <w:rPr>
          <w:rFonts w:hint="eastAsia"/>
          <w:lang w:val="en-US" w:eastAsia="zh-CN"/>
        </w:rPr>
        <w:t>（ 注：本合同格式仅供参考，具体条款内容由采购人和中标供应商协商确定，但不得改变招标文件文件、投标文件、中标通知书等实质性内容。）</w:t>
      </w:r>
    </w:p>
    <w:p w14:paraId="3CC51E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u w:val="single"/>
          <w:lang w:val="en-US" w:eastAsia="zh-CN"/>
        </w:rPr>
      </w:pPr>
      <w:r>
        <w:rPr>
          <w:rFonts w:hint="eastAsia"/>
          <w:sz w:val="24"/>
          <w:szCs w:val="24"/>
        </w:rPr>
        <w:t>甲  方</w:t>
      </w:r>
      <w:r>
        <w:rPr>
          <w:rFonts w:hint="eastAsia"/>
          <w:sz w:val="24"/>
          <w:szCs w:val="24"/>
          <w:lang w:eastAsia="zh-CN"/>
        </w:rPr>
        <w:t>（</w:t>
      </w:r>
      <w:r>
        <w:rPr>
          <w:rFonts w:hint="eastAsia"/>
          <w:sz w:val="24"/>
          <w:szCs w:val="24"/>
          <w:lang w:val="en-US" w:eastAsia="zh-CN"/>
        </w:rPr>
        <w:t>采购人</w:t>
      </w:r>
      <w:r>
        <w:rPr>
          <w:rFonts w:hint="eastAsia"/>
          <w:sz w:val="24"/>
          <w:szCs w:val="24"/>
          <w:lang w:eastAsia="zh-CN"/>
        </w:rPr>
        <w:t>）</w:t>
      </w:r>
      <w:r>
        <w:rPr>
          <w:rFonts w:hint="eastAsia"/>
          <w:sz w:val="24"/>
          <w:szCs w:val="24"/>
        </w:rPr>
        <w:t>：</w:t>
      </w:r>
      <w:r>
        <w:rPr>
          <w:rFonts w:hint="eastAsia"/>
          <w:sz w:val="24"/>
          <w:szCs w:val="24"/>
          <w:u w:val="single"/>
          <w:lang w:val="en-US" w:eastAsia="zh-CN"/>
        </w:rPr>
        <w:t xml:space="preserve">                  </w:t>
      </w:r>
    </w:p>
    <w:p w14:paraId="39DA3A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乙  方</w:t>
      </w:r>
      <w:r>
        <w:rPr>
          <w:rFonts w:hint="eastAsia"/>
          <w:sz w:val="24"/>
          <w:szCs w:val="24"/>
          <w:lang w:eastAsia="zh-CN"/>
        </w:rPr>
        <w:t>（</w:t>
      </w:r>
      <w:r>
        <w:rPr>
          <w:rFonts w:hint="eastAsia"/>
          <w:sz w:val="24"/>
          <w:szCs w:val="24"/>
          <w:lang w:val="en-US" w:eastAsia="zh-CN"/>
        </w:rPr>
        <w:t>供应商</w:t>
      </w:r>
      <w:r>
        <w:rPr>
          <w:rFonts w:hint="eastAsia"/>
          <w:sz w:val="24"/>
          <w:szCs w:val="24"/>
          <w:lang w:eastAsia="zh-CN"/>
        </w:rPr>
        <w:t>）</w:t>
      </w:r>
      <w:r>
        <w:rPr>
          <w:rFonts w:hint="eastAsia"/>
          <w:sz w:val="24"/>
          <w:szCs w:val="24"/>
        </w:rPr>
        <w:t>：</w:t>
      </w:r>
      <w:r>
        <w:rPr>
          <w:rFonts w:hint="eastAsia"/>
          <w:sz w:val="24"/>
          <w:szCs w:val="24"/>
          <w:u w:val="single"/>
          <w:lang w:val="en-US" w:eastAsia="zh-CN"/>
        </w:rPr>
        <w:t xml:space="preserve">                  </w:t>
      </w:r>
    </w:p>
    <w:p w14:paraId="6D4F6E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周⾄县⼈⺠医院（以下简称甲方）所需本合同项目下的9台彩⾊多普勒超声诊断仪维保，在西安市</w:t>
      </w:r>
      <w:r>
        <w:rPr>
          <w:rFonts w:hint="eastAsia"/>
          <w:sz w:val="24"/>
          <w:szCs w:val="24"/>
          <w:lang w:val="en-US" w:eastAsia="zh-CN"/>
        </w:rPr>
        <w:t>周至县</w:t>
      </w:r>
      <w:r>
        <w:rPr>
          <w:rFonts w:hint="eastAsia"/>
          <w:sz w:val="24"/>
          <w:szCs w:val="24"/>
        </w:rPr>
        <w:t>财政局政府采购管理处的监督管理下，由</w:t>
      </w:r>
      <w:r>
        <w:rPr>
          <w:rFonts w:hint="eastAsia"/>
          <w:sz w:val="24"/>
          <w:szCs w:val="24"/>
          <w:lang w:val="en-US" w:eastAsia="zh-CN"/>
        </w:rPr>
        <w:t>陕西百岳管理咨询有限公司</w:t>
      </w:r>
      <w:r>
        <w:rPr>
          <w:rFonts w:hint="eastAsia"/>
          <w:sz w:val="24"/>
          <w:szCs w:val="24"/>
        </w:rPr>
        <w:t>按照政府采购程序组织</w:t>
      </w:r>
      <w:r>
        <w:rPr>
          <w:rFonts w:hint="eastAsia"/>
          <w:sz w:val="24"/>
          <w:szCs w:val="24"/>
          <w:lang w:val="en-US" w:eastAsia="zh-CN"/>
        </w:rPr>
        <w:t>公开招标</w:t>
      </w:r>
      <w:r>
        <w:rPr>
          <w:rFonts w:hint="eastAsia"/>
          <w:sz w:val="24"/>
          <w:szCs w:val="24"/>
        </w:rPr>
        <w:t>（采购方式），确定</w:t>
      </w:r>
      <w:r>
        <w:rPr>
          <w:rFonts w:hint="eastAsia"/>
          <w:sz w:val="24"/>
          <w:szCs w:val="24"/>
          <w:u w:val="single"/>
          <w:lang w:val="en-US" w:eastAsia="zh-CN"/>
        </w:rPr>
        <w:t xml:space="preserve">       </w:t>
      </w:r>
      <w:r>
        <w:rPr>
          <w:rFonts w:hint="eastAsia"/>
          <w:sz w:val="24"/>
          <w:szCs w:val="24"/>
        </w:rPr>
        <w:t>（以下简称乙方）为</w:t>
      </w:r>
      <w:r>
        <w:rPr>
          <w:rFonts w:hint="eastAsia"/>
          <w:sz w:val="24"/>
          <w:szCs w:val="24"/>
          <w:lang w:val="en-US" w:eastAsia="zh-CN"/>
        </w:rPr>
        <w:t>中标</w:t>
      </w:r>
      <w:r>
        <w:rPr>
          <w:rFonts w:hint="eastAsia"/>
          <w:sz w:val="24"/>
          <w:szCs w:val="24"/>
        </w:rPr>
        <w:t>供应商。依据《中华人民共和国政府采购法》、《中华人民共和国民法典》及</w:t>
      </w:r>
      <w:r>
        <w:rPr>
          <w:rFonts w:hint="eastAsia"/>
          <w:sz w:val="24"/>
          <w:szCs w:val="24"/>
          <w:lang w:val="en-US" w:eastAsia="zh-CN"/>
        </w:rPr>
        <w:t>招标文件、投标文件</w:t>
      </w:r>
      <w:r>
        <w:rPr>
          <w:rFonts w:hint="eastAsia"/>
          <w:sz w:val="24"/>
          <w:szCs w:val="24"/>
        </w:rPr>
        <w:t>正本和澄清表（函）、中标通知书，经甲、乙双方协商，见证方确认，达成如下条款。</w:t>
      </w:r>
    </w:p>
    <w:p w14:paraId="4967104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4"/>
        </w:rPr>
      </w:pPr>
      <w:r>
        <w:rPr>
          <w:rFonts w:hint="eastAsia"/>
          <w:b/>
          <w:bCs/>
          <w:sz w:val="24"/>
          <w:szCs w:val="24"/>
        </w:rPr>
        <w:t>一、设备维保内容：</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1223"/>
        <w:gridCol w:w="1211"/>
        <w:gridCol w:w="1212"/>
        <w:gridCol w:w="946"/>
        <w:gridCol w:w="946"/>
        <w:gridCol w:w="946"/>
        <w:gridCol w:w="946"/>
      </w:tblGrid>
      <w:tr w14:paraId="3A1A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tcPr>
          <w:p w14:paraId="3071F1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r>
              <w:rPr>
                <w:rFonts w:hint="eastAsia"/>
                <w:sz w:val="24"/>
                <w:szCs w:val="24"/>
              </w:rPr>
              <w:t>序号</w:t>
            </w:r>
          </w:p>
        </w:tc>
        <w:tc>
          <w:tcPr>
            <w:tcW w:w="1223" w:type="dxa"/>
          </w:tcPr>
          <w:p w14:paraId="7527E4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r>
              <w:rPr>
                <w:rFonts w:hint="eastAsia"/>
                <w:sz w:val="24"/>
                <w:szCs w:val="24"/>
              </w:rPr>
              <w:t>设备名称</w:t>
            </w:r>
          </w:p>
        </w:tc>
        <w:tc>
          <w:tcPr>
            <w:tcW w:w="1211" w:type="dxa"/>
          </w:tcPr>
          <w:p w14:paraId="3291D9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r>
              <w:rPr>
                <w:rFonts w:hint="eastAsia"/>
                <w:sz w:val="24"/>
                <w:szCs w:val="24"/>
              </w:rPr>
              <w:t>维保时间</w:t>
            </w:r>
          </w:p>
        </w:tc>
        <w:tc>
          <w:tcPr>
            <w:tcW w:w="1212" w:type="dxa"/>
          </w:tcPr>
          <w:p w14:paraId="6916D0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r>
              <w:rPr>
                <w:rFonts w:hint="eastAsia"/>
                <w:sz w:val="24"/>
                <w:szCs w:val="24"/>
              </w:rPr>
              <w:t>维保内容</w:t>
            </w:r>
          </w:p>
        </w:tc>
        <w:tc>
          <w:tcPr>
            <w:tcW w:w="946" w:type="dxa"/>
          </w:tcPr>
          <w:p w14:paraId="7550B3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r>
              <w:rPr>
                <w:rFonts w:hint="eastAsia"/>
                <w:sz w:val="24"/>
                <w:szCs w:val="24"/>
              </w:rPr>
              <w:t>数量</w:t>
            </w:r>
          </w:p>
        </w:tc>
        <w:tc>
          <w:tcPr>
            <w:tcW w:w="946" w:type="dxa"/>
          </w:tcPr>
          <w:p w14:paraId="181989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单价（元）</w:t>
            </w:r>
          </w:p>
        </w:tc>
        <w:tc>
          <w:tcPr>
            <w:tcW w:w="946" w:type="dxa"/>
          </w:tcPr>
          <w:p w14:paraId="3DC4E5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总金额（元）</w:t>
            </w:r>
          </w:p>
        </w:tc>
        <w:tc>
          <w:tcPr>
            <w:tcW w:w="946" w:type="dxa"/>
          </w:tcPr>
          <w:p w14:paraId="7A4721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备注</w:t>
            </w:r>
          </w:p>
        </w:tc>
      </w:tr>
      <w:tr w14:paraId="458F1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tcPr>
          <w:p w14:paraId="2C2068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1223" w:type="dxa"/>
          </w:tcPr>
          <w:p w14:paraId="6E5293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1211" w:type="dxa"/>
          </w:tcPr>
          <w:p w14:paraId="69AEBD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1212" w:type="dxa"/>
          </w:tcPr>
          <w:p w14:paraId="7A5E72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946" w:type="dxa"/>
          </w:tcPr>
          <w:p w14:paraId="6BD278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946" w:type="dxa"/>
          </w:tcPr>
          <w:p w14:paraId="1CCC48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946" w:type="dxa"/>
          </w:tcPr>
          <w:p w14:paraId="322E01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946" w:type="dxa"/>
          </w:tcPr>
          <w:p w14:paraId="7AF612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r>
      <w:tr w14:paraId="35013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tcPr>
          <w:p w14:paraId="446546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1223" w:type="dxa"/>
          </w:tcPr>
          <w:p w14:paraId="15184C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1211" w:type="dxa"/>
          </w:tcPr>
          <w:p w14:paraId="6405F1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1212" w:type="dxa"/>
          </w:tcPr>
          <w:p w14:paraId="1C6701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946" w:type="dxa"/>
          </w:tcPr>
          <w:p w14:paraId="5C804C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946" w:type="dxa"/>
          </w:tcPr>
          <w:p w14:paraId="5D61DF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946" w:type="dxa"/>
          </w:tcPr>
          <w:p w14:paraId="6FC197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946" w:type="dxa"/>
          </w:tcPr>
          <w:p w14:paraId="56BF13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r>
      <w:tr w14:paraId="3D1AD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tcPr>
          <w:p w14:paraId="0E9414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1223" w:type="dxa"/>
          </w:tcPr>
          <w:p w14:paraId="517772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1211" w:type="dxa"/>
          </w:tcPr>
          <w:p w14:paraId="69B1F7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1212" w:type="dxa"/>
          </w:tcPr>
          <w:p w14:paraId="16194F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946" w:type="dxa"/>
          </w:tcPr>
          <w:p w14:paraId="7638EC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946" w:type="dxa"/>
          </w:tcPr>
          <w:p w14:paraId="0916ED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946" w:type="dxa"/>
          </w:tcPr>
          <w:p w14:paraId="4A42E7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946" w:type="dxa"/>
          </w:tcPr>
          <w:p w14:paraId="1BC29E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r>
      <w:tr w14:paraId="395DD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tcPr>
          <w:p w14:paraId="36FB98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1223" w:type="dxa"/>
          </w:tcPr>
          <w:p w14:paraId="2C8721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1211" w:type="dxa"/>
          </w:tcPr>
          <w:p w14:paraId="2763AD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1212" w:type="dxa"/>
          </w:tcPr>
          <w:p w14:paraId="78F8C6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946" w:type="dxa"/>
          </w:tcPr>
          <w:p w14:paraId="4944BB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946" w:type="dxa"/>
          </w:tcPr>
          <w:p w14:paraId="6DAA4C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946" w:type="dxa"/>
          </w:tcPr>
          <w:p w14:paraId="692F48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c>
          <w:tcPr>
            <w:tcW w:w="946" w:type="dxa"/>
          </w:tcPr>
          <w:p w14:paraId="70E308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p>
        </w:tc>
      </w:tr>
    </w:tbl>
    <w:p w14:paraId="6E72DB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p>
    <w:p w14:paraId="7A4D124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4"/>
        </w:rPr>
      </w:pPr>
      <w:r>
        <w:rPr>
          <w:rFonts w:hint="eastAsia"/>
          <w:b/>
          <w:bCs/>
          <w:sz w:val="24"/>
          <w:szCs w:val="24"/>
        </w:rPr>
        <w:t>二、合同价款</w:t>
      </w:r>
    </w:p>
    <w:p w14:paraId="152C0F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（一）合同总价款为人民币（大写）</w:t>
      </w:r>
      <w:r>
        <w:rPr>
          <w:rFonts w:hint="eastAsia"/>
          <w:sz w:val="24"/>
          <w:szCs w:val="24"/>
          <w:u w:val="single"/>
          <w:lang w:val="en-US" w:eastAsia="zh-CN"/>
        </w:rPr>
        <w:t xml:space="preserve">              </w:t>
      </w:r>
      <w:r>
        <w:rPr>
          <w:rFonts w:hint="eastAsia"/>
          <w:sz w:val="24"/>
          <w:szCs w:val="24"/>
        </w:rPr>
        <w:t>（￥</w:t>
      </w:r>
      <w:r>
        <w:rPr>
          <w:rFonts w:hint="eastAsia"/>
          <w:sz w:val="24"/>
          <w:szCs w:val="24"/>
          <w:u w:val="single"/>
          <w:lang w:val="en-US" w:eastAsia="zh-CN"/>
        </w:rPr>
        <w:t xml:space="preserve">      </w:t>
      </w:r>
      <w:r>
        <w:rPr>
          <w:rFonts w:hint="eastAsia"/>
          <w:sz w:val="24"/>
          <w:szCs w:val="24"/>
        </w:rPr>
        <w:t>元）。</w:t>
      </w:r>
    </w:p>
    <w:p w14:paraId="57051F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（二）合同总价包括：人员工资、差旅费、维修保养费、咨询费、检验费、培训费及国家按现行税收政策征收的一切税费及其它相关的全部费用。</w:t>
      </w:r>
    </w:p>
    <w:p w14:paraId="50A401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（三）合同总价一次性包死，不受市场价格变化因素的影响。</w:t>
      </w:r>
    </w:p>
    <w:p w14:paraId="5FEFE42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4"/>
        </w:rPr>
      </w:pPr>
      <w:r>
        <w:rPr>
          <w:rFonts w:hint="eastAsia"/>
          <w:b/>
          <w:bCs/>
          <w:sz w:val="24"/>
          <w:szCs w:val="24"/>
        </w:rPr>
        <w:t>三、款项结算</w:t>
      </w:r>
    </w:p>
    <w:p w14:paraId="36E5E8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（一）付款比例：</w:t>
      </w:r>
    </w:p>
    <w:p w14:paraId="61DD8A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highlight w:val="none"/>
        </w:rPr>
      </w:pPr>
      <w:r>
        <w:rPr>
          <w:rFonts w:hint="eastAsia"/>
          <w:sz w:val="24"/>
          <w:szCs w:val="24"/>
          <w:highlight w:val="none"/>
        </w:rPr>
        <w:t>合同签订后</w:t>
      </w:r>
      <w:r>
        <w:rPr>
          <w:rFonts w:hint="eastAsia"/>
          <w:sz w:val="24"/>
          <w:szCs w:val="24"/>
          <w:highlight w:val="none"/>
          <w:lang w:val="en-US" w:eastAsia="zh-CN"/>
        </w:rPr>
        <w:t>，达到付款条件起30个⼯作⽇</w:t>
      </w:r>
      <w:r>
        <w:rPr>
          <w:rFonts w:hint="eastAsia"/>
          <w:sz w:val="24"/>
          <w:szCs w:val="24"/>
          <w:highlight w:val="none"/>
        </w:rPr>
        <w:t>内</w:t>
      </w:r>
      <w:r>
        <w:rPr>
          <w:rFonts w:hint="eastAsia"/>
          <w:sz w:val="24"/>
          <w:szCs w:val="24"/>
          <w:highlight w:val="none"/>
          <w:lang w:eastAsia="zh-CN"/>
        </w:rPr>
        <w:t>，</w:t>
      </w:r>
      <w:r>
        <w:rPr>
          <w:rFonts w:hint="eastAsia"/>
          <w:sz w:val="24"/>
          <w:szCs w:val="24"/>
          <w:highlight w:val="none"/>
        </w:rPr>
        <w:t>支付合同总价的</w:t>
      </w:r>
      <w:r>
        <w:rPr>
          <w:rFonts w:hint="eastAsia"/>
          <w:sz w:val="24"/>
          <w:szCs w:val="24"/>
          <w:highlight w:val="none"/>
          <w:lang w:val="en-US" w:eastAsia="zh-CN"/>
        </w:rPr>
        <w:t>40</w:t>
      </w:r>
      <w:r>
        <w:rPr>
          <w:rFonts w:hint="eastAsia"/>
          <w:sz w:val="24"/>
          <w:szCs w:val="24"/>
          <w:highlight w:val="none"/>
        </w:rPr>
        <w:t>%，即金额（大写）：</w:t>
      </w:r>
      <w:r>
        <w:rPr>
          <w:rFonts w:hint="eastAsia"/>
          <w:sz w:val="24"/>
          <w:szCs w:val="24"/>
          <w:highlight w:val="none"/>
          <w:u w:val="single"/>
          <w:lang w:val="en-US" w:eastAsia="zh-CN"/>
        </w:rPr>
        <w:t xml:space="preserve">             </w:t>
      </w:r>
      <w:r>
        <w:rPr>
          <w:rFonts w:hint="eastAsia"/>
          <w:sz w:val="24"/>
          <w:szCs w:val="24"/>
          <w:highlight w:val="none"/>
        </w:rPr>
        <w:t>，（小写）：￥</w:t>
      </w:r>
      <w:r>
        <w:rPr>
          <w:rFonts w:hint="eastAsia"/>
          <w:sz w:val="24"/>
          <w:szCs w:val="24"/>
          <w:highlight w:val="none"/>
          <w:u w:val="single"/>
          <w:lang w:val="en-US" w:eastAsia="zh-CN"/>
        </w:rPr>
        <w:t xml:space="preserve">             </w:t>
      </w:r>
      <w:r>
        <w:rPr>
          <w:rFonts w:hint="eastAsia"/>
          <w:sz w:val="24"/>
          <w:szCs w:val="24"/>
          <w:highlight w:val="none"/>
        </w:rPr>
        <w:t>元。 合同签订⼀年期满，达到付款条件起30个⼯作⽇内支付合同总价的</w:t>
      </w:r>
      <w:r>
        <w:rPr>
          <w:rFonts w:hint="eastAsia"/>
          <w:sz w:val="24"/>
          <w:szCs w:val="24"/>
          <w:highlight w:val="none"/>
          <w:lang w:val="en-US" w:eastAsia="zh-CN"/>
        </w:rPr>
        <w:t>30</w:t>
      </w:r>
      <w:r>
        <w:rPr>
          <w:rFonts w:hint="eastAsia"/>
          <w:sz w:val="24"/>
          <w:szCs w:val="24"/>
          <w:highlight w:val="none"/>
        </w:rPr>
        <w:t>%，即金额（大写）：</w:t>
      </w:r>
      <w:r>
        <w:rPr>
          <w:rFonts w:hint="eastAsia"/>
          <w:sz w:val="24"/>
          <w:szCs w:val="24"/>
          <w:highlight w:val="none"/>
          <w:u w:val="single"/>
          <w:lang w:val="en-US" w:eastAsia="zh-CN"/>
        </w:rPr>
        <w:t xml:space="preserve">      </w:t>
      </w:r>
      <w:r>
        <w:rPr>
          <w:rFonts w:hint="eastAsia"/>
          <w:sz w:val="24"/>
          <w:szCs w:val="24"/>
          <w:highlight w:val="none"/>
        </w:rPr>
        <w:t>，（小写）：￥</w:t>
      </w:r>
      <w:r>
        <w:rPr>
          <w:rFonts w:hint="eastAsia"/>
          <w:sz w:val="24"/>
          <w:szCs w:val="24"/>
          <w:highlight w:val="none"/>
          <w:u w:val="single"/>
          <w:lang w:val="en-US" w:eastAsia="zh-CN"/>
        </w:rPr>
        <w:t xml:space="preserve">      </w:t>
      </w:r>
      <w:r>
        <w:rPr>
          <w:rFonts w:hint="eastAsia"/>
          <w:sz w:val="24"/>
          <w:szCs w:val="24"/>
          <w:highlight w:val="none"/>
        </w:rPr>
        <w:t>元。合同签订⼆年期满，达到付款条件起30个⼯作⽇内</w:t>
      </w:r>
      <w:r>
        <w:rPr>
          <w:rFonts w:hint="eastAsia"/>
          <w:sz w:val="24"/>
          <w:szCs w:val="24"/>
          <w:highlight w:val="none"/>
          <w:lang w:eastAsia="zh-CN"/>
        </w:rPr>
        <w:t>，⽀付合同总⾦额的30.0%，</w:t>
      </w:r>
      <w:r>
        <w:rPr>
          <w:rFonts w:hint="eastAsia"/>
          <w:sz w:val="24"/>
          <w:szCs w:val="24"/>
          <w:highlight w:val="none"/>
        </w:rPr>
        <w:t>即金额（大写）：</w:t>
      </w:r>
      <w:r>
        <w:rPr>
          <w:rFonts w:hint="eastAsia"/>
          <w:sz w:val="24"/>
          <w:szCs w:val="24"/>
          <w:highlight w:val="none"/>
          <w:u w:val="single"/>
          <w:lang w:val="en-US" w:eastAsia="zh-CN"/>
        </w:rPr>
        <w:t xml:space="preserve">      </w:t>
      </w:r>
      <w:r>
        <w:rPr>
          <w:rFonts w:hint="eastAsia"/>
          <w:sz w:val="24"/>
          <w:szCs w:val="24"/>
          <w:highlight w:val="none"/>
        </w:rPr>
        <w:t>，（小写）：￥</w:t>
      </w:r>
      <w:r>
        <w:rPr>
          <w:rFonts w:hint="eastAsia"/>
          <w:sz w:val="24"/>
          <w:szCs w:val="24"/>
          <w:highlight w:val="none"/>
          <w:u w:val="single"/>
          <w:lang w:val="en-US" w:eastAsia="zh-CN"/>
        </w:rPr>
        <w:t xml:space="preserve">      </w:t>
      </w:r>
      <w:r>
        <w:rPr>
          <w:rFonts w:hint="eastAsia"/>
          <w:sz w:val="24"/>
          <w:szCs w:val="24"/>
          <w:highlight w:val="none"/>
        </w:rPr>
        <w:t>元。</w:t>
      </w:r>
    </w:p>
    <w:p w14:paraId="340DD1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（二）支付方式：银行转账</w:t>
      </w:r>
    </w:p>
    <w:p w14:paraId="061BB7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（三）结算方式：乙方于甲方第一次付款前5日内提供全额合规含税发票，否则，甲方付款期限顺延，且不承担任何责任。</w:t>
      </w:r>
    </w:p>
    <w:p w14:paraId="694D5C9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4"/>
        </w:rPr>
      </w:pPr>
      <w:r>
        <w:rPr>
          <w:rFonts w:hint="eastAsia"/>
          <w:b/>
          <w:bCs/>
          <w:sz w:val="24"/>
          <w:szCs w:val="24"/>
        </w:rPr>
        <w:t>四、双方的权利和义务</w:t>
      </w:r>
    </w:p>
    <w:p w14:paraId="75B019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（一）甲方的权利和义务</w:t>
      </w:r>
    </w:p>
    <w:p w14:paraId="7BF748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甲方提供所需要的专人及场地配合乙方进行维修工作。</w:t>
      </w:r>
    </w:p>
    <w:p w14:paraId="18BDCF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甲方提供乙方维修过程中所必须的各项技术资料。</w:t>
      </w:r>
    </w:p>
    <w:p w14:paraId="439C2F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（二）乙方的权利和义务</w:t>
      </w:r>
    </w:p>
    <w:p w14:paraId="31CA67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1.乙方按照合同约定保证维修后设备完好、按照甲方要求进行验收。</w:t>
      </w:r>
    </w:p>
    <w:p w14:paraId="24FA0C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2.乙方应保证其具备与维修业务相适应的设施和技术力量，派遣到甲方的维修人员均为专业工程师，并严格遵守中国法律法规、相关技术安全规范与甲方的管理制度进行检查维修工作</w:t>
      </w:r>
    </w:p>
    <w:p w14:paraId="6426C3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3.乙方在维修过程中负责维修工程师、设备及配件的安全，出现设备及人员安全意外由乙方自行承担后果，由此给甲方造成任何损失的，乙方承担全部损失。</w:t>
      </w:r>
    </w:p>
    <w:p w14:paraId="630FE5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4.未经甲方书面同意，乙方不能擅自将设备维修的全部或部分工作委托给他人（原本属于第三方厂家维修的除外），否则，甲方有权解除合同，合同自书面解除通知送达乙方之日起解除，乙方赔偿甲方解除合同的所有损失。</w:t>
      </w:r>
    </w:p>
    <w:p w14:paraId="129BC5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5.乙方承诺提供的配件均符合法律法规和原厂质量标准。</w:t>
      </w:r>
    </w:p>
    <w:p w14:paraId="6A6FED7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4"/>
        </w:rPr>
      </w:pPr>
      <w:r>
        <w:rPr>
          <w:rFonts w:hint="eastAsia"/>
          <w:b/>
          <w:bCs/>
          <w:sz w:val="24"/>
          <w:szCs w:val="24"/>
        </w:rPr>
        <w:t>五、维修服务条件：</w:t>
      </w:r>
    </w:p>
    <w:p w14:paraId="00C6D4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Theme="minorEastAsia"/>
          <w:sz w:val="24"/>
          <w:szCs w:val="24"/>
          <w:lang w:val="en-US" w:eastAsia="zh-CN"/>
        </w:rPr>
      </w:pPr>
      <w:r>
        <w:rPr>
          <w:rFonts w:hint="eastAsia"/>
          <w:sz w:val="24"/>
          <w:szCs w:val="24"/>
        </w:rPr>
        <w:t>（一）维修地点：</w:t>
      </w:r>
      <w:r>
        <w:rPr>
          <w:rFonts w:hint="eastAsia"/>
          <w:sz w:val="24"/>
          <w:szCs w:val="24"/>
          <w:lang w:val="en-US" w:eastAsia="zh-CN"/>
        </w:rPr>
        <w:t>甲方指定地点；</w:t>
      </w:r>
    </w:p>
    <w:p w14:paraId="185360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（二）维保时间：合同签订签字盖章起始。</w:t>
      </w:r>
    </w:p>
    <w:p w14:paraId="451C5F0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4"/>
        </w:rPr>
      </w:pPr>
      <w:r>
        <w:rPr>
          <w:rFonts w:hint="eastAsia"/>
          <w:b/>
          <w:bCs/>
          <w:sz w:val="24"/>
          <w:szCs w:val="24"/>
        </w:rPr>
        <w:t>六、运输</w:t>
      </w:r>
    </w:p>
    <w:p w14:paraId="691C15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（一）乙方负责所有服务所需备品备件及耗材等的运输。确保备品备件及耗材等安全、完整到达服务地点，运杂费用包含在总价内，包括货物从供货地点到使用地点的运输费、保险费、搬运费等全部费用。</w:t>
      </w:r>
    </w:p>
    <w:p w14:paraId="1AEB11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（二）所有备品备件及耗材等在运输、搬运、安装的过程中，造成甲方损失的，由乙方免费于3日内为甲方修复或更新,无法修复或更新的，由乙方承担甲方全部损失。</w:t>
      </w:r>
    </w:p>
    <w:p w14:paraId="6223FB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4"/>
        </w:rPr>
      </w:pPr>
      <w:r>
        <w:rPr>
          <w:rFonts w:hint="eastAsia"/>
          <w:b/>
          <w:bCs/>
          <w:sz w:val="24"/>
          <w:szCs w:val="24"/>
        </w:rPr>
        <w:t>七、质量保证</w:t>
      </w:r>
    </w:p>
    <w:p w14:paraId="10207C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乙方所维修设备必须执行下列条款：</w:t>
      </w:r>
    </w:p>
    <w:p w14:paraId="6844BA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（一）符合有关规范要求，确保维修后排除故障、设备达到最佳运行状态。</w:t>
      </w:r>
    </w:p>
    <w:p w14:paraId="04B5E3B2">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textAlignment w:val="auto"/>
        <w:rPr>
          <w:sz w:val="24"/>
          <w:szCs w:val="24"/>
        </w:rPr>
      </w:pPr>
      <w:r>
        <w:rPr>
          <w:rFonts w:hint="eastAsia"/>
          <w:sz w:val="24"/>
          <w:szCs w:val="24"/>
        </w:rPr>
        <w:t>（二）保证在合同服务期内设备开机率≥95%，每超过一天保修延长5天。（三）维修保养备件为全新备件。</w:t>
      </w:r>
    </w:p>
    <w:p w14:paraId="32A0E1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四）合同期内必须对清单内提供≥4次／年常规机器调试和专业维护保养，及清单外其它保外彩超设备的周期性保养与日常维修人工服务。按照标准对设备进行校准、检测、主机定期保养，确认各项技术指标和性能，记录设备运行状况，图像质量检查、机除尘清洁、机械安全检查、质量安全检查等，并在预防性维护结束时提供合同设备的主动维护报告及整机质量评估报告。（五）每月月底提供当月设备运行维护报告</w:t>
      </w:r>
    </w:p>
    <w:p w14:paraId="506DC4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w:t>
      </w:r>
      <w:r>
        <w:rPr>
          <w:rFonts w:hint="eastAsia"/>
          <w:sz w:val="24"/>
          <w:szCs w:val="24"/>
          <w:lang w:val="en-US" w:eastAsia="zh-CN"/>
        </w:rPr>
        <w:t>五</w:t>
      </w:r>
      <w:r>
        <w:rPr>
          <w:rFonts w:hint="eastAsia"/>
          <w:sz w:val="24"/>
          <w:szCs w:val="24"/>
        </w:rPr>
        <w:t>）每年度服务结束后应提交年度服务报告，包括维修情况、服务总结、设备运行时状况分析、设备存在问题及建议等</w:t>
      </w:r>
    </w:p>
    <w:p w14:paraId="5056C80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4"/>
        </w:rPr>
      </w:pPr>
      <w:r>
        <w:rPr>
          <w:rFonts w:hint="eastAsia"/>
          <w:b/>
          <w:bCs/>
          <w:sz w:val="24"/>
          <w:szCs w:val="24"/>
        </w:rPr>
        <w:t>八、技术服务</w:t>
      </w:r>
    </w:p>
    <w:p w14:paraId="433793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（一）培训内容：按甲方要求</w:t>
      </w:r>
    </w:p>
    <w:p w14:paraId="0EC0D0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 xml:space="preserve">（二）培训地点：双方协商地点 </w:t>
      </w:r>
    </w:p>
    <w:p w14:paraId="3EF054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 xml:space="preserve">（三）培训时间：按甲方要求。 </w:t>
      </w:r>
    </w:p>
    <w:p w14:paraId="546AEE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（四）培训费用：受训人员的相关费用已包含在合同总价中，甲方不再另行支付。</w:t>
      </w:r>
    </w:p>
    <w:p w14:paraId="1AF539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w:t>
      </w:r>
      <w:r>
        <w:rPr>
          <w:rFonts w:hint="eastAsia"/>
          <w:sz w:val="24"/>
          <w:szCs w:val="24"/>
          <w:lang w:val="en-US" w:eastAsia="zh-CN"/>
        </w:rPr>
        <w:t>五</w:t>
      </w:r>
      <w:r>
        <w:rPr>
          <w:rFonts w:hint="eastAsia"/>
          <w:sz w:val="24"/>
          <w:szCs w:val="24"/>
        </w:rPr>
        <w:t>）售后服务</w:t>
      </w:r>
    </w:p>
    <w:p w14:paraId="4BB2D8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1、服务响应：提供7*24小时报修及免费技术支持电话，接到故障报修电话通知后10分钟之内响应，提供电话、网络等技术支持。如以上技术支持无法解决设备故障，供应商须在2小时内到达设备使用现场进行维修，排除故障。</w:t>
      </w:r>
    </w:p>
    <w:p w14:paraId="57272F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2、维修服务所涉及的人工费用、交通差旅费及配件费，均由乙方承担。</w:t>
      </w:r>
    </w:p>
    <w:p w14:paraId="11DC2DA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4"/>
        </w:rPr>
      </w:pPr>
      <w:r>
        <w:rPr>
          <w:rFonts w:hint="eastAsia"/>
          <w:b/>
          <w:bCs/>
          <w:sz w:val="24"/>
          <w:szCs w:val="24"/>
        </w:rPr>
        <w:t>九、验收</w:t>
      </w:r>
    </w:p>
    <w:p w14:paraId="06777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（一）维保完成后，由甲乙双方共同验收。甲方填写验收合格单作为对乙方服务的认可。</w:t>
      </w:r>
    </w:p>
    <w:p w14:paraId="61C6C7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（二）乙方向甲方提交设备维修过程中的所有资料及换下的故障配件。</w:t>
      </w:r>
    </w:p>
    <w:p w14:paraId="29EAD3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lang w:eastAsia="zh-CN"/>
        </w:rPr>
        <w:t>（</w:t>
      </w:r>
      <w:r>
        <w:rPr>
          <w:rFonts w:hint="eastAsia"/>
          <w:sz w:val="24"/>
          <w:szCs w:val="24"/>
          <w:lang w:val="en-US" w:eastAsia="zh-CN"/>
        </w:rPr>
        <w:t>三</w:t>
      </w:r>
      <w:r>
        <w:rPr>
          <w:rFonts w:hint="eastAsia"/>
          <w:sz w:val="24"/>
          <w:szCs w:val="24"/>
          <w:lang w:eastAsia="zh-CN"/>
        </w:rPr>
        <w:t>）</w:t>
      </w:r>
      <w:r>
        <w:rPr>
          <w:rFonts w:hint="eastAsia"/>
          <w:sz w:val="24"/>
          <w:szCs w:val="24"/>
        </w:rPr>
        <w:t>验收标准：验收依据 1、招标⽂件、投标⽂件、澄清表（函）； 2、合同及附件⽂本； 3、国家相应的标准、规范。</w:t>
      </w:r>
    </w:p>
    <w:p w14:paraId="31B93F2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4"/>
        </w:rPr>
      </w:pPr>
      <w:r>
        <w:rPr>
          <w:rFonts w:hint="eastAsia"/>
          <w:b/>
          <w:bCs/>
          <w:sz w:val="24"/>
          <w:szCs w:val="24"/>
        </w:rPr>
        <w:t>十、违约责任</w:t>
      </w:r>
    </w:p>
    <w:p w14:paraId="41470C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（一）按《政府采购法》、《中华人民共和国民法典》中的相关条款执行。</w:t>
      </w:r>
    </w:p>
    <w:p w14:paraId="2B947A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（二）乙方在人员伤亡方面的责任应按照所适用的中国法律的相关规定执行。乙方应对其违约行为给甲方造成的全部损失承担赔偿责任。在中国法律允许的范围内，乙方向甲方承担全部赔偿额。</w:t>
      </w:r>
    </w:p>
    <w:p w14:paraId="00D2DF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三）未按合同要求维修设备或维修质量不能满足合同约定的技术要求，乙方为甲方修复，提高技术，完善质量，否则，甲方有权终止合同，终止合同甲方应提前一个月书面通知乙方，并按以下两种方式追究乙方的违约责任：</w:t>
      </w:r>
    </w:p>
    <w:p w14:paraId="0EDBEE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1、在中国法律允许的范围内，乙方赔偿甲方解除合同的全部损失。</w:t>
      </w:r>
    </w:p>
    <w:p w14:paraId="39A342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2、乙方支付甲方违约金，违约金为合同金额的</w:t>
      </w:r>
      <w:r>
        <w:rPr>
          <w:rFonts w:hint="eastAsia"/>
          <w:sz w:val="24"/>
          <w:szCs w:val="24"/>
          <w:u w:val="single"/>
          <w:lang w:val="en-US" w:eastAsia="zh-CN"/>
        </w:rPr>
        <w:t xml:space="preserve">    </w:t>
      </w:r>
      <w:r>
        <w:rPr>
          <w:rFonts w:hint="eastAsia"/>
          <w:sz w:val="24"/>
          <w:szCs w:val="24"/>
        </w:rPr>
        <w:t>%，并对乙方的违约行为报监管机构进行相应的处罚。</w:t>
      </w:r>
    </w:p>
    <w:p w14:paraId="280EDB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（三）维修期限每超过一日，扣除乙方合同价款的</w:t>
      </w:r>
      <w:r>
        <w:rPr>
          <w:rFonts w:hint="eastAsia"/>
          <w:sz w:val="24"/>
          <w:szCs w:val="24"/>
          <w:u w:val="single"/>
          <w:lang w:val="en-US" w:eastAsia="zh-CN"/>
        </w:rPr>
        <w:t xml:space="preserve">    </w:t>
      </w:r>
      <w:r>
        <w:rPr>
          <w:rFonts w:hint="eastAsia"/>
          <w:sz w:val="24"/>
          <w:szCs w:val="24"/>
        </w:rPr>
        <w:t>%；累计超过15日，视为乙方根本违约，甲方有权解除合同，合同自书面通知书到达乙方之日视为已解除，并按本条第</w:t>
      </w:r>
    </w:p>
    <w:p w14:paraId="21979F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（三）款之约定承担违约责任。</w:t>
      </w:r>
    </w:p>
    <w:p w14:paraId="266B15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（四）乙方无正当理由不履行合同义务或者履行合同义务不符合约定的，赔偿由此给甲方造成的全部损失。</w:t>
      </w:r>
    </w:p>
    <w:p w14:paraId="771D138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4"/>
        </w:rPr>
      </w:pPr>
      <w:r>
        <w:rPr>
          <w:rFonts w:hint="eastAsia"/>
          <w:b/>
          <w:bCs/>
          <w:sz w:val="24"/>
          <w:szCs w:val="24"/>
        </w:rPr>
        <w:t>十一、网络安全和数据保护</w:t>
      </w:r>
    </w:p>
    <w:p w14:paraId="341C51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乙方应严格保守履行本合同知悉的数据及商业秘密，如乙方管理使用甲方数据给甲方造成损失的，乙方应承担全部损失。</w:t>
      </w:r>
    </w:p>
    <w:p w14:paraId="36AA4CD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4"/>
        </w:rPr>
      </w:pPr>
      <w:r>
        <w:rPr>
          <w:rFonts w:hint="eastAsia"/>
          <w:b/>
          <w:bCs/>
          <w:sz w:val="24"/>
          <w:szCs w:val="24"/>
        </w:rPr>
        <w:t>十二、合同争议解决的方式</w:t>
      </w:r>
    </w:p>
    <w:p w14:paraId="2E1791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因本维保合同产生的或者与其相关的所有请求、分歧或争议，包括关于本维保合同存在、效力、终止或履行，或者与本维保合同履行安排有关的任何问题（以下称“争议”）， 由甲乙双方当事人协商解决，协商不成的依法向甲方所在地人民法院提起诉讼。</w:t>
      </w:r>
    </w:p>
    <w:p w14:paraId="2AF6A2D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4"/>
        </w:rPr>
      </w:pPr>
      <w:r>
        <w:rPr>
          <w:rFonts w:hint="eastAsia"/>
          <w:b/>
          <w:bCs/>
          <w:sz w:val="24"/>
          <w:szCs w:val="24"/>
        </w:rPr>
        <w:t>十三、合同生效</w:t>
      </w:r>
    </w:p>
    <w:p w14:paraId="11EA7E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本合同一式肆份，甲方</w:t>
      </w:r>
      <w:r>
        <w:rPr>
          <w:rFonts w:hint="eastAsia"/>
          <w:sz w:val="24"/>
          <w:szCs w:val="24"/>
          <w:lang w:val="en-US" w:eastAsia="zh-CN"/>
        </w:rPr>
        <w:t>贰</w:t>
      </w:r>
      <w:r>
        <w:rPr>
          <w:rFonts w:hint="eastAsia"/>
          <w:sz w:val="24"/>
          <w:szCs w:val="24"/>
        </w:rPr>
        <w:t>份，乙方</w:t>
      </w:r>
      <w:r>
        <w:rPr>
          <w:rFonts w:hint="eastAsia"/>
          <w:sz w:val="24"/>
          <w:szCs w:val="24"/>
          <w:lang w:val="en-US" w:eastAsia="zh-CN"/>
        </w:rPr>
        <w:t>贰</w:t>
      </w:r>
      <w:r>
        <w:rPr>
          <w:rFonts w:hint="eastAsia"/>
          <w:sz w:val="24"/>
          <w:szCs w:val="24"/>
        </w:rPr>
        <w:t>份，合同</w:t>
      </w:r>
      <w:r>
        <w:rPr>
          <w:rFonts w:hint="eastAsia"/>
          <w:sz w:val="24"/>
          <w:szCs w:val="24"/>
          <w:lang w:val="en-US" w:eastAsia="zh-CN"/>
        </w:rPr>
        <w:t>双</w:t>
      </w:r>
      <w:r>
        <w:rPr>
          <w:rFonts w:hint="eastAsia"/>
          <w:sz w:val="24"/>
          <w:szCs w:val="24"/>
        </w:rPr>
        <w:t xml:space="preserve">方签字盖章后生效，维保期结束后，合同自动终止。 </w:t>
      </w:r>
    </w:p>
    <w:p w14:paraId="71AA4B9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b/>
          <w:bCs/>
          <w:sz w:val="24"/>
          <w:szCs w:val="24"/>
        </w:rPr>
      </w:pPr>
      <w:r>
        <w:rPr>
          <w:rFonts w:hint="eastAsia"/>
          <w:b/>
          <w:bCs/>
          <w:sz w:val="24"/>
          <w:szCs w:val="24"/>
        </w:rPr>
        <w:t>十四、其他事项</w:t>
      </w:r>
    </w:p>
    <w:p w14:paraId="1DC3A8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（一）合同未尽事宜，由甲、乙双方协商，签订书面补充协议，作为合同补充，与原合同具有同等法律效力。</w:t>
      </w:r>
    </w:p>
    <w:p w14:paraId="63DE54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（二）合同一经签订，不得擅自变更、中止或终止合同。对确需变更、调整或中止、终止合同的，有法律规定的按照法律规定，除合同约定外，由甲乙双方再行协商，协商一致前，原合同或条款继续履行。</w:t>
      </w:r>
    </w:p>
    <w:p w14:paraId="7C3AD0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（四）本合同按照中华人民共和国的现行法律进行解释。</w:t>
      </w:r>
    </w:p>
    <w:p w14:paraId="315FB1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（以下无正文）</w:t>
      </w:r>
    </w:p>
    <w:tbl>
      <w:tblPr>
        <w:tblStyle w:val="4"/>
        <w:tblW w:w="0" w:type="auto"/>
        <w:jc w:val="center"/>
        <w:tblLayout w:type="fixed"/>
        <w:tblCellMar>
          <w:top w:w="0" w:type="dxa"/>
          <w:left w:w="108" w:type="dxa"/>
          <w:bottom w:w="0" w:type="dxa"/>
          <w:right w:w="108" w:type="dxa"/>
        </w:tblCellMar>
      </w:tblPr>
      <w:tblGrid>
        <w:gridCol w:w="4470"/>
        <w:gridCol w:w="4425"/>
      </w:tblGrid>
      <w:tr w14:paraId="4188A786">
        <w:tblPrEx>
          <w:tblCellMar>
            <w:top w:w="0" w:type="dxa"/>
            <w:left w:w="108" w:type="dxa"/>
            <w:bottom w:w="0" w:type="dxa"/>
            <w:right w:w="108" w:type="dxa"/>
          </w:tblCellMar>
        </w:tblPrEx>
        <w:trPr>
          <w:jc w:val="center"/>
        </w:trPr>
        <w:tc>
          <w:tcPr>
            <w:tcW w:w="4470" w:type="dxa"/>
            <w:noWrap w:val="0"/>
            <w:vAlign w:val="top"/>
          </w:tcPr>
          <w:p w14:paraId="65B6CD90">
            <w:pPr>
              <w:widowControl/>
              <w:autoSpaceDE w:val="0"/>
              <w:autoSpaceDN w:val="0"/>
              <w:snapToGrid w:val="0"/>
              <w:spacing w:line="360" w:lineRule="auto"/>
              <w:ind w:right="-154"/>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甲方名称</w:t>
            </w:r>
            <w:r>
              <w:rPr>
                <w:rFonts w:hint="eastAsia" w:ascii="宋体" w:hAnsi="宋体" w:eastAsia="宋体" w:cs="宋体"/>
                <w:color w:val="auto"/>
                <w:spacing w:val="-20"/>
                <w:sz w:val="24"/>
                <w:szCs w:val="24"/>
                <w:highlight w:val="none"/>
              </w:rPr>
              <w:t>（盖章）</w:t>
            </w:r>
            <w:r>
              <w:rPr>
                <w:rFonts w:hint="eastAsia" w:ascii="宋体" w:hAnsi="宋体" w:eastAsia="宋体" w:cs="宋体"/>
                <w:color w:val="auto"/>
                <w:sz w:val="24"/>
                <w:szCs w:val="24"/>
                <w:highlight w:val="none"/>
              </w:rPr>
              <w:t>:</w:t>
            </w:r>
          </w:p>
          <w:p w14:paraId="0C1CAE78">
            <w:pPr>
              <w:widowControl/>
              <w:autoSpaceDE w:val="0"/>
              <w:autoSpaceDN w:val="0"/>
              <w:snapToGrid w:val="0"/>
              <w:spacing w:line="360" w:lineRule="auto"/>
              <w:ind w:right="-154"/>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14:paraId="53EF09D1">
            <w:pPr>
              <w:widowControl/>
              <w:autoSpaceDE w:val="0"/>
              <w:autoSpaceDN w:val="0"/>
              <w:snapToGrid w:val="0"/>
              <w:spacing w:line="360" w:lineRule="auto"/>
              <w:ind w:right="-154"/>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代表人（签字）：</w:t>
            </w:r>
          </w:p>
          <w:p w14:paraId="1FE540AB">
            <w:pPr>
              <w:widowControl/>
              <w:autoSpaceDE w:val="0"/>
              <w:autoSpaceDN w:val="0"/>
              <w:snapToGrid w:val="0"/>
              <w:spacing w:line="360" w:lineRule="auto"/>
              <w:ind w:right="-154"/>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p w14:paraId="640EB1E5">
            <w:pPr>
              <w:widowControl/>
              <w:autoSpaceDE w:val="0"/>
              <w:autoSpaceDN w:val="0"/>
              <w:snapToGrid w:val="0"/>
              <w:spacing w:line="360" w:lineRule="auto"/>
              <w:ind w:right="-154"/>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p w14:paraId="0FBAEF2A">
            <w:pPr>
              <w:widowControl/>
              <w:autoSpaceDE w:val="0"/>
              <w:autoSpaceDN w:val="0"/>
              <w:snapToGrid w:val="0"/>
              <w:spacing w:line="360" w:lineRule="auto"/>
              <w:ind w:right="-154"/>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帐号：</w:t>
            </w:r>
          </w:p>
        </w:tc>
        <w:tc>
          <w:tcPr>
            <w:tcW w:w="4425" w:type="dxa"/>
            <w:noWrap w:val="0"/>
            <w:vAlign w:val="top"/>
          </w:tcPr>
          <w:p w14:paraId="1891C272">
            <w:pPr>
              <w:widowControl/>
              <w:autoSpaceDE w:val="0"/>
              <w:autoSpaceDN w:val="0"/>
              <w:snapToGrid w:val="0"/>
              <w:spacing w:line="360" w:lineRule="auto"/>
              <w:ind w:right="-154"/>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乙方名称</w:t>
            </w:r>
            <w:r>
              <w:rPr>
                <w:rFonts w:hint="eastAsia" w:ascii="宋体" w:hAnsi="宋体" w:eastAsia="宋体" w:cs="宋体"/>
                <w:color w:val="auto"/>
                <w:spacing w:val="-20"/>
                <w:sz w:val="24"/>
                <w:szCs w:val="24"/>
                <w:highlight w:val="none"/>
              </w:rPr>
              <w:t>（盖章）</w:t>
            </w:r>
            <w:r>
              <w:rPr>
                <w:rFonts w:hint="eastAsia" w:ascii="宋体" w:hAnsi="宋体" w:eastAsia="宋体" w:cs="宋体"/>
                <w:color w:val="auto"/>
                <w:sz w:val="24"/>
                <w:szCs w:val="24"/>
                <w:highlight w:val="none"/>
              </w:rPr>
              <w:t>:</w:t>
            </w:r>
          </w:p>
          <w:p w14:paraId="143D2E47">
            <w:pPr>
              <w:widowControl/>
              <w:autoSpaceDE w:val="0"/>
              <w:autoSpaceDN w:val="0"/>
              <w:snapToGrid w:val="0"/>
              <w:spacing w:line="360" w:lineRule="auto"/>
              <w:ind w:right="-154"/>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14:paraId="794D6946">
            <w:pPr>
              <w:widowControl/>
              <w:autoSpaceDE w:val="0"/>
              <w:autoSpaceDN w:val="0"/>
              <w:snapToGrid w:val="0"/>
              <w:spacing w:line="360" w:lineRule="auto"/>
              <w:ind w:right="-154"/>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代表人（签字）：</w:t>
            </w:r>
          </w:p>
          <w:p w14:paraId="7B8ED538">
            <w:pPr>
              <w:widowControl/>
              <w:autoSpaceDE w:val="0"/>
              <w:autoSpaceDN w:val="0"/>
              <w:snapToGrid w:val="0"/>
              <w:spacing w:line="360" w:lineRule="auto"/>
              <w:ind w:right="-154"/>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p w14:paraId="68D2C898">
            <w:pPr>
              <w:widowControl/>
              <w:autoSpaceDE w:val="0"/>
              <w:autoSpaceDN w:val="0"/>
              <w:snapToGrid w:val="0"/>
              <w:spacing w:line="360" w:lineRule="auto"/>
              <w:ind w:right="-154"/>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p w14:paraId="15A9C212">
            <w:pPr>
              <w:widowControl/>
              <w:autoSpaceDE w:val="0"/>
              <w:autoSpaceDN w:val="0"/>
              <w:snapToGrid w:val="0"/>
              <w:spacing w:line="360" w:lineRule="auto"/>
              <w:ind w:right="-154"/>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帐号：</w:t>
            </w:r>
          </w:p>
        </w:tc>
      </w:tr>
    </w:tbl>
    <w:p w14:paraId="12A36B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p>
    <w:p w14:paraId="478735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p>
    <w:p w14:paraId="6DCFA6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p>
    <w:p w14:paraId="469E64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p>
    <w:p w14:paraId="08B520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p>
    <w:p w14:paraId="77C610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p>
    <w:p w14:paraId="390863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p>
    <w:sectPr>
      <w:pgSz w:w="11906" w:h="16838"/>
      <w:pgMar w:top="1440"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ourceHanSerifCNVF-Medium">
    <w:altName w:val="FFont-Family"/>
    <w:panose1 w:val="00000000000000000000"/>
    <w:charset w:val="00"/>
    <w:family w:val="auto"/>
    <w:pitch w:val="default"/>
    <w:sig w:usb0="00000000" w:usb1="00000000" w:usb2="00000000" w:usb3="00000000" w:csb0="00000000" w:csb1="00000000"/>
  </w:font>
  <w:font w:name="FFont-Family">
    <w:panose1 w:val="02000509000000000000"/>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DF0078"/>
    <w:rsid w:val="1ADF0078"/>
    <w:rsid w:val="1FB30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9"/>
    <w:pPr>
      <w:ind w:left="1260" w:leftChars="600"/>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2854</Words>
  <Characters>2888</Characters>
  <Lines>0</Lines>
  <Paragraphs>0</Paragraphs>
  <TotalTime>5</TotalTime>
  <ScaleCrop>false</ScaleCrop>
  <LinksUpToDate>false</LinksUpToDate>
  <CharactersWithSpaces>2972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2026-06-18T06:09:00Z</dcterms:created>
  <dc:creator>¬_¬~EmiKo:D</dc:creator>
  <cp:lastModifiedBy>¬_¬~EmiKo:D</cp:lastModifiedBy>
  <dcterms:modified xsi:type="dcterms:W3CDTF">2026-06-18T07:56:18Z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1D9321D25E234B70AC08032447A7C9E4_11</vt:lpwstr>
  </property>
  <property fmtid="{D5CDD505-2E9C-101B-9397-08002B2CF9AE}" pid="4" name="KSOTemplateDocerSaveRecord">
    <vt:lpwstr>eyJoZGlkIjoiMmE3MGMzNTNmNTRhOWZkYzA5MzJiY2RhMDdlODIxYjIiLCJ1c2VySWQiOiIyMzMzMTIxNDkifQ==</vt:lpwstr>
  </property>
</Properties>
</file>