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版本号：STTY-FW-2026-01520260525001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“应急使命・2026”陕西省暨西安市防汛救灾救援综合演练项目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STTY-FW-2026-015</w:t>
      </w:r>
      <w:r>
        <w:br/>
      </w:r>
      <w:r>
        <w:br/>
      </w:r>
      <w:r>
        <w:br/>
      </w:r>
    </w:p>
    <w:p>
      <w:pPr>
        <w:pStyle w:val="null3"/>
        <w:jc w:val="center"/>
        <w:outlineLvl w:val="2"/>
      </w:pPr>
      <w:r>
        <w:rPr>
          <w:rFonts w:ascii="仿宋_GB2312" w:hAnsi="仿宋_GB2312" w:cs="仿宋_GB2312" w:eastAsia="仿宋_GB2312"/>
          <w:sz w:val="28"/>
          <w:b/>
        </w:rPr>
        <w:t>西安市应急管理局（本级）</w:t>
      </w:r>
    </w:p>
    <w:p>
      <w:pPr>
        <w:pStyle w:val="null3"/>
        <w:jc w:val="center"/>
        <w:outlineLvl w:val="2"/>
      </w:pPr>
      <w:r>
        <w:rPr>
          <w:rFonts w:ascii="仿宋_GB2312" w:hAnsi="仿宋_GB2312" w:cs="仿宋_GB2312" w:eastAsia="仿宋_GB2312"/>
          <w:sz w:val="28"/>
          <w:b/>
        </w:rPr>
        <w:t>陕西盛泰天域项目管理有限公司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陕西盛泰天域项目管理有限公司</w:t>
      </w:r>
      <w:r>
        <w:rPr>
          <w:rFonts w:ascii="仿宋_GB2312" w:hAnsi="仿宋_GB2312" w:cs="仿宋_GB2312" w:eastAsia="仿宋_GB2312"/>
        </w:rPr>
        <w:t>（以下简称“代理机构”）受</w:t>
      </w:r>
      <w:r>
        <w:rPr>
          <w:rFonts w:ascii="仿宋_GB2312" w:hAnsi="仿宋_GB2312" w:cs="仿宋_GB2312" w:eastAsia="仿宋_GB2312"/>
        </w:rPr>
        <w:t>西安市应急管理局（本级）</w:t>
      </w:r>
      <w:r>
        <w:rPr>
          <w:rFonts w:ascii="仿宋_GB2312" w:hAnsi="仿宋_GB2312" w:cs="仿宋_GB2312" w:eastAsia="仿宋_GB2312"/>
        </w:rPr>
        <w:t>委托，拟对</w:t>
      </w:r>
      <w:r>
        <w:rPr>
          <w:rFonts w:ascii="仿宋_GB2312" w:hAnsi="仿宋_GB2312" w:cs="仿宋_GB2312" w:eastAsia="仿宋_GB2312"/>
        </w:rPr>
        <w:t>“应急使命・2026”陕西省暨西安市防汛救灾救援综合演练项目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STTY-FW-2026-015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“应急使命・2026”陕西省暨西安市防汛救灾救援综合演练项目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省应急管理厅和我市2026年度演练工作计划安排，由陕西省应急管理厅、西安市人民政府主办，西安市应急管理局、西安市鄠邑区人民政府承办，西安市应急救援协会、西安市鄠邑区应急管理局、中国安能第三工程局西安基地协办。拟邀请国家消防救援局陕西机动队伍、省级专业救援队伍、省级社会救援队伍、陕西省专业应急救援总队、相关市级部门及市级应急救援队伍参与演练。演练采取实战演练的方式组织，参演人数约为1600人。 此次演练共设置6个阶段20个主科目58个子科目。为确保演练顺利举办，经前期调研协调,预案局对演练场地进行了实地查勘，拟在鄠邑区涝渭湿地公园组织开展，演练时间拟定6月下旬。鉴于此次演练活动专业性强、任务量大、涉及面广、参加人员多，计划采取政府购买服务的方式，委托专业机构与救援协调和预案管理局共组织实施此次演练，确保演练活动取得预期效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采购包1（“应急使命·2026”陕西省暨西安市防汛救灾救援综合演练项目）：属于专门面向中小企业采购。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 授权书：法定代表人授权委托书及被授权人身份证原件（法定代表人直接磋商提供其法定代表人身份证明及身份证原件）、委托代理人近三个月内至少一个月的社保缴纳证明。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西安市应急管理局（本级）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西安市凤城七路旭辉中心2号楼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张旭昌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029-86517083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陕西盛泰天域项目管理有限公司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陕西省西安市未央区陕西省西安市经济技术开发区明光路天朗经开中心21楼12104室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王雪阳、王佳、陈芳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029-81312183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代理服务费收费标准：采购代理服务费参考国家计委颁发的《招标代理服务收费管理暂行办法》（计价格[2002]1980 号）服务类标准，以最终中标价为计算基价计取。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西安市应急管理局（本级）</w:t>
      </w:r>
      <w:r>
        <w:rPr>
          <w:rFonts w:ascii="仿宋_GB2312" w:hAnsi="仿宋_GB2312" w:cs="仿宋_GB2312" w:eastAsia="仿宋_GB2312"/>
        </w:rPr>
        <w:t>和</w:t>
      </w:r>
      <w:r>
        <w:rPr>
          <w:rFonts w:ascii="仿宋_GB2312" w:hAnsi="仿宋_GB2312" w:cs="仿宋_GB2312" w:eastAsia="仿宋_GB2312"/>
        </w:rPr>
        <w:t>陕西盛泰天域项目管理有限公司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西安市应急管理局（本级）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陕西盛泰天域项目管理有限公司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西安市应急管理局（本级）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陕西盛泰天域项目管理有限公司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按照招投标文件及和合同约定内容的标准进行验收。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陕西盛泰天域项目管理有限公司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陕西盛泰天域项目管理有限公司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陕西盛泰天域项目管理有限公司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联系人：王雪阳、王佳、陈芳</w:t>
      </w:r>
    </w:p>
    <w:p>
      <w:pPr>
        <w:pStyle w:val="null3"/>
      </w:pPr>
      <w:r>
        <w:rPr>
          <w:rFonts w:ascii="仿宋_GB2312" w:hAnsi="仿宋_GB2312" w:cs="仿宋_GB2312" w:eastAsia="仿宋_GB2312"/>
        </w:rPr>
        <w:t>联系电话：029-81312183</w:t>
      </w:r>
    </w:p>
    <w:p>
      <w:pPr>
        <w:pStyle w:val="null3"/>
      </w:pPr>
      <w:r>
        <w:rPr>
          <w:rFonts w:ascii="仿宋_GB2312" w:hAnsi="仿宋_GB2312" w:cs="仿宋_GB2312" w:eastAsia="仿宋_GB2312"/>
        </w:rPr>
        <w:t>地址：陕西省西安市经济技术开发区明光路天朗经开中心21楼12104室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省应急管理厅和我市2026年度演练工作计划安排，由陕西省应急管理厅、西安市人民政府主办，西安市应急管理局、西安市鄠邑区人民政府承办，西安市应急救援协会、西安市鄠邑区应急管理局、中国安能第三工程局西安基地协办。拟邀请国家消防救援局陕西机动队伍、省级专业救援队伍、省级社会救援队伍、陕西省专业应急救援总队、相关市级部门及市级应急救援队伍参与演练。演练采取实战演练的方式组织，参演人数约为1600人。 此次演练共设置6个阶段20个主科目58个子科目。为确保演练顺利举办，经前期调研协调,预案局对演练场地进行了实地查勘，拟在鄠邑区涝渭湿地公园组织开展，演练时间拟定6月下旬。鉴于此次演练活动专业性强、任务量大、涉及面广、参加人员多，计划采取政府购买服务的方式，委托专业机构与救援协调和预案管理局共组织实施此次演练，确保演练活动取得预期效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应急使命2026陕西省暨西安市防汛救灾救援综合演练项目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标的名称：应急使命2026陕西省暨西安市防汛救灾救援综合演练项目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演练</w:t>
            </w:r>
            <w:r>
              <w:rPr>
                <w:rFonts w:ascii="仿宋_GB2312" w:hAnsi="仿宋_GB2312" w:cs="仿宋_GB2312" w:eastAsia="仿宋_GB2312"/>
                <w:sz w:val="21"/>
              </w:rPr>
              <w:t>前期场地设计、规划、搭建；规划图、观摩册等文字资料的编制与修改；演练前期以及预演合练和</w:t>
            </w:r>
            <w:r>
              <w:rPr>
                <w:rFonts w:ascii="仿宋_GB2312" w:hAnsi="仿宋_GB2312" w:cs="仿宋_GB2312" w:eastAsia="仿宋_GB2312"/>
                <w:sz w:val="21"/>
              </w:rPr>
              <w:t>正式</w:t>
            </w:r>
            <w:r>
              <w:rPr>
                <w:rFonts w:ascii="仿宋_GB2312" w:hAnsi="仿宋_GB2312" w:cs="仿宋_GB2312" w:eastAsia="仿宋_GB2312"/>
                <w:sz w:val="21"/>
              </w:rPr>
              <w:t>演练当天的工作控制保障</w:t>
            </w:r>
            <w:r>
              <w:rPr>
                <w:rFonts w:ascii="仿宋_GB2312" w:hAnsi="仿宋_GB2312" w:cs="仿宋_GB2312" w:eastAsia="仿宋_GB2312"/>
                <w:sz w:val="21"/>
              </w:rPr>
              <w:t>。</w:t>
            </w:r>
            <w:r>
              <w:rPr>
                <w:rFonts w:ascii="仿宋_GB2312" w:hAnsi="仿宋_GB2312" w:cs="仿宋_GB2312" w:eastAsia="仿宋_GB2312"/>
                <w:sz w:val="21"/>
              </w:rPr>
              <w:t>控制保障人员包含：场地、文案、后期、安保、物资、协调、导演、多媒体大屏、音响等人员</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培训服务，包括：</w:t>
            </w:r>
            <w:r>
              <w:rPr>
                <w:rFonts w:ascii="仿宋_GB2312" w:hAnsi="仿宋_GB2312" w:cs="仿宋_GB2312" w:eastAsia="仿宋_GB2312"/>
                <w:sz w:val="21"/>
              </w:rPr>
              <w:t>演练科目培训、参演人员培训、控制</w:t>
            </w:r>
            <w:r>
              <w:rPr>
                <w:rFonts w:ascii="仿宋_GB2312" w:hAnsi="仿宋_GB2312" w:cs="仿宋_GB2312" w:eastAsia="仿宋_GB2312"/>
                <w:sz w:val="21"/>
              </w:rPr>
              <w:t>保障人员培训</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演练</w:t>
            </w:r>
            <w:r>
              <w:rPr>
                <w:rFonts w:ascii="仿宋_GB2312" w:hAnsi="仿宋_GB2312" w:cs="仿宋_GB2312" w:eastAsia="仿宋_GB2312"/>
                <w:sz w:val="21"/>
              </w:rPr>
              <w:t>前期及演练现场视频</w:t>
            </w:r>
            <w:r>
              <w:rPr>
                <w:rFonts w:ascii="仿宋_GB2312" w:hAnsi="仿宋_GB2312" w:cs="仿宋_GB2312" w:eastAsia="仿宋_GB2312"/>
                <w:sz w:val="21"/>
              </w:rPr>
              <w:t>拍摄、制作，包括：</w:t>
            </w:r>
            <w:r>
              <w:rPr>
                <w:rFonts w:ascii="仿宋_GB2312" w:hAnsi="仿宋_GB2312" w:cs="仿宋_GB2312" w:eastAsia="仿宋_GB2312"/>
                <w:sz w:val="21"/>
              </w:rPr>
              <w:t>编制视频策划方案、配音通稿、</w:t>
            </w:r>
            <w:r>
              <w:rPr>
                <w:rFonts w:ascii="仿宋_GB2312" w:hAnsi="仿宋_GB2312" w:cs="仿宋_GB2312" w:eastAsia="仿宋_GB2312"/>
                <w:sz w:val="21"/>
              </w:rPr>
              <w:t>拍摄脚本</w:t>
            </w:r>
            <w:r>
              <w:rPr>
                <w:rFonts w:ascii="仿宋_GB2312" w:hAnsi="仿宋_GB2312" w:cs="仿宋_GB2312" w:eastAsia="仿宋_GB2312"/>
                <w:sz w:val="21"/>
              </w:rPr>
              <w:t>、</w:t>
            </w:r>
            <w:r>
              <w:rPr>
                <w:rFonts w:ascii="仿宋_GB2312" w:hAnsi="仿宋_GB2312" w:cs="仿宋_GB2312" w:eastAsia="仿宋_GB2312"/>
                <w:sz w:val="21"/>
              </w:rPr>
              <w:t>拍摄计划；</w:t>
            </w:r>
            <w:r>
              <w:rPr>
                <w:rFonts w:ascii="仿宋_GB2312" w:hAnsi="仿宋_GB2312" w:cs="仿宋_GB2312" w:eastAsia="仿宋_GB2312"/>
                <w:sz w:val="21"/>
              </w:rPr>
              <w:t>现场</w:t>
            </w:r>
            <w:r>
              <w:rPr>
                <w:rFonts w:ascii="仿宋_GB2312" w:hAnsi="仿宋_GB2312" w:cs="仿宋_GB2312" w:eastAsia="仿宋_GB2312"/>
                <w:sz w:val="21"/>
              </w:rPr>
              <w:t>不低于</w:t>
            </w:r>
            <w:r>
              <w:rPr>
                <w:rFonts w:ascii="仿宋_GB2312" w:hAnsi="仿宋_GB2312" w:cs="仿宋_GB2312" w:eastAsia="仿宋_GB2312"/>
                <w:sz w:val="21"/>
              </w:rPr>
              <w:t>10个</w:t>
            </w:r>
            <w:r>
              <w:rPr>
                <w:rFonts w:ascii="仿宋_GB2312" w:hAnsi="仿宋_GB2312" w:cs="仿宋_GB2312" w:eastAsia="仿宋_GB2312"/>
                <w:sz w:val="21"/>
              </w:rPr>
              <w:t>机位</w:t>
            </w:r>
            <w:r>
              <w:rPr>
                <w:rFonts w:ascii="仿宋_GB2312" w:hAnsi="仿宋_GB2312" w:cs="仿宋_GB2312" w:eastAsia="仿宋_GB2312"/>
                <w:sz w:val="21"/>
              </w:rPr>
              <w:t>拍摄影像与图片</w:t>
            </w:r>
            <w:r>
              <w:rPr>
                <w:rFonts w:ascii="仿宋_GB2312" w:hAnsi="仿宋_GB2312" w:cs="仿宋_GB2312" w:eastAsia="仿宋_GB2312"/>
                <w:sz w:val="21"/>
              </w:rPr>
              <w:t>；辅助拍摄灯光道具、挑杆、小蜜蜂收声内容；现场灯光以及现场声音收纳、设备管理；剪辑制作</w:t>
            </w:r>
            <w:r>
              <w:rPr>
                <w:rFonts w:ascii="仿宋_GB2312" w:hAnsi="仿宋_GB2312" w:cs="仿宋_GB2312" w:eastAsia="仿宋_GB2312"/>
                <w:sz w:val="21"/>
              </w:rPr>
              <w:t>2个演练专题视频（时长5-8分钟）、25个片段以内演练现场视</w:t>
            </w:r>
            <w:r>
              <w:rPr>
                <w:rFonts w:ascii="仿宋_GB2312" w:hAnsi="仿宋_GB2312" w:cs="仿宋_GB2312" w:eastAsia="仿宋_GB2312"/>
                <w:sz w:val="21"/>
              </w:rPr>
              <w:t>频（每个片段时长不超过1分钟）；完成视频后期调色控制色调质感；后期动画制作包装</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4"/>
              </w:rPr>
              <w:t>演练现场场地设置、静态装备展示区及主席台搭建，包括：</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舞台背景桁架6</w:t>
            </w:r>
            <w:r>
              <w:rPr>
                <w:rFonts w:ascii="仿宋_GB2312" w:hAnsi="仿宋_GB2312" w:cs="仿宋_GB2312" w:eastAsia="仿宋_GB2312"/>
                <w:sz w:val="24"/>
              </w:rPr>
              <w:t>m</w:t>
            </w:r>
            <w:r>
              <w:rPr>
                <w:rFonts w:ascii="仿宋_GB2312" w:hAnsi="仿宋_GB2312" w:cs="仿宋_GB2312" w:eastAsia="仿宋_GB2312"/>
                <w:sz w:val="24"/>
              </w:rPr>
              <w:t>*20</w:t>
            </w:r>
            <w:r>
              <w:rPr>
                <w:rFonts w:ascii="仿宋_GB2312" w:hAnsi="仿宋_GB2312" w:cs="仿宋_GB2312" w:eastAsia="仿宋_GB2312"/>
                <w:sz w:val="24"/>
              </w:rPr>
              <w:t>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黑白布背景板喷绘6</w:t>
            </w:r>
            <w:r>
              <w:rPr>
                <w:rFonts w:ascii="仿宋_GB2312" w:hAnsi="仿宋_GB2312" w:cs="仿宋_GB2312" w:eastAsia="仿宋_GB2312"/>
                <w:sz w:val="24"/>
              </w:rPr>
              <w:t>m</w:t>
            </w:r>
            <w:r>
              <w:rPr>
                <w:rFonts w:ascii="仿宋_GB2312" w:hAnsi="仿宋_GB2312" w:cs="仿宋_GB2312" w:eastAsia="仿宋_GB2312"/>
                <w:sz w:val="24"/>
              </w:rPr>
              <w:t>*20</w:t>
            </w:r>
            <w:r>
              <w:rPr>
                <w:rFonts w:ascii="仿宋_GB2312" w:hAnsi="仿宋_GB2312" w:cs="仿宋_GB2312" w:eastAsia="仿宋_GB2312"/>
                <w:sz w:val="24"/>
              </w:rPr>
              <w:t>m</w:t>
            </w:r>
            <w:r>
              <w:rPr>
                <w:rFonts w:ascii="仿宋_GB2312" w:hAnsi="仿宋_GB2312" w:cs="仿宋_GB2312" w:eastAsia="仿宋_GB2312"/>
                <w:sz w:val="24"/>
              </w:rPr>
              <w:t>；桁架背景配重支撑；</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签到墙桁架3</w:t>
            </w:r>
            <w:r>
              <w:rPr>
                <w:rFonts w:ascii="仿宋_GB2312" w:hAnsi="仿宋_GB2312" w:cs="仿宋_GB2312" w:eastAsia="仿宋_GB2312"/>
                <w:sz w:val="24"/>
              </w:rPr>
              <w:t>m</w:t>
            </w:r>
            <w:r>
              <w:rPr>
                <w:rFonts w:ascii="仿宋_GB2312" w:hAnsi="仿宋_GB2312" w:cs="仿宋_GB2312" w:eastAsia="仿宋_GB2312"/>
                <w:sz w:val="24"/>
              </w:rPr>
              <w:t>*5</w:t>
            </w:r>
            <w:r>
              <w:rPr>
                <w:rFonts w:ascii="仿宋_GB2312" w:hAnsi="仿宋_GB2312" w:cs="仿宋_GB2312" w:eastAsia="仿宋_GB2312"/>
                <w:sz w:val="24"/>
              </w:rPr>
              <w:t>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4）签到墙黑白布背景板喷绘3m*5m；</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场地舞台地毯</w:t>
            </w:r>
            <w:r>
              <w:rPr>
                <w:rFonts w:ascii="仿宋_GB2312" w:hAnsi="仿宋_GB2312" w:cs="仿宋_GB2312" w:eastAsia="仿宋_GB2312"/>
                <w:sz w:val="24"/>
              </w:rPr>
              <w:t>6m</w:t>
            </w:r>
            <w:r>
              <w:rPr>
                <w:rFonts w:ascii="仿宋_GB2312" w:hAnsi="仿宋_GB2312" w:cs="仿宋_GB2312" w:eastAsia="仿宋_GB2312"/>
                <w:sz w:val="24"/>
              </w:rPr>
              <w:t>*</w:t>
            </w:r>
            <w:r>
              <w:rPr>
                <w:rFonts w:ascii="仿宋_GB2312" w:hAnsi="仿宋_GB2312" w:cs="仿宋_GB2312" w:eastAsia="仿宋_GB2312"/>
                <w:sz w:val="24"/>
              </w:rPr>
              <w:t>50m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6）主舞台搭建50m*6m；</w:t>
            </w:r>
          </w:p>
          <w:p>
            <w:pPr>
              <w:pStyle w:val="null3"/>
              <w:jc w:val="both"/>
            </w:pPr>
            <w:r>
              <w:rPr>
                <w:rFonts w:ascii="仿宋_GB2312" w:hAnsi="仿宋_GB2312" w:cs="仿宋_GB2312" w:eastAsia="仿宋_GB2312"/>
                <w:sz w:val="24"/>
              </w:rPr>
              <w:t>7）台口标语50m*1.5m；</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水柱旗</w:t>
            </w:r>
            <w:r>
              <w:rPr>
                <w:rFonts w:ascii="仿宋_GB2312" w:hAnsi="仿宋_GB2312" w:cs="仿宋_GB2312" w:eastAsia="仿宋_GB2312"/>
                <w:sz w:val="24"/>
              </w:rPr>
              <w:t>的旗杆高</w:t>
            </w:r>
            <w:r>
              <w:rPr>
                <w:rFonts w:ascii="仿宋_GB2312" w:hAnsi="仿宋_GB2312" w:cs="仿宋_GB2312" w:eastAsia="仿宋_GB2312"/>
                <w:sz w:val="24"/>
              </w:rPr>
              <w:t>5</w:t>
            </w:r>
            <w:r>
              <w:rPr>
                <w:rFonts w:ascii="仿宋_GB2312" w:hAnsi="仿宋_GB2312" w:cs="仿宋_GB2312" w:eastAsia="仿宋_GB2312"/>
                <w:sz w:val="24"/>
              </w:rPr>
              <w:t>m（不少于50组）</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水柱旗</w:t>
            </w:r>
            <w:r>
              <w:rPr>
                <w:rFonts w:ascii="仿宋_GB2312" w:hAnsi="仿宋_GB2312" w:cs="仿宋_GB2312" w:eastAsia="仿宋_GB2312"/>
                <w:sz w:val="24"/>
              </w:rPr>
              <w:t>的</w:t>
            </w:r>
            <w:r>
              <w:rPr>
                <w:rFonts w:ascii="仿宋_GB2312" w:hAnsi="仿宋_GB2312" w:cs="仿宋_GB2312" w:eastAsia="仿宋_GB2312"/>
                <w:sz w:val="24"/>
              </w:rPr>
              <w:t>旗帜布</w:t>
            </w:r>
            <w:r>
              <w:rPr>
                <w:rFonts w:ascii="仿宋_GB2312" w:hAnsi="仿宋_GB2312" w:cs="仿宋_GB2312" w:eastAsia="仿宋_GB2312"/>
                <w:sz w:val="24"/>
              </w:rPr>
              <w:t>长约</w:t>
            </w:r>
            <w:r>
              <w:rPr>
                <w:rFonts w:ascii="仿宋_GB2312" w:hAnsi="仿宋_GB2312" w:cs="仿宋_GB2312" w:eastAsia="仿宋_GB2312"/>
                <w:sz w:val="24"/>
              </w:rPr>
              <w:t>2.5</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rPr>
              <w:t>不少于50组</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10）队伍展示架制作（尺寸根据最终队伍数量确定）；</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主席台桌子</w:t>
            </w:r>
            <w:r>
              <w:rPr>
                <w:rFonts w:ascii="仿宋_GB2312" w:hAnsi="仿宋_GB2312" w:cs="仿宋_GB2312" w:eastAsia="仿宋_GB2312"/>
                <w:sz w:val="24"/>
              </w:rPr>
              <w:t>及</w:t>
            </w:r>
            <w:r>
              <w:rPr>
                <w:rFonts w:ascii="仿宋_GB2312" w:hAnsi="仿宋_GB2312" w:cs="仿宋_GB2312" w:eastAsia="仿宋_GB2312"/>
                <w:sz w:val="24"/>
              </w:rPr>
              <w:t>桌套（满足</w:t>
            </w:r>
            <w:r>
              <w:rPr>
                <w:rFonts w:ascii="仿宋_GB2312" w:hAnsi="仿宋_GB2312" w:cs="仿宋_GB2312" w:eastAsia="仿宋_GB2312"/>
                <w:sz w:val="24"/>
              </w:rPr>
              <w:t>不低于</w:t>
            </w:r>
            <w:r>
              <w:rPr>
                <w:rFonts w:ascii="仿宋_GB2312" w:hAnsi="仿宋_GB2312" w:cs="仿宋_GB2312" w:eastAsia="仿宋_GB2312"/>
                <w:sz w:val="24"/>
              </w:rPr>
              <w:t>150人列席，具体排列</w:t>
            </w:r>
            <w:r>
              <w:rPr>
                <w:rFonts w:ascii="仿宋_GB2312" w:hAnsi="仿宋_GB2312" w:cs="仿宋_GB2312" w:eastAsia="仿宋_GB2312"/>
                <w:sz w:val="24"/>
              </w:rPr>
              <w:t>最终</w:t>
            </w:r>
            <w:r>
              <w:rPr>
                <w:rFonts w:ascii="仿宋_GB2312" w:hAnsi="仿宋_GB2312" w:cs="仿宋_GB2312" w:eastAsia="仿宋_GB2312"/>
                <w:sz w:val="24"/>
              </w:rPr>
              <w:t>根据现场布置确定）；</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主席台椅子</w:t>
            </w:r>
            <w:r>
              <w:rPr>
                <w:rFonts w:ascii="仿宋_GB2312" w:hAnsi="仿宋_GB2312" w:cs="仿宋_GB2312" w:eastAsia="仿宋_GB2312"/>
                <w:sz w:val="24"/>
              </w:rPr>
              <w:t>及</w:t>
            </w:r>
            <w:r>
              <w:rPr>
                <w:rFonts w:ascii="仿宋_GB2312" w:hAnsi="仿宋_GB2312" w:cs="仿宋_GB2312" w:eastAsia="仿宋_GB2312"/>
                <w:sz w:val="24"/>
              </w:rPr>
              <w:t>椅套</w:t>
            </w:r>
            <w:r>
              <w:rPr>
                <w:rFonts w:ascii="仿宋_GB2312" w:hAnsi="仿宋_GB2312" w:cs="仿宋_GB2312" w:eastAsia="仿宋_GB2312"/>
                <w:sz w:val="24"/>
              </w:rPr>
              <w:t>（</w:t>
            </w:r>
            <w:r>
              <w:rPr>
                <w:rFonts w:ascii="仿宋_GB2312" w:hAnsi="仿宋_GB2312" w:cs="仿宋_GB2312" w:eastAsia="仿宋_GB2312"/>
                <w:sz w:val="24"/>
              </w:rPr>
              <w:t>不低于150套</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现场指引路牌；控制台帐篷等。</w:t>
            </w:r>
          </w:p>
          <w:p>
            <w:pPr>
              <w:pStyle w:val="null3"/>
              <w:jc w:val="both"/>
            </w:pPr>
            <w:r>
              <w:rPr>
                <w:rFonts w:ascii="仿宋_GB2312" w:hAnsi="仿宋_GB2312" w:cs="仿宋_GB2312" w:eastAsia="仿宋_GB2312"/>
                <w:sz w:val="21"/>
              </w:rPr>
              <w:t>注：</w:t>
            </w:r>
            <w:r>
              <w:rPr>
                <w:rFonts w:ascii="仿宋_GB2312" w:hAnsi="仿宋_GB2312" w:cs="仿宋_GB2312" w:eastAsia="仿宋_GB2312"/>
                <w:sz w:val="21"/>
              </w:rPr>
              <w:t>以上尺寸最终根据演练场地实际大小进行</w:t>
            </w:r>
            <w:r>
              <w:rPr>
                <w:rFonts w:ascii="仿宋_GB2312" w:hAnsi="仿宋_GB2312" w:cs="仿宋_GB2312" w:eastAsia="仿宋_GB2312"/>
                <w:sz w:val="21"/>
              </w:rPr>
              <w:t>细微</w:t>
            </w:r>
            <w:r>
              <w:rPr>
                <w:rFonts w:ascii="仿宋_GB2312" w:hAnsi="仿宋_GB2312" w:cs="仿宋_GB2312" w:eastAsia="仿宋_GB2312"/>
                <w:sz w:val="21"/>
              </w:rPr>
              <w:t>调整，最终以采购人通知为准。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4"/>
              </w:rPr>
              <w:t>演练现场音响主席台大屏等设备，包括：线阵主扩全频音箱、线阵中置补声音箱、低频音箱、超低返听音箱、音响控台、静音发电车、对讲机、麦克风、无线备用麦克风。</w:t>
            </w:r>
            <w:r>
              <w:rPr>
                <w:rFonts w:ascii="仿宋_GB2312" w:hAnsi="仿宋_GB2312" w:cs="仿宋_GB2312" w:eastAsia="仿宋_GB2312"/>
                <w:sz w:val="24"/>
              </w:rPr>
              <w:t>户外高清防雨大屏7m*12m。</w:t>
            </w:r>
          </w:p>
          <w:p>
            <w:pPr>
              <w:pStyle w:val="null3"/>
              <w:jc w:val="both"/>
            </w:pPr>
            <w:r>
              <w:rPr>
                <w:rFonts w:ascii="仿宋_GB2312" w:hAnsi="仿宋_GB2312" w:cs="仿宋_GB2312" w:eastAsia="仿宋_GB2312"/>
                <w:sz w:val="21"/>
              </w:rPr>
              <w:t>注：</w:t>
            </w:r>
            <w:r>
              <w:rPr>
                <w:rFonts w:ascii="仿宋_GB2312" w:hAnsi="仿宋_GB2312" w:cs="仿宋_GB2312" w:eastAsia="仿宋_GB2312"/>
                <w:sz w:val="21"/>
              </w:rPr>
              <w:t>以上尺寸最终根据演练场地实际大小进行</w:t>
            </w:r>
            <w:r>
              <w:rPr>
                <w:rFonts w:ascii="仿宋_GB2312" w:hAnsi="仿宋_GB2312" w:cs="仿宋_GB2312" w:eastAsia="仿宋_GB2312"/>
                <w:sz w:val="21"/>
              </w:rPr>
              <w:t>细微</w:t>
            </w:r>
            <w:r>
              <w:rPr>
                <w:rFonts w:ascii="仿宋_GB2312" w:hAnsi="仿宋_GB2312" w:cs="仿宋_GB2312" w:eastAsia="仿宋_GB2312"/>
                <w:sz w:val="21"/>
              </w:rPr>
              <w:t>调整，最终以采购人通知为准。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rPr>
              <w:t>演练现场、主席观摩台现场拍摄摇臂、摄像、航拍等摄像相关等设备，包括：15</w:t>
            </w:r>
            <w:r>
              <w:rPr>
                <w:rFonts w:ascii="仿宋_GB2312" w:hAnsi="仿宋_GB2312" w:cs="仿宋_GB2312" w:eastAsia="仿宋_GB2312"/>
                <w:sz w:val="21"/>
              </w:rPr>
              <w:t>m</w:t>
            </w:r>
            <w:r>
              <w:rPr>
                <w:rFonts w:ascii="仿宋_GB2312" w:hAnsi="仿宋_GB2312" w:cs="仿宋_GB2312" w:eastAsia="仿宋_GB2312"/>
                <w:sz w:val="21"/>
              </w:rPr>
              <w:t>户外品牌可伸缩360度旋转摇臂带高清摄像机、</w:t>
            </w:r>
            <w:r>
              <w:rPr>
                <w:rFonts w:ascii="仿宋_GB2312" w:hAnsi="仿宋_GB2312" w:cs="仿宋_GB2312" w:eastAsia="仿宋_GB2312"/>
                <w:sz w:val="21"/>
              </w:rPr>
              <w:t>不低于</w:t>
            </w:r>
            <w:r>
              <w:rPr>
                <w:rFonts w:ascii="仿宋_GB2312" w:hAnsi="仿宋_GB2312" w:cs="仿宋_GB2312" w:eastAsia="仿宋_GB2312"/>
                <w:sz w:val="21"/>
              </w:rPr>
              <w:t>10台摄像机</w:t>
            </w:r>
            <w:r>
              <w:rPr>
                <w:rFonts w:ascii="仿宋_GB2312" w:hAnsi="仿宋_GB2312" w:cs="仿宋_GB2312" w:eastAsia="仿宋_GB2312"/>
                <w:sz w:val="21"/>
              </w:rPr>
              <w:t>同时每台配备相应的</w:t>
            </w:r>
            <w:r>
              <w:rPr>
                <w:rFonts w:ascii="仿宋_GB2312" w:hAnsi="仿宋_GB2312" w:cs="仿宋_GB2312" w:eastAsia="仿宋_GB2312"/>
                <w:sz w:val="21"/>
              </w:rPr>
              <w:t>专业摄像</w:t>
            </w:r>
            <w:r>
              <w:rPr>
                <w:rFonts w:ascii="仿宋_GB2312" w:hAnsi="仿宋_GB2312" w:cs="仿宋_GB2312" w:eastAsia="仿宋_GB2312"/>
                <w:sz w:val="21"/>
              </w:rPr>
              <w:t>人员</w:t>
            </w:r>
            <w:r>
              <w:rPr>
                <w:rFonts w:ascii="仿宋_GB2312" w:hAnsi="仿宋_GB2312" w:cs="仿宋_GB2312" w:eastAsia="仿宋_GB2312"/>
                <w:sz w:val="21"/>
              </w:rPr>
              <w:t>、</w:t>
            </w:r>
            <w:r>
              <w:rPr>
                <w:rFonts w:ascii="仿宋_GB2312" w:hAnsi="仿宋_GB2312" w:cs="仿宋_GB2312" w:eastAsia="仿宋_GB2312"/>
                <w:sz w:val="21"/>
              </w:rPr>
              <w:t>适配镜头人像镜头/长焦镜头、超清视频切换控制台、大屏视频播放系统电脑与平台</w:t>
            </w:r>
            <w:r>
              <w:rPr>
                <w:rFonts w:ascii="仿宋_GB2312" w:hAnsi="仿宋_GB2312" w:cs="仿宋_GB2312" w:eastAsia="仿宋_GB2312"/>
                <w:sz w:val="21"/>
              </w:rPr>
              <w:t>，</w:t>
            </w:r>
            <w:r>
              <w:rPr>
                <w:rFonts w:ascii="仿宋_GB2312" w:hAnsi="仿宋_GB2312" w:cs="仿宋_GB2312" w:eastAsia="仿宋_GB2312"/>
                <w:sz w:val="21"/>
              </w:rPr>
              <w:t>航拍器、音频切换台、广电级5G背包、超清无限图传设备</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both"/>
            </w:pPr>
            <w:r>
              <w:rPr>
                <w:rFonts w:ascii="仿宋_GB2312" w:hAnsi="仿宋_GB2312" w:cs="仿宋_GB2312" w:eastAsia="仿宋_GB2312"/>
                <w:sz w:val="24"/>
              </w:rPr>
              <w:t>演练期间各种文本编制、设计、排版、印刷、制作，包括：</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主席台资料印制（</w:t>
            </w:r>
            <w:r>
              <w:rPr>
                <w:rFonts w:ascii="仿宋_GB2312" w:hAnsi="仿宋_GB2312" w:cs="仿宋_GB2312" w:eastAsia="仿宋_GB2312"/>
                <w:sz w:val="24"/>
              </w:rPr>
              <w:t>包括</w:t>
            </w:r>
            <w:r>
              <w:rPr>
                <w:rFonts w:ascii="仿宋_GB2312" w:hAnsi="仿宋_GB2312" w:cs="仿宋_GB2312" w:eastAsia="仿宋_GB2312"/>
                <w:sz w:val="24"/>
              </w:rPr>
              <w:t>演练计划</w:t>
            </w:r>
            <w:r>
              <w:rPr>
                <w:rFonts w:ascii="仿宋_GB2312" w:hAnsi="仿宋_GB2312" w:cs="仿宋_GB2312" w:eastAsia="仿宋_GB2312"/>
                <w:sz w:val="24"/>
              </w:rPr>
              <w:t>及</w:t>
            </w:r>
            <w:r>
              <w:rPr>
                <w:rFonts w:ascii="仿宋_GB2312" w:hAnsi="仿宋_GB2312" w:cs="仿宋_GB2312" w:eastAsia="仿宋_GB2312"/>
                <w:sz w:val="24"/>
              </w:rPr>
              <w:t>方案），</w:t>
            </w:r>
            <w:r>
              <w:rPr>
                <w:rFonts w:ascii="仿宋_GB2312" w:hAnsi="仿宋_GB2312" w:cs="仿宋_GB2312" w:eastAsia="仿宋_GB2312"/>
                <w:sz w:val="24"/>
              </w:rPr>
              <w:t>数量</w:t>
            </w:r>
            <w:r>
              <w:rPr>
                <w:rFonts w:ascii="仿宋_GB2312" w:hAnsi="仿宋_GB2312" w:cs="仿宋_GB2312" w:eastAsia="仿宋_GB2312"/>
                <w:sz w:val="24"/>
              </w:rPr>
              <w:t>共20本</w:t>
            </w:r>
            <w:r>
              <w:rPr>
                <w:rFonts w:ascii="仿宋_GB2312" w:hAnsi="仿宋_GB2312" w:cs="仿宋_GB2312" w:eastAsia="仿宋_GB2312"/>
                <w:sz w:val="24"/>
              </w:rPr>
              <w:t>，</w:t>
            </w:r>
            <w:r>
              <w:rPr>
                <w:rFonts w:ascii="仿宋_GB2312" w:hAnsi="仿宋_GB2312" w:cs="仿宋_GB2312" w:eastAsia="仿宋_GB2312"/>
                <w:sz w:val="24"/>
              </w:rPr>
              <w:t>要求：</w:t>
            </w:r>
            <w:r>
              <w:rPr>
                <w:rFonts w:ascii="仿宋_GB2312" w:hAnsi="仿宋_GB2312" w:cs="仿宋_GB2312" w:eastAsia="仿宋_GB2312"/>
                <w:sz w:val="24"/>
              </w:rPr>
              <w:t>骑马钉</w:t>
            </w:r>
            <w:r>
              <w:rPr>
                <w:rFonts w:ascii="仿宋_GB2312" w:hAnsi="仿宋_GB2312" w:cs="仿宋_GB2312" w:eastAsia="仿宋_GB2312"/>
                <w:sz w:val="24"/>
              </w:rPr>
              <w:t>、</w:t>
            </w:r>
            <w:r>
              <w:rPr>
                <w:rFonts w:ascii="仿宋_GB2312" w:hAnsi="仿宋_GB2312" w:cs="仿宋_GB2312" w:eastAsia="仿宋_GB2312"/>
                <w:sz w:val="24"/>
              </w:rPr>
              <w:t>彩印</w:t>
            </w:r>
            <w:r>
              <w:rPr>
                <w:rFonts w:ascii="仿宋_GB2312" w:hAnsi="仿宋_GB2312" w:cs="仿宋_GB2312" w:eastAsia="仿宋_GB2312"/>
                <w:sz w:val="24"/>
              </w:rPr>
              <w:t>、</w:t>
            </w:r>
            <w:r>
              <w:rPr>
                <w:rFonts w:ascii="仿宋_GB2312" w:hAnsi="仿宋_GB2312" w:cs="仿宋_GB2312" w:eastAsia="仿宋_GB2312"/>
                <w:sz w:val="24"/>
              </w:rPr>
              <w:t>封面设计</w:t>
            </w:r>
            <w:r>
              <w:rPr>
                <w:rFonts w:ascii="仿宋_GB2312" w:hAnsi="仿宋_GB2312" w:cs="仿宋_GB2312" w:eastAsia="仿宋_GB2312"/>
                <w:sz w:val="24"/>
              </w:rPr>
              <w:t>、</w:t>
            </w:r>
            <w:r>
              <w:rPr>
                <w:rFonts w:ascii="仿宋_GB2312" w:hAnsi="仿宋_GB2312" w:cs="仿宋_GB2312" w:eastAsia="仿宋_GB2312"/>
                <w:sz w:val="24"/>
              </w:rPr>
              <w:t>200g铜版纸</w:t>
            </w:r>
            <w:r>
              <w:rPr>
                <w:rFonts w:ascii="仿宋_GB2312" w:hAnsi="仿宋_GB2312" w:cs="仿宋_GB2312" w:eastAsia="仿宋_GB2312"/>
                <w:sz w:val="24"/>
              </w:rPr>
              <w:t>、</w:t>
            </w:r>
            <w:r>
              <w:rPr>
                <w:rFonts w:ascii="仿宋_GB2312" w:hAnsi="仿宋_GB2312" w:cs="仿宋_GB2312" w:eastAsia="仿宋_GB2312"/>
                <w:sz w:val="24"/>
              </w:rPr>
              <w:t>覆亚膜</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观摩</w:t>
            </w:r>
            <w:r>
              <w:rPr>
                <w:rFonts w:ascii="仿宋_GB2312" w:hAnsi="仿宋_GB2312" w:cs="仿宋_GB2312" w:eastAsia="仿宋_GB2312"/>
                <w:sz w:val="24"/>
              </w:rPr>
              <w:t>人员</w:t>
            </w:r>
            <w:r>
              <w:rPr>
                <w:rFonts w:ascii="仿宋_GB2312" w:hAnsi="仿宋_GB2312" w:cs="仿宋_GB2312" w:eastAsia="仿宋_GB2312"/>
                <w:sz w:val="24"/>
              </w:rPr>
              <w:t>手册，</w:t>
            </w:r>
            <w:r>
              <w:rPr>
                <w:rFonts w:ascii="仿宋_GB2312" w:hAnsi="仿宋_GB2312" w:cs="仿宋_GB2312" w:eastAsia="仿宋_GB2312"/>
                <w:sz w:val="24"/>
              </w:rPr>
              <w:t>数量</w:t>
            </w:r>
            <w:r>
              <w:rPr>
                <w:rFonts w:ascii="仿宋_GB2312" w:hAnsi="仿宋_GB2312" w:cs="仿宋_GB2312" w:eastAsia="仿宋_GB2312"/>
                <w:sz w:val="24"/>
              </w:rPr>
              <w:t>共100本</w:t>
            </w:r>
            <w:r>
              <w:rPr>
                <w:rFonts w:ascii="仿宋_GB2312" w:hAnsi="仿宋_GB2312" w:cs="仿宋_GB2312" w:eastAsia="仿宋_GB2312"/>
                <w:sz w:val="24"/>
              </w:rPr>
              <w:t>，</w:t>
            </w:r>
            <w:r>
              <w:rPr>
                <w:rFonts w:ascii="仿宋_GB2312" w:hAnsi="仿宋_GB2312" w:cs="仿宋_GB2312" w:eastAsia="仿宋_GB2312"/>
                <w:sz w:val="24"/>
              </w:rPr>
              <w:t>要求：</w:t>
            </w:r>
            <w:r>
              <w:rPr>
                <w:rFonts w:ascii="仿宋_GB2312" w:hAnsi="仿宋_GB2312" w:cs="仿宋_GB2312" w:eastAsia="仿宋_GB2312"/>
                <w:sz w:val="24"/>
              </w:rPr>
              <w:t>骑马钉、彩印、封面设计、150g铜板纸、覆亚膜、内黑；</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工作证</w:t>
            </w:r>
            <w:r>
              <w:rPr>
                <w:rFonts w:ascii="仿宋_GB2312" w:hAnsi="仿宋_GB2312" w:cs="仿宋_GB2312" w:eastAsia="仿宋_GB2312"/>
                <w:sz w:val="24"/>
              </w:rPr>
              <w:t>（</w:t>
            </w:r>
            <w:r>
              <w:rPr>
                <w:rFonts w:ascii="仿宋_GB2312" w:hAnsi="仿宋_GB2312" w:cs="仿宋_GB2312" w:eastAsia="仿宋_GB2312"/>
                <w:sz w:val="24"/>
              </w:rPr>
              <w:t>数量视参演人数情况而定，要求：</w:t>
            </w:r>
            <w:r>
              <w:rPr>
                <w:rFonts w:ascii="仿宋_GB2312" w:hAnsi="仿宋_GB2312" w:cs="仿宋_GB2312" w:eastAsia="仿宋_GB2312"/>
                <w:sz w:val="24"/>
              </w:rPr>
              <w:t>PVC材质，</w:t>
            </w:r>
            <w:r>
              <w:rPr>
                <w:rFonts w:ascii="仿宋_GB2312" w:hAnsi="仿宋_GB2312" w:cs="仿宋_GB2312" w:eastAsia="仿宋_GB2312"/>
                <w:sz w:val="24"/>
              </w:rPr>
              <w:t>尺寸</w:t>
            </w:r>
            <w:r>
              <w:rPr>
                <w:rFonts w:ascii="仿宋_GB2312" w:hAnsi="仿宋_GB2312" w:cs="仿宋_GB2312" w:eastAsia="仿宋_GB2312"/>
                <w:sz w:val="24"/>
              </w:rPr>
              <w:t>8*12cm）；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嘉宾证</w:t>
            </w:r>
            <w:r>
              <w:rPr>
                <w:rFonts w:ascii="仿宋_GB2312" w:hAnsi="仿宋_GB2312" w:cs="仿宋_GB2312" w:eastAsia="仿宋_GB2312"/>
                <w:sz w:val="24"/>
              </w:rPr>
              <w:t>（</w:t>
            </w:r>
            <w:r>
              <w:rPr>
                <w:rFonts w:ascii="仿宋_GB2312" w:hAnsi="仿宋_GB2312" w:cs="仿宋_GB2312" w:eastAsia="仿宋_GB2312"/>
                <w:sz w:val="24"/>
              </w:rPr>
              <w:t>数量视参演人数情况而定，要求：</w:t>
            </w:r>
            <w:r>
              <w:rPr>
                <w:rFonts w:ascii="仿宋_GB2312" w:hAnsi="仿宋_GB2312" w:cs="仿宋_GB2312" w:eastAsia="仿宋_GB2312"/>
                <w:sz w:val="24"/>
              </w:rPr>
              <w:t>PVC材质，</w:t>
            </w:r>
            <w:r>
              <w:rPr>
                <w:rFonts w:ascii="仿宋_GB2312" w:hAnsi="仿宋_GB2312" w:cs="仿宋_GB2312" w:eastAsia="仿宋_GB2312"/>
                <w:sz w:val="24"/>
              </w:rPr>
              <w:t>尺寸</w:t>
            </w:r>
            <w:r>
              <w:rPr>
                <w:rFonts w:ascii="仿宋_GB2312" w:hAnsi="仿宋_GB2312" w:cs="仿宋_GB2312" w:eastAsia="仿宋_GB2312"/>
                <w:sz w:val="24"/>
              </w:rPr>
              <w:t>8*12cm）；</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汇编册</w:t>
            </w:r>
            <w:r>
              <w:rPr>
                <w:rFonts w:ascii="仿宋_GB2312" w:hAnsi="仿宋_GB2312" w:cs="仿宋_GB2312" w:eastAsia="仿宋_GB2312"/>
                <w:sz w:val="21"/>
              </w:rPr>
              <w:t>（</w:t>
            </w:r>
            <w:r>
              <w:rPr>
                <w:rFonts w:ascii="仿宋_GB2312" w:hAnsi="仿宋_GB2312" w:cs="仿宋_GB2312" w:eastAsia="仿宋_GB2312"/>
                <w:sz w:val="21"/>
              </w:rPr>
              <w:t>数量不低于4本，要求：</w:t>
            </w:r>
            <w:r>
              <w:rPr>
                <w:rFonts w:ascii="仿宋_GB2312" w:hAnsi="仿宋_GB2312" w:cs="仿宋_GB2312" w:eastAsia="仿宋_GB2312"/>
                <w:sz w:val="21"/>
              </w:rPr>
              <w:t>封面设计，压纹纸，胶装、</w:t>
            </w:r>
            <w:r>
              <w:rPr>
                <w:rFonts w:ascii="仿宋_GB2312" w:hAnsi="仿宋_GB2312" w:cs="仿宋_GB2312" w:eastAsia="仿宋_GB2312"/>
                <w:sz w:val="21"/>
              </w:rPr>
              <w:t>A4、内黑</w:t>
            </w:r>
            <w:r>
              <w:rPr>
                <w:rFonts w:ascii="仿宋_GB2312" w:hAnsi="仿宋_GB2312" w:cs="仿宋_GB2312" w:eastAsia="仿宋_GB2312"/>
                <w:sz w:val="21"/>
              </w:rPr>
              <w:t>）</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1"/>
              </w:rPr>
              <w:t>大</w:t>
            </w:r>
            <w:r>
              <w:rPr>
                <w:rFonts w:ascii="仿宋_GB2312" w:hAnsi="仿宋_GB2312" w:cs="仿宋_GB2312" w:eastAsia="仿宋_GB2312"/>
                <w:sz w:val="21"/>
              </w:rPr>
              <w:t>型载人直升机（</w:t>
            </w:r>
            <w:r>
              <w:rPr>
                <w:rFonts w:ascii="仿宋_GB2312" w:hAnsi="仿宋_GB2312" w:cs="仿宋_GB2312" w:eastAsia="仿宋_GB2312"/>
                <w:sz w:val="21"/>
              </w:rPr>
              <w:t>不低于1台</w:t>
            </w:r>
            <w:r>
              <w:rPr>
                <w:rFonts w:ascii="仿宋_GB2312" w:hAnsi="仿宋_GB2312" w:cs="仿宋_GB2312" w:eastAsia="仿宋_GB2312"/>
                <w:sz w:val="21"/>
              </w:rPr>
              <w:t>）、无人机（</w:t>
            </w:r>
            <w:r>
              <w:rPr>
                <w:rFonts w:ascii="仿宋_GB2312" w:hAnsi="仿宋_GB2312" w:cs="仿宋_GB2312" w:eastAsia="仿宋_GB2312"/>
                <w:sz w:val="21"/>
              </w:rPr>
              <w:t>不低于1台</w:t>
            </w:r>
            <w:r>
              <w:rPr>
                <w:rFonts w:ascii="仿宋_GB2312" w:hAnsi="仿宋_GB2312" w:cs="仿宋_GB2312" w:eastAsia="仿宋_GB2312"/>
                <w:sz w:val="21"/>
              </w:rPr>
              <w:t>）等航空器。主要包括直升机参演水域救援、吊桶作业，无人机现场信息采集与现场测绘。</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1"/>
              </w:rPr>
              <w:t>分练、合练、彩排、预演、正式演出期间，所有参演单位、工作人员的</w:t>
            </w:r>
            <w:r>
              <w:rPr>
                <w:rFonts w:ascii="仿宋_GB2312" w:hAnsi="仿宋_GB2312" w:cs="仿宋_GB2312" w:eastAsia="仿宋_GB2312"/>
                <w:sz w:val="21"/>
              </w:rPr>
              <w:t>饮水、餐食、意外保险费等后勤保障</w:t>
            </w:r>
            <w:r>
              <w:rPr>
                <w:rFonts w:ascii="仿宋_GB2312" w:hAnsi="仿宋_GB2312" w:cs="仿宋_GB2312" w:eastAsia="仿宋_GB2312"/>
                <w:sz w:val="21"/>
              </w:rPr>
              <w:t>（</w:t>
            </w:r>
            <w:r>
              <w:rPr>
                <w:rFonts w:ascii="仿宋_GB2312" w:hAnsi="仿宋_GB2312" w:cs="仿宋_GB2312" w:eastAsia="仿宋_GB2312"/>
                <w:sz w:val="21"/>
              </w:rPr>
              <w:t>供保障人数不低于</w:t>
            </w:r>
            <w:r>
              <w:rPr>
                <w:rFonts w:ascii="仿宋_GB2312" w:hAnsi="仿宋_GB2312" w:cs="仿宋_GB2312" w:eastAsia="仿宋_GB2312"/>
                <w:sz w:val="21"/>
              </w:rPr>
              <w:t>1600人</w:t>
            </w:r>
            <w:r>
              <w:rPr>
                <w:rFonts w:ascii="仿宋_GB2312" w:hAnsi="仿宋_GB2312" w:cs="仿宋_GB2312" w:eastAsia="仿宋_GB2312"/>
                <w:sz w:val="21"/>
              </w:rPr>
              <w:t>）</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按本项目服务要求，实行标准规范化组织与管理，投入经过严格培训，能够胜任项目工作任务的相关人员，保证项目顺利实施。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根据项目特性，服务商认为有必要投入有利于完成本项目服务的各类设施设备（包含但不限于专业设备、辅助设备、工具、软件等）。</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采购人按国家有关规定以及磋商文件的要求、供应商的响应文件及承诺与本项目合同约定标准进行验收。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合同执行中发生争议的，当事人双方应协商解决，协商达不成一致时，可向采购人所在地人民法院提请诉讼。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成交供应商领取成交通知书时，提交纸质磋商响应文件叁份、电子版壹份（U盘壹份注明单位名称），内容和通过电子化交易平台提交的磋商响应文件一致。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（1）独立承担民事责任的法人或其他组织有效的营业执照(或统一社会信用代码的营业执照)等相应证明文件，自然人应具有身份证明文件; （2）提供近一年内至少一个月的依法缴纳税款的相关凭据(时间以税款所属日期为准、任意税种)，凭据应有税务机关或代收机关的公章或业务专用章。依法免税或无须缴纳税款的供应商，应提供相关证明文件; （3）提供近一年内至少一个月的社会保障资金缴存单据或社保机构开具的社会保险参保缴费情况证明,依法不需要缴纳社会保障资金的单位应提供相关证明材料; （4）书面声明：参加本次政府采 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投标人参与。 （5）承诺函：提供具有履行合同所必需的设备和专业技术能力的承诺函。 注：供应商需在项目电子化交易系统中上传（1）-（5）项相关证明文件并进行电子签章。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会计师事务所出具的有效的2025年度审计报告，审计报告必须在财政部统一监管平台备案并具有验证码（成立时间至提交投标文件截止时间不足一年的可提供成立后任意时段的资产负债表），或提交自公告发布之日起至磋商截止日期前银行出具的资信证明，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 授权书</w:t>
            </w:r>
          </w:p>
        </w:tc>
        <w:tc>
          <w:tcPr>
            <w:tcW w:type="dxa" w:w="3322"/>
          </w:tcPr>
          <w:p>
            <w:pPr>
              <w:pStyle w:val="null3"/>
            </w:pPr>
            <w:r>
              <w:rPr>
                <w:rFonts w:ascii="仿宋_GB2312" w:hAnsi="仿宋_GB2312" w:cs="仿宋_GB2312" w:eastAsia="仿宋_GB2312"/>
              </w:rPr>
              <w:t>法定代表人授权委托书及被授权人身份证原件（法定代表人直接磋商提供其法定代表人身份证明及身份证原件）、委托代理人近三个月内至少一个月的社保缴纳证明。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响应文件完整性及有效性</w:t>
            </w:r>
          </w:p>
        </w:tc>
        <w:tc>
          <w:tcPr>
            <w:tcW w:type="dxa" w:w="3322"/>
          </w:tcPr>
          <w:p>
            <w:pPr>
              <w:pStyle w:val="null3"/>
            </w:pPr>
            <w:r>
              <w:rPr>
                <w:rFonts w:ascii="仿宋_GB2312" w:hAnsi="仿宋_GB2312" w:cs="仿宋_GB2312" w:eastAsia="仿宋_GB2312"/>
              </w:rPr>
              <w:t>符合竞争性磋商文件要求，未出现采购文件规定的无效响应情形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按要求在相应位置签字盖章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投标报价超过最高限价，按无效标处理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服务内容及服务要求</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提供2022年以来至今的类似项目业绩，每提供1份得3分，本项最高得6分；注：1.以合同复印件加盖公章为准；2.时间以合同签订时间为准；3.未提供或提供不完整或不清晰的均不得分。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需求理解及 定位</w:t>
            </w:r>
          </w:p>
        </w:tc>
        <w:tc>
          <w:tcPr>
            <w:tcW w:type="dxa" w:w="2492"/>
          </w:tcPr>
          <w:p>
            <w:pPr>
              <w:pStyle w:val="null3"/>
            </w:pPr>
            <w:r>
              <w:rPr>
                <w:rFonts w:ascii="仿宋_GB2312" w:hAnsi="仿宋_GB2312" w:cs="仿宋_GB2312" w:eastAsia="仿宋_GB2312"/>
              </w:rPr>
              <w:t>（1）全面精准理解项目概况、潜在风险源、应用场景及管控边界；应急处置目标、启动条件、组织职责、适用范围定位清晰，完全贴合项目实际，逻辑性强，可直接指导落地实施得12分； （2）较好把握项目核心需求与主要风险点，关键要素完整；局部细节、边界界定、场景适配略有不足，整体框架合理，微调完善后即可使用得9分； （3)仅粗浅理解基础需求，风险识别不全面；应急目标、触发条件、适用场景表述模糊，核心内容有缺失，需大幅度补充修订得6分； （4）对项目需求理解偏差、定位偏离；脱离工程实际，风险分析、适用范围、处置逻辑均不成立，无实际参考价值得3分。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演练 准备 阶段 服务 方案</w:t>
            </w:r>
          </w:p>
        </w:tc>
        <w:tc>
          <w:tcPr>
            <w:tcW w:type="dxa" w:w="2492"/>
          </w:tcPr>
          <w:p>
            <w:pPr>
              <w:pStyle w:val="null3"/>
            </w:pPr>
            <w:r>
              <w:rPr>
                <w:rFonts w:ascii="仿宋_GB2312" w:hAnsi="仿宋_GB2312" w:cs="仿宋_GB2312" w:eastAsia="仿宋_GB2312"/>
              </w:rPr>
              <w:t>（1）应急演练准备阶段服务方案体系完整、专业度高、贴合项目实际，人员、物资、方案、统筹保障全方位到位，服务措施细化、落地性强，无漏洞、无短板，可高标准完成演练筹备全部服务工作得10分； （2）演练准备阶段服务方案整体合规、框架完整、核心服务全覆盖，能够满足项目演练筹备基本服务需求，仅存在少量非关键性细节不足，无核心缺项、无专业漏洞，不影响整体服务落地实施得7.5分； （3）演练准备阶段服务方案具备基础框架，核心服务内容基本覆盖，可勉强承接基础筹备服务工作，但方案针对性、专业性不足，细节缺失较多，服务保障措施不完善，需中标后大幅优化整改方可满足项目需求得5分； （4）演练准备阶段服务方案严重缺项、专业性缺失、服务保障能力不足，无法满足项目应急演练筹备基本服务要求，存在重大服务漏洞，不具备承接本项目服务的能力得2.5分。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演练的质量保障方案</w:t>
            </w:r>
          </w:p>
        </w:tc>
        <w:tc>
          <w:tcPr>
            <w:tcW w:type="dxa" w:w="2492"/>
          </w:tcPr>
          <w:p>
            <w:pPr>
              <w:pStyle w:val="null3"/>
            </w:pPr>
            <w:r>
              <w:rPr>
                <w:rFonts w:ascii="仿宋_GB2312" w:hAnsi="仿宋_GB2312" w:cs="仿宋_GB2312" w:eastAsia="仿宋_GB2312"/>
              </w:rPr>
              <w:t>（1）质量保障体系健全、架构完整、逻辑严谨，形成事前预防、事中管控、事后核验、问题溯源、持续改进的全链条质量闭环机制。质量保障方案完全贴合本项目演练场景，针对性强、措施细化、责任到人、流程可控，可全方位保障演练组织、实施、成果交付高质量达标得12分； （2)质量保障方案框架完整、核心质控体系齐全，覆盖事前、事中、事后关键环节，能够满足项目演练质量达标要求。整体管控措施规范、无重大质量漏洞、无核心环节缺失，仅存在少量细节细化不足、针对性不强等轻微问题，不影响整体演练质量与成果交付得9分； (3)仅具备基础质量保障框架，质量管控内容笼统、通用性强、项目针对性弱，管控措施不完善、细节缺失较多，质量闭环不完整。基本可满足最低质量要求，但整体管控力度不足、漏洞较多，需中标后全面优化、细化整改，方可保障演练质量达标得6分； (4)质量保障方案严重缺项、管控体系缺失、无实质性质量保障措施，不具备演练质量管控能力，无法保障本次演练组织实施及成果交付质量得3分。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演练的安全保障方案</w:t>
            </w:r>
          </w:p>
        </w:tc>
        <w:tc>
          <w:tcPr>
            <w:tcW w:type="dxa" w:w="2492"/>
          </w:tcPr>
          <w:p>
            <w:pPr>
              <w:pStyle w:val="null3"/>
            </w:pPr>
            <w:r>
              <w:rPr>
                <w:rFonts w:ascii="仿宋_GB2312" w:hAnsi="仿宋_GB2312" w:cs="仿宋_GB2312" w:eastAsia="仿宋_GB2312"/>
              </w:rPr>
              <w:t>(1)安全保障体系完整、专业、针对性强，构建事前风险研判、事前安全交底、事中全程监护、事后安全复盘的全链条安全管控机制。安全方案完全贴合本项目演练场景，风险识别全面、防控措施细化、岗位职责明确、应急避险机制完善，可全方位、零风险保障演练全过程安全平稳开展得12分； (2)安全保障方案框架完整、核心安全管控体系齐全，全面覆盖事前预防、事中监护、应急处置等关键环节，能够有效防范演练各类安全风险，保障演练整体安全稳定。无重大安全漏洞、无核心环节缺失，仅存在少量细节细化不足、针对性偏弱等轻微问题，不影响整体安全保障效果得9分； (3)仅具备基础安全保障框架，安全管控内容通用性强、项目针对性弱，防控措施简单粗放、细节缺失较多，安全闭环不完整。仅能满足最低安全保障底线，风险防控能力不足，现场安全管控存在明显短板，需中标后全面细化、整改完善，方可保障演练安全开展得6分； (4)安全保障方案严重缺项、安全管控体系缺失、无实质性安全防控与保障措施，不具备演练现场安全管理和风险处置能力，无法保障演练人员、场地、设备安全得3分。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 措施</w:t>
            </w:r>
          </w:p>
        </w:tc>
        <w:tc>
          <w:tcPr>
            <w:tcW w:type="dxa" w:w="2492"/>
          </w:tcPr>
          <w:p>
            <w:pPr>
              <w:pStyle w:val="null3"/>
            </w:pPr>
            <w:r>
              <w:rPr>
                <w:rFonts w:ascii="仿宋_GB2312" w:hAnsi="仿宋_GB2312" w:cs="仿宋_GB2312" w:eastAsia="仿宋_GB2312"/>
              </w:rPr>
              <w:t>(1)建立适配本项目演练的专项应急预案体系，预案针对性极强、场景全覆盖，形成“事前预判预警、事中分级响应、事后复盘整改”的完整应急闭环。预案架构规范、分级响应清晰、岗位职责到人、处置流程精准、保障措施充足，可高效处置演练各类突发异常情况得10分； (2)应急预案体系规范、架构完整，核心突发场景全覆盖，应急响应流程清晰、保障措施齐全，能够有效处置演练各类常规及突发状况，保障演练平稳有序推进。无核心环节缺失、无逻辑漏洞，仅存在少量细节细化不足、部分小众场景适配度一般等轻微问题，不影响整体应急处置效果得7.5分； (3)仅具备基础应急预案框架，预案通用性强、项目针对性弱，场景覆盖不全、处置措施笼统、流程简略，应急保障不完善，仅能应对简单常规突发情况，复杂场景无有效处置方案，需中标后全面细化优化、补充完善，方可满足演练应急保障需求得5分； (4)应急预案及保障措施严重缺项、体系缺失、无实质性应急处置内容，不具备演练突发事件预判、响应、处置、保障能力，无法应对演练各类突发状况得2.5分。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演练最终成果展示及资料移交方案</w:t>
            </w:r>
          </w:p>
        </w:tc>
        <w:tc>
          <w:tcPr>
            <w:tcW w:type="dxa" w:w="2492"/>
          </w:tcPr>
          <w:p>
            <w:pPr>
              <w:pStyle w:val="null3"/>
            </w:pPr>
            <w:r>
              <w:rPr>
                <w:rFonts w:ascii="仿宋_GB2312" w:hAnsi="仿宋_GB2312" w:cs="仿宋_GB2312" w:eastAsia="仿宋_GB2312"/>
              </w:rPr>
              <w:t>(1)建立完整、专业的演练成果展示与资料移交闭环体系，成果展示维度丰富、贴合项目实效，资料整编标准化、规范化，移交流程清晰、责任明确、台账齐全，可高标准完成全套成果交付与资料移交工作，完全满足归档、备查、复盘、验收使用需求得6分； (2)成果展示与资料移交方案框架完整、核心内容齐全，成果展示清晰、资料整编规范、移交机制顺畅，能够满足项目验收、归档、备查基本需求，无核心缺项、无交付漏洞。仅存在少量展示细节不够丰富、资料精细化程度不足等轻微问题，不影响整体成果交付与资料移交质量得4.5分； (3)仅具备基础的成果展示与资料移交框架，成果展示内容单一、维度不足，资料整编简略、分类混乱，移交流程模糊，仅能完成基础资料交付工作，整体规范性、专业性不足，需中标后全面细化、补充完善、整改优化，方可满足验收归档需求得3分； (4)成果展示及资料移交方案严重缺项、体系缺失、无实质性交付与归档措施，无法完成演练成果展示、资料整编及闭环移交工作，不满足项目验收、归档、备查基本要求得1.5分。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提供项目负责人的基本情况信息，包括但不限于姓名、性别、学历、工作年限等。要求拟派项目负责人具有丰富的相关领域工作经验，曾担任过类似项目总负责人的，每提供一份证明材料计2分，满分计4分。 说明：（1）证明材料包括但不限于项目策划现场证明资料或项目合同等； （2）须提供项目负责人响应截止时间前近3个月的社保缴纳证明。</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1）组建专属本项目的完整专项服务团队，岗位架构层级清晰、配置齐全，人员资质、从业经验高度匹配本项目演练需求，岗位职责细化精准，岗前培训、现场值守、全程保障机制完善，可全方位、高标准保障演练全流程服务工作落地得10分； （2）项目服务团队架构规范、核心岗位配置齐全，人员资质合规、岗位职责清晰，具备充足的项目服务能力，可满足应急演练全流程服务保障需求，无核心岗位缺失、无服务能力短板。仅存在少量辅助岗位配置不够细化、团队保障细节略有欠缺等轻微问题，不影响整体服务质量得7.5分； （3）仅具备基础团队配置框架，岗位设置不完善、人员配置简略、分工模糊，团队专业性、保障能力一般，仅能完成基础、简单的演练服务工作，存在明显服务短板，需中标后大幅优化岗位配置、细化分工、完善人员保障，方可满足项目基本需求得5分； （4）团队人员配置方案严重缺项、岗位架构缺失、无专业人员配置、无服务保障能力，无法支撑应急演练正常组织与服务工作开展得2.5分。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 承诺</w:t>
            </w:r>
          </w:p>
        </w:tc>
        <w:tc>
          <w:tcPr>
            <w:tcW w:type="dxa" w:w="2492"/>
          </w:tcPr>
          <w:p>
            <w:pPr>
              <w:pStyle w:val="null3"/>
            </w:pPr>
            <w:r>
              <w:rPr>
                <w:rFonts w:ascii="仿宋_GB2312" w:hAnsi="仿宋_GB2312" w:cs="仿宋_GB2312" w:eastAsia="仿宋_GB2312"/>
              </w:rPr>
              <w:t>（1）评审内容：包括但不限于1.针对本项目的服务质量目标承诺；2.针对本项目的服务进度目标承诺；3.针对本项目的服务安全目标承诺。 （2）评审标准：以上3项内容无缺项，专门针对本项目对出关键承诺，符合本项目实际情况、能够保障项目顺利、高效、安全实施的得3分。每项内容根据供应商内容响应程度：每缺少一项内容或者内容非针对于本项目的扣1分，每有一项内容有缺陷的扣0.5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满足磋商文件要求且磋商报价最低的供应商的价格为磋商基准价，其价格分为满分。其他供应商的价格分统一按照下列公式计算：磋商报价得分=（磋商基准价/磋商报价）×价格权值×100。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详见附件：合同文本-政府采购服务类.docx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