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版本号：SXLX-FW-2026-06320260831001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常宁新区神禾五路（子午大道-常瑞街）市政道路初步设计服务项目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SXLX-FW-2026-063</w:t>
      </w:r>
      <w:r>
        <w:br/>
      </w:r>
      <w:r>
        <w:br/>
      </w:r>
      <w:r>
        <w:br/>
      </w:r>
    </w:p>
    <w:p>
      <w:pPr>
        <w:pStyle w:val="null3"/>
        <w:jc w:val="center"/>
        <w:outlineLvl w:val="2"/>
      </w:pPr>
      <w:r>
        <w:rPr>
          <w:rFonts w:ascii="仿宋_GB2312" w:hAnsi="仿宋_GB2312" w:cs="仿宋_GB2312" w:eastAsia="仿宋_GB2312"/>
          <w:sz w:val="28"/>
          <w:b/>
        </w:rPr>
        <w:t>西安市常宁新区开发建设管理委员会</w:t>
      </w:r>
    </w:p>
    <w:p>
      <w:pPr>
        <w:pStyle w:val="null3"/>
        <w:jc w:val="center"/>
        <w:outlineLvl w:val="2"/>
      </w:pPr>
      <w:r>
        <w:rPr>
          <w:rFonts w:ascii="仿宋_GB2312" w:hAnsi="仿宋_GB2312" w:cs="仿宋_GB2312" w:eastAsia="仿宋_GB2312"/>
          <w:sz w:val="28"/>
          <w:b/>
        </w:rPr>
        <w:t>陕西立信工程项目管理有限公司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陕西立信工程项目管理有限公司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西安市常宁新区开发建设管理委员会</w:t>
      </w:r>
      <w:r>
        <w:rPr>
          <w:rFonts w:ascii="仿宋_GB2312" w:hAnsi="仿宋_GB2312" w:cs="仿宋_GB2312" w:eastAsia="仿宋_GB2312"/>
        </w:rPr>
        <w:t>委托，拟对</w:t>
      </w:r>
      <w:r>
        <w:rPr>
          <w:rFonts w:ascii="仿宋_GB2312" w:hAnsi="仿宋_GB2312" w:cs="仿宋_GB2312" w:eastAsia="仿宋_GB2312"/>
        </w:rPr>
        <w:t>常宁新区神禾五路（子午大道-常瑞街）市政道路初步设计服务项目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SXLX-FW-2026-063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常宁新区神禾五路（子午大道-常瑞街）市政道路初步设计服务项目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常宁新区神禾五路（子午大道-常瑞街）市政道路初步设计服务项目本次设计内容主要包括道路工程、交通工程、排水工程、照明工程、绿化工程及其他附属设施等。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采购包1（常宁新区神禾五路（子午大道-常瑞街）市政道路初步设计服务项目）：属于专门面向中小企业采购。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2、法定代表人授权书/法定代表人身份证明：法定代表人参加磋商的，须出具法定代表人身份证明书及身份证。法定代表人授权委托人参加磋商的，须出具法定代表人授权委托书及授权委托人身份证。</w:t>
      </w:r>
    </w:p>
    <w:p>
      <w:pPr>
        <w:pStyle w:val="null3"/>
      </w:pPr>
      <w:r>
        <w:rPr>
          <w:rFonts w:ascii="仿宋_GB2312" w:hAnsi="仿宋_GB2312" w:cs="仿宋_GB2312" w:eastAsia="仿宋_GB2312"/>
        </w:rPr>
        <w:t>3、财务状况报告：提供2025年度经审计的财务审计报告或提供本项目磋商前三个月内基本开户银行出具的资信良好的证明或提供政府采购专业担保机构出具的投标担保函（提供银行资信证明的需同时附基本存款账户开户许可证（或基本存款账户信息）。</w:t>
      </w:r>
    </w:p>
    <w:p>
      <w:pPr>
        <w:pStyle w:val="null3"/>
      </w:pPr>
      <w:r>
        <w:rPr>
          <w:rFonts w:ascii="仿宋_GB2312" w:hAnsi="仿宋_GB2312" w:cs="仿宋_GB2312" w:eastAsia="仿宋_GB2312"/>
        </w:rPr>
        <w:t>4、资质要求：供应商须具备有效的工程设计综合资质甲级或市政行业工程设计乙级及以上资质或市政行业(燃气、轨道交通工程除外)设计乙级及以上资质。</w:t>
      </w:r>
    </w:p>
    <w:p>
      <w:pPr>
        <w:pStyle w:val="null3"/>
      </w:pPr>
      <w:r>
        <w:rPr>
          <w:rFonts w:ascii="仿宋_GB2312" w:hAnsi="仿宋_GB2312" w:cs="仿宋_GB2312" w:eastAsia="仿宋_GB2312"/>
        </w:rPr>
        <w:t>5、项目负责人：供应商拟派项目负责人须具备市政工程相关专业高级工程师及以上职称，且在本单位任职（提供相关证明材料）。</w:t>
      </w:r>
    </w:p>
    <w:p>
      <w:pPr>
        <w:pStyle w:val="null3"/>
      </w:pPr>
      <w:r>
        <w:rPr>
          <w:rFonts w:ascii="仿宋_GB2312" w:hAnsi="仿宋_GB2312" w:cs="仿宋_GB2312" w:eastAsia="仿宋_GB2312"/>
        </w:rPr>
        <w:t>6、税收缴纳证明：提供递交响应文件截止之日前一年内任意一个月的依法缴纳税收的相关凭据（时间以税款所属日期为准），依法免税或无须缴纳税收的供应商，应提供相应证明文件。</w:t>
      </w:r>
    </w:p>
    <w:p>
      <w:pPr>
        <w:pStyle w:val="null3"/>
      </w:pPr>
      <w:r>
        <w:rPr>
          <w:rFonts w:ascii="仿宋_GB2312" w:hAnsi="仿宋_GB2312" w:cs="仿宋_GB2312" w:eastAsia="仿宋_GB2312"/>
        </w:rPr>
        <w:t>7、社会保障资金缴纳证明：提供递交响应文件截止之日前一年内任意一个月的社会保障资金缴纳证明，依法不需要缴纳社会保障资金的供应商应提供相关文件证明。</w:t>
      </w:r>
    </w:p>
    <w:p>
      <w:pPr>
        <w:pStyle w:val="null3"/>
      </w:pPr>
      <w:r>
        <w:rPr>
          <w:rFonts w:ascii="仿宋_GB2312" w:hAnsi="仿宋_GB2312" w:cs="仿宋_GB2312" w:eastAsia="仿宋_GB2312"/>
        </w:rPr>
        <w:t>8、前三年无重大违法记录声明：参加政府采购活动前3年内在经营活动中没有重大违法记录的书面声明。</w:t>
      </w:r>
    </w:p>
    <w:p>
      <w:pPr>
        <w:pStyle w:val="null3"/>
      </w:pPr>
      <w:r>
        <w:rPr>
          <w:rFonts w:ascii="仿宋_GB2312" w:hAnsi="仿宋_GB2312" w:cs="仿宋_GB2312" w:eastAsia="仿宋_GB2312"/>
        </w:rPr>
        <w:t>9、履行合同所必需的设备和专业技术能力：具备履行合同所必需的设备和专业技术能力的承诺。</w:t>
      </w:r>
    </w:p>
    <w:p>
      <w:pPr>
        <w:pStyle w:val="null3"/>
      </w:pPr>
      <w:r>
        <w:rPr>
          <w:rFonts w:ascii="仿宋_GB2312" w:hAnsi="仿宋_GB2312" w:cs="仿宋_GB2312" w:eastAsia="仿宋_GB2312"/>
        </w:rPr>
        <w:t>10、信用查询：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w:t>
      </w:r>
    </w:p>
    <w:p>
      <w:pPr>
        <w:pStyle w:val="null3"/>
      </w:pPr>
      <w:r>
        <w:rPr>
          <w:rFonts w:ascii="仿宋_GB2312" w:hAnsi="仿宋_GB2312" w:cs="仿宋_GB2312" w:eastAsia="仿宋_GB2312"/>
        </w:rPr>
        <w:t>11、企业关联关系：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12、本项目不接受联合体磋商：本项目不接受联合体磋商。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西安市常宁新区开发建设管理委员会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西安市长安区城南大道中段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029-89057815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陕西立信工程项目管理有限公司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陕西省西安市雁塔区太白南路39号金石柏朗大厦12层1201、1202、1205室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孔祥妍、解东、李娇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029-87519950-809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采购包1：820,796.81元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招标代理服务费管理暂行办法》的通知（计价格【2002】1980号）和《国家发展改革委办公厅关于招标代理服务收费有关问题的通知》（发改办价格【2003】857号）规定收取。 成交单位在领取成交通知书时向代理机构支付代理服务费。 缴纳账户如下： 户名：陕西立信工程项目管理有限公司 账号：129903881810301 开户行：招商银行西安朝阳门支行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西安市常宁新区开发建设管理委员会</w:t>
      </w:r>
      <w:r>
        <w:rPr>
          <w:rFonts w:ascii="仿宋_GB2312" w:hAnsi="仿宋_GB2312" w:cs="仿宋_GB2312" w:eastAsia="仿宋_GB2312"/>
        </w:rPr>
        <w:t>和</w:t>
      </w:r>
      <w:r>
        <w:rPr>
          <w:rFonts w:ascii="仿宋_GB2312" w:hAnsi="仿宋_GB2312" w:cs="仿宋_GB2312" w:eastAsia="仿宋_GB2312"/>
        </w:rPr>
        <w:t>陕西立信工程项目管理有限公司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西安市常宁新区开发建设管理委员会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陕西立信工程项目管理有限公司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西安市常宁新区开发建设管理委员会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陕西立信工程项目管理有限公司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按采购文件、响应文件及合同相关条款。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联系人：孔祥妍、解东、李娇</w:t>
      </w:r>
    </w:p>
    <w:p>
      <w:pPr>
        <w:pStyle w:val="null3"/>
      </w:pPr>
      <w:r>
        <w:rPr>
          <w:rFonts w:ascii="仿宋_GB2312" w:hAnsi="仿宋_GB2312" w:cs="仿宋_GB2312" w:eastAsia="仿宋_GB2312"/>
        </w:rPr>
        <w:t>联系电话：029-87519950-809</w:t>
      </w:r>
    </w:p>
    <w:p>
      <w:pPr>
        <w:pStyle w:val="null3"/>
      </w:pPr>
      <w:r>
        <w:rPr>
          <w:rFonts w:ascii="仿宋_GB2312" w:hAnsi="仿宋_GB2312" w:cs="仿宋_GB2312" w:eastAsia="仿宋_GB2312"/>
        </w:rPr>
        <w:t>地址：西安市雁塔区太白南路39号金石柏朗大厦12层1201室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常宁新区神禾五路（子午大道-常瑞街）市政道路初步设计服务项目本次设计内容主要包括道路工程、交通工程、排水工程、照明工程、绿化工程及其他附属设施等。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820,796.81</w:t>
      </w:r>
    </w:p>
    <w:p>
      <w:pPr>
        <w:pStyle w:val="null3"/>
      </w:pPr>
      <w:r>
        <w:rPr>
          <w:rFonts w:ascii="仿宋_GB2312" w:hAnsi="仿宋_GB2312" w:cs="仿宋_GB2312" w:eastAsia="仿宋_GB2312"/>
        </w:rPr>
        <w:t>采购包最高限价（元）: 820,796.81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常宁新区神禾五路（子午大道-常瑞街）市政道路初步设计服务项目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820,796.81</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标的名称：常宁新区神禾五路（子午大道-常瑞街）市政道路初步设计服务项目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color w:val="000000"/>
              </w:rPr>
              <w:t>一、项目概况</w:t>
            </w:r>
          </w:p>
          <w:p>
            <w:pPr>
              <w:pStyle w:val="null3"/>
              <w:ind w:firstLine="400"/>
            </w:pPr>
            <w:r>
              <w:rPr>
                <w:rFonts w:ascii="仿宋_GB2312" w:hAnsi="仿宋_GB2312" w:cs="仿宋_GB2312" w:eastAsia="仿宋_GB2312"/>
                <w:sz w:val="20"/>
              </w:rPr>
              <w:t>常宁新区神禾五路（子午大道-常瑞街）市政道路工程建设项目，本</w:t>
            </w:r>
            <w:r>
              <w:rPr>
                <w:rFonts w:ascii="仿宋_GB2312" w:hAnsi="仿宋_GB2312" w:cs="仿宋_GB2312" w:eastAsia="仿宋_GB2312"/>
                <w:sz w:val="20"/>
                <w:color w:val="000000"/>
              </w:rPr>
              <w:t>项目位于子午大道以东，常瑞街以西，锦湖街以南，神禾四路以北。道路为东西走向，全长约</w:t>
            </w:r>
            <w:r>
              <w:rPr>
                <w:rFonts w:ascii="仿宋_GB2312" w:hAnsi="仿宋_GB2312" w:cs="仿宋_GB2312" w:eastAsia="仿宋_GB2312"/>
                <w:sz w:val="20"/>
                <w:color w:val="000000"/>
              </w:rPr>
              <w:t>1527.897</w:t>
            </w:r>
            <w:r>
              <w:rPr>
                <w:rFonts w:ascii="仿宋_GB2312" w:hAnsi="仿宋_GB2312" w:cs="仿宋_GB2312" w:eastAsia="仿宋_GB2312"/>
                <w:sz w:val="20"/>
                <w:color w:val="000000"/>
              </w:rPr>
              <w:t>m</w:t>
            </w:r>
            <w:r>
              <w:rPr>
                <w:rFonts w:ascii="仿宋_GB2312" w:hAnsi="仿宋_GB2312" w:cs="仿宋_GB2312" w:eastAsia="仿宋_GB2312"/>
                <w:sz w:val="20"/>
                <w:color w:val="000000"/>
              </w:rPr>
              <w:t>，规划红线宽度</w:t>
            </w:r>
            <w:r>
              <w:rPr>
                <w:rFonts w:ascii="仿宋_GB2312" w:hAnsi="仿宋_GB2312" w:cs="仿宋_GB2312" w:eastAsia="仿宋_GB2312"/>
                <w:sz w:val="20"/>
                <w:color w:val="000000"/>
              </w:rPr>
              <w:t>40m</w:t>
            </w:r>
            <w:r>
              <w:rPr>
                <w:rFonts w:ascii="仿宋_GB2312" w:hAnsi="仿宋_GB2312" w:cs="仿宋_GB2312" w:eastAsia="仿宋_GB2312"/>
                <w:sz w:val="20"/>
                <w:color w:val="000000"/>
              </w:rPr>
              <w:t>。道路等级为城市次干路，设计速度</w:t>
            </w:r>
            <w:r>
              <w:rPr>
                <w:rFonts w:ascii="仿宋_GB2312" w:hAnsi="仿宋_GB2312" w:cs="仿宋_GB2312" w:eastAsia="仿宋_GB2312"/>
                <w:sz w:val="20"/>
                <w:color w:val="000000"/>
              </w:rPr>
              <w:t>40km/h</w:t>
            </w:r>
            <w:r>
              <w:rPr>
                <w:rFonts w:ascii="仿宋_GB2312" w:hAnsi="仿宋_GB2312" w:cs="仿宋_GB2312" w:eastAsia="仿宋_GB2312"/>
                <w:sz w:val="20"/>
                <w:color w:val="000000"/>
              </w:rPr>
              <w:t>。工程建设内容：包含道路工程、交通工程、排水工程、照明工程、绿化工程及其他附属设施等。本项目建筑安装工程费用为</w:t>
            </w:r>
            <w:r>
              <w:rPr>
                <w:rFonts w:ascii="仿宋_GB2312" w:hAnsi="仿宋_GB2312" w:cs="仿宋_GB2312" w:eastAsia="仿宋_GB2312"/>
                <w:sz w:val="20"/>
                <w:color w:val="000000"/>
              </w:rPr>
              <w:t>8135.23</w:t>
            </w:r>
            <w:r>
              <w:rPr>
                <w:rFonts w:ascii="仿宋_GB2312" w:hAnsi="仿宋_GB2312" w:cs="仿宋_GB2312" w:eastAsia="仿宋_GB2312"/>
                <w:sz w:val="20"/>
                <w:color w:val="000000"/>
              </w:rPr>
              <w:t>万元。</w:t>
            </w:r>
          </w:p>
          <w:p>
            <w:pPr>
              <w:pStyle w:val="null3"/>
              <w:ind w:firstLine="400"/>
            </w:pPr>
            <w:r>
              <w:rPr>
                <w:rFonts w:ascii="仿宋_GB2312" w:hAnsi="仿宋_GB2312" w:cs="仿宋_GB2312" w:eastAsia="仿宋_GB2312"/>
                <w:sz w:val="20"/>
                <w:color w:val="000000"/>
              </w:rPr>
              <w:t>二、设计内容</w:t>
            </w:r>
          </w:p>
          <w:p>
            <w:pPr>
              <w:pStyle w:val="null3"/>
              <w:ind w:firstLine="480"/>
            </w:pPr>
            <w:r>
              <w:rPr>
                <w:rFonts w:ascii="仿宋_GB2312" w:hAnsi="仿宋_GB2312" w:cs="仿宋_GB2312" w:eastAsia="仿宋_GB2312"/>
                <w:sz w:val="20"/>
              </w:rPr>
              <w:t>常宁新区神禾五路（子午大道-常瑞街）市政道路初步设计服务项目本次设计内容主要包括道路工程、交通工程、排水工程、照明工程、绿化工程及其他附属设施等。</w:t>
            </w:r>
          </w:p>
          <w:p>
            <w:pPr>
              <w:pStyle w:val="null3"/>
            </w:pPr>
            <w:r>
              <w:rPr>
                <w:rFonts w:ascii="仿宋_GB2312" w:hAnsi="仿宋_GB2312" w:cs="仿宋_GB2312" w:eastAsia="仿宋_GB2312"/>
                <w:sz w:val="20"/>
                <w:b/>
                <w:color w:val="000000"/>
              </w:rPr>
              <w:t>三、</w:t>
            </w:r>
            <w:r>
              <w:rPr>
                <w:rFonts w:ascii="仿宋_GB2312" w:hAnsi="仿宋_GB2312" w:cs="仿宋_GB2312" w:eastAsia="仿宋_GB2312"/>
                <w:sz w:val="20"/>
                <w:b/>
                <w:color w:val="000000"/>
              </w:rPr>
              <w:t>设计依据</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．国家现行的法律、法规、标准、规范及省、</w:t>
            </w:r>
            <w:r>
              <w:rPr>
                <w:rFonts w:ascii="仿宋_GB2312" w:hAnsi="仿宋_GB2312" w:cs="仿宋_GB2312" w:eastAsia="仿宋_GB2312"/>
                <w:sz w:val="20"/>
                <w:color w:val="000000"/>
              </w:rPr>
              <w:t>市有关规定。</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．设计依据标准：</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）《城市道路交通工程项目规范》（</w:t>
            </w:r>
            <w:r>
              <w:rPr>
                <w:rFonts w:ascii="仿宋_GB2312" w:hAnsi="仿宋_GB2312" w:cs="仿宋_GB2312" w:eastAsia="仿宋_GB2312"/>
                <w:sz w:val="20"/>
                <w:color w:val="000000"/>
              </w:rPr>
              <w:t>GB55011-2021</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）《城市道路工程设计规范》（</w:t>
            </w:r>
            <w:r>
              <w:rPr>
                <w:rFonts w:ascii="仿宋_GB2312" w:hAnsi="仿宋_GB2312" w:cs="仿宋_GB2312" w:eastAsia="仿宋_GB2312"/>
                <w:sz w:val="20"/>
                <w:color w:val="000000"/>
              </w:rPr>
              <w:t>CJJ37-2012</w:t>
            </w:r>
            <w:r>
              <w:rPr>
                <w:rFonts w:ascii="仿宋_GB2312" w:hAnsi="仿宋_GB2312" w:cs="仿宋_GB2312" w:eastAsia="仿宋_GB2312"/>
                <w:sz w:val="20"/>
                <w:color w:val="000000"/>
              </w:rPr>
              <w:t>）（</w:t>
            </w:r>
            <w:r>
              <w:rPr>
                <w:rFonts w:ascii="仿宋_GB2312" w:hAnsi="仿宋_GB2312" w:cs="仿宋_GB2312" w:eastAsia="仿宋_GB2312"/>
                <w:sz w:val="20"/>
                <w:color w:val="000000"/>
              </w:rPr>
              <w:t>2016</w:t>
            </w:r>
            <w:r>
              <w:rPr>
                <w:rFonts w:ascii="仿宋_GB2312" w:hAnsi="仿宋_GB2312" w:cs="仿宋_GB2312" w:eastAsia="仿宋_GB2312"/>
                <w:sz w:val="20"/>
                <w:color w:val="000000"/>
              </w:rPr>
              <w:t>年版）；</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）《城市道路路线设计规范》（</w:t>
            </w:r>
            <w:r>
              <w:rPr>
                <w:rFonts w:ascii="仿宋_GB2312" w:hAnsi="仿宋_GB2312" w:cs="仿宋_GB2312" w:eastAsia="仿宋_GB2312"/>
                <w:sz w:val="20"/>
                <w:color w:val="000000"/>
              </w:rPr>
              <w:t>CJJ193-2012</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）《建筑与市政工程无障碍通用规范》</w:t>
            </w:r>
            <w:r>
              <w:rPr>
                <w:rFonts w:ascii="仿宋_GB2312" w:hAnsi="仿宋_GB2312" w:cs="仿宋_GB2312" w:eastAsia="仿宋_GB2312"/>
                <w:sz w:val="20"/>
                <w:color w:val="000000"/>
              </w:rPr>
              <w:t>(GB55019-2021)</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）《城市道路交叉口设计规程》（</w:t>
            </w:r>
            <w:r>
              <w:rPr>
                <w:rFonts w:ascii="仿宋_GB2312" w:hAnsi="仿宋_GB2312" w:cs="仿宋_GB2312" w:eastAsia="仿宋_GB2312"/>
                <w:sz w:val="20"/>
                <w:color w:val="000000"/>
              </w:rPr>
              <w:t>CJJ152-2010</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）《城镇道路路面设计规范》（</w:t>
            </w:r>
            <w:r>
              <w:rPr>
                <w:rFonts w:ascii="仿宋_GB2312" w:hAnsi="仿宋_GB2312" w:cs="仿宋_GB2312" w:eastAsia="仿宋_GB2312"/>
                <w:sz w:val="20"/>
                <w:color w:val="000000"/>
              </w:rPr>
              <w:t>CJJ169-2012</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）《城市道路路基设计规范》（</w:t>
            </w:r>
            <w:r>
              <w:rPr>
                <w:rFonts w:ascii="仿宋_GB2312" w:hAnsi="仿宋_GB2312" w:cs="仿宋_GB2312" w:eastAsia="仿宋_GB2312"/>
                <w:sz w:val="20"/>
                <w:color w:val="000000"/>
              </w:rPr>
              <w:t>CJJ194-2013</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）《城市道路交通标志和标线设置规范》（</w:t>
            </w:r>
            <w:r>
              <w:rPr>
                <w:rFonts w:ascii="仿宋_GB2312" w:hAnsi="仿宋_GB2312" w:cs="仿宋_GB2312" w:eastAsia="仿宋_GB2312"/>
                <w:sz w:val="20"/>
                <w:color w:val="000000"/>
              </w:rPr>
              <w:t>GB 51038-2015</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）《道路交通信号灯设置与安装规范》（</w:t>
            </w:r>
            <w:r>
              <w:rPr>
                <w:rFonts w:ascii="仿宋_GB2312" w:hAnsi="仿宋_GB2312" w:cs="仿宋_GB2312" w:eastAsia="仿宋_GB2312"/>
                <w:sz w:val="20"/>
                <w:color w:val="000000"/>
              </w:rPr>
              <w:t>GB14886-2016</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）《城市给水工程项目规范》（</w:t>
            </w:r>
            <w:r>
              <w:rPr>
                <w:rFonts w:ascii="仿宋_GB2312" w:hAnsi="仿宋_GB2312" w:cs="仿宋_GB2312" w:eastAsia="仿宋_GB2312"/>
                <w:sz w:val="20"/>
                <w:color w:val="000000"/>
              </w:rPr>
              <w:t>GB 55026-2022</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11</w:t>
            </w:r>
            <w:r>
              <w:rPr>
                <w:rFonts w:ascii="仿宋_GB2312" w:hAnsi="仿宋_GB2312" w:cs="仿宋_GB2312" w:eastAsia="仿宋_GB2312"/>
                <w:sz w:val="20"/>
                <w:color w:val="000000"/>
              </w:rPr>
              <w:t>）《室外给水设计标准》（</w:t>
            </w:r>
            <w:r>
              <w:rPr>
                <w:rFonts w:ascii="仿宋_GB2312" w:hAnsi="仿宋_GB2312" w:cs="仿宋_GB2312" w:eastAsia="仿宋_GB2312"/>
                <w:sz w:val="20"/>
                <w:color w:val="000000"/>
              </w:rPr>
              <w:t>GB 50013-2018</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12</w:t>
            </w:r>
            <w:r>
              <w:rPr>
                <w:rFonts w:ascii="仿宋_GB2312" w:hAnsi="仿宋_GB2312" w:cs="仿宋_GB2312" w:eastAsia="仿宋_GB2312"/>
                <w:sz w:val="20"/>
                <w:color w:val="000000"/>
              </w:rPr>
              <w:t>）《室外排水设计标准》（</w:t>
            </w:r>
            <w:r>
              <w:rPr>
                <w:rFonts w:ascii="仿宋_GB2312" w:hAnsi="仿宋_GB2312" w:cs="仿宋_GB2312" w:eastAsia="仿宋_GB2312"/>
                <w:sz w:val="20"/>
                <w:color w:val="000000"/>
              </w:rPr>
              <w:t>GB 50014-2021</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13</w:t>
            </w:r>
            <w:r>
              <w:rPr>
                <w:rFonts w:ascii="仿宋_GB2312" w:hAnsi="仿宋_GB2312" w:cs="仿宋_GB2312" w:eastAsia="仿宋_GB2312"/>
                <w:sz w:val="20"/>
                <w:color w:val="000000"/>
              </w:rPr>
              <w:t>）《再生水水质标准》（</w:t>
            </w:r>
            <w:r>
              <w:rPr>
                <w:rFonts w:ascii="仿宋_GB2312" w:hAnsi="仿宋_GB2312" w:cs="仿宋_GB2312" w:eastAsia="仿宋_GB2312"/>
                <w:sz w:val="20"/>
                <w:color w:val="000000"/>
              </w:rPr>
              <w:t>SL368-2006</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14</w:t>
            </w:r>
            <w:r>
              <w:rPr>
                <w:rFonts w:ascii="仿宋_GB2312" w:hAnsi="仿宋_GB2312" w:cs="仿宋_GB2312" w:eastAsia="仿宋_GB2312"/>
                <w:sz w:val="20"/>
                <w:color w:val="000000"/>
              </w:rPr>
              <w:t>）《城市道路照明设计标准》（</w:t>
            </w:r>
            <w:r>
              <w:rPr>
                <w:rFonts w:ascii="仿宋_GB2312" w:hAnsi="仿宋_GB2312" w:cs="仿宋_GB2312" w:eastAsia="仿宋_GB2312"/>
                <w:sz w:val="20"/>
                <w:color w:val="000000"/>
              </w:rPr>
              <w:t>CJJ 45-2015</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15</w:t>
            </w:r>
            <w:r>
              <w:rPr>
                <w:rFonts w:ascii="仿宋_GB2312" w:hAnsi="仿宋_GB2312" w:cs="仿宋_GB2312" w:eastAsia="仿宋_GB2312"/>
                <w:sz w:val="20"/>
                <w:color w:val="000000"/>
              </w:rPr>
              <w:t>）《通信管道与通道工程设计标准》（</w:t>
            </w:r>
            <w:r>
              <w:rPr>
                <w:rFonts w:ascii="仿宋_GB2312" w:hAnsi="仿宋_GB2312" w:cs="仿宋_GB2312" w:eastAsia="仿宋_GB2312"/>
                <w:sz w:val="20"/>
                <w:color w:val="000000"/>
              </w:rPr>
              <w:t>GB 50373-2019</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16</w:t>
            </w:r>
            <w:r>
              <w:rPr>
                <w:rFonts w:ascii="仿宋_GB2312" w:hAnsi="仿宋_GB2312" w:cs="仿宋_GB2312" w:eastAsia="仿宋_GB2312"/>
                <w:sz w:val="20"/>
                <w:color w:val="000000"/>
              </w:rPr>
              <w:t>）《城市道路绿化设计标准》（</w:t>
            </w:r>
            <w:r>
              <w:rPr>
                <w:rFonts w:ascii="仿宋_GB2312" w:hAnsi="仿宋_GB2312" w:cs="仿宋_GB2312" w:eastAsia="仿宋_GB2312"/>
                <w:sz w:val="20"/>
                <w:color w:val="000000"/>
              </w:rPr>
              <w:t>CJJ /T75-2023</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b/>
                <w:color w:val="000000"/>
              </w:rPr>
              <w:t>四</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技术要求</w:t>
            </w:r>
          </w:p>
          <w:p>
            <w:pPr>
              <w:pStyle w:val="null3"/>
              <w:ind w:firstLine="400"/>
            </w:pPr>
            <w:r>
              <w:rPr>
                <w:rFonts w:ascii="仿宋_GB2312" w:hAnsi="仿宋_GB2312" w:cs="仿宋_GB2312" w:eastAsia="仿宋_GB2312"/>
                <w:sz w:val="20"/>
                <w:color w:val="000000"/>
              </w:rPr>
              <w:t xml:space="preserve"> 1.协调好与周边现状设施及用地关系，保证交叉口与路段的顺利衔接，特别是与已建成神禾五路段统一风格；结合道路设施使之与周围环境相协调；工程设计因地制宜、就地取材、方便施工、利于养护等原则，要与周围环境相协调，选择合理的设计方案，保证工程实施的可行性和经济合理性。</w:t>
            </w:r>
          </w:p>
          <w:p>
            <w:pPr>
              <w:pStyle w:val="null3"/>
              <w:ind w:firstLine="400"/>
            </w:pPr>
            <w:r>
              <w:rPr>
                <w:rFonts w:ascii="仿宋_GB2312" w:hAnsi="仿宋_GB2312" w:cs="仿宋_GB2312" w:eastAsia="仿宋_GB2312"/>
                <w:sz w:val="20"/>
                <w:color w:val="000000"/>
              </w:rPr>
              <w:t xml:space="preserve"> 2.充分考虑外围区域车流出行特征，设计合理的线路平纵断面及和合理的交通配套方案，综合考虑公交接驳及港湾处理。</w:t>
            </w:r>
          </w:p>
          <w:p>
            <w:pPr>
              <w:pStyle w:val="null3"/>
              <w:ind w:firstLine="400"/>
            </w:pPr>
            <w:r>
              <w:rPr>
                <w:rFonts w:ascii="仿宋_GB2312" w:hAnsi="仿宋_GB2312" w:cs="仿宋_GB2312" w:eastAsia="仿宋_GB2312"/>
                <w:sz w:val="20"/>
                <w:color w:val="000000"/>
              </w:rPr>
              <w:t xml:space="preserve"> 3.管线综合规划应统筹地下空间，统一规划，合理安排各种管线的管位，做到符合规划、布置紧凑、节约用地。并充分考虑分期实施的可能性，做到远近结合，留有发展空间。</w:t>
            </w:r>
          </w:p>
          <w:p>
            <w:pPr>
              <w:pStyle w:val="null3"/>
              <w:ind w:firstLine="400"/>
            </w:pPr>
            <w:r>
              <w:rPr>
                <w:rFonts w:ascii="仿宋_GB2312" w:hAnsi="仿宋_GB2312" w:cs="仿宋_GB2312" w:eastAsia="仿宋_GB2312"/>
                <w:sz w:val="20"/>
                <w:color w:val="000000"/>
              </w:rPr>
              <w:t xml:space="preserve"> 4.在充分调查周边道路现状绿化风格的前提下，选择合适的乡土树种，丰富植物品种及种植形式，体现各条道路绿化的特性。</w:t>
            </w:r>
          </w:p>
          <w:p>
            <w:pPr>
              <w:pStyle w:val="null3"/>
            </w:pPr>
            <w:r>
              <w:rPr>
                <w:rFonts w:ascii="仿宋_GB2312" w:hAnsi="仿宋_GB2312" w:cs="仿宋_GB2312" w:eastAsia="仿宋_GB2312"/>
                <w:sz w:val="20"/>
                <w:b/>
                <w:color w:val="000000"/>
              </w:rPr>
              <w:t>五、设计深度及成果要求</w:t>
            </w:r>
          </w:p>
          <w:p>
            <w:pPr>
              <w:pStyle w:val="null3"/>
              <w:ind w:firstLine="400"/>
            </w:pPr>
            <w:r>
              <w:rPr>
                <w:rFonts w:ascii="仿宋_GB2312" w:hAnsi="仿宋_GB2312" w:cs="仿宋_GB2312" w:eastAsia="仿宋_GB2312"/>
                <w:sz w:val="20"/>
                <w:color w:val="000000"/>
              </w:rPr>
              <w:t>设计成果应符合《市政公用工程设计文件编制深度规定》（</w:t>
            </w:r>
            <w:r>
              <w:rPr>
                <w:rFonts w:ascii="仿宋_GB2312" w:hAnsi="仿宋_GB2312" w:cs="仿宋_GB2312" w:eastAsia="仿宋_GB2312"/>
                <w:sz w:val="20"/>
                <w:color w:val="000000"/>
              </w:rPr>
              <w:t>2025</w:t>
            </w:r>
            <w:r>
              <w:rPr>
                <w:rFonts w:ascii="仿宋_GB2312" w:hAnsi="仿宋_GB2312" w:cs="仿宋_GB2312" w:eastAsia="仿宋_GB2312"/>
                <w:sz w:val="20"/>
                <w:color w:val="000000"/>
              </w:rPr>
              <w:t>年版）》编制深度要求。设计成果主要内容包括：设计说明、道路平面图、道路横断面图、道路纵断面图、道路结构层设计图、交通标志标线设计图、智慧交通设计图、给排水管网设计图、绿化设计图、照明设计图等。</w:t>
            </w:r>
          </w:p>
          <w:p>
            <w:pPr>
              <w:pStyle w:val="null3"/>
              <w:ind w:firstLine="400"/>
            </w:pPr>
            <w:r>
              <w:rPr>
                <w:rFonts w:ascii="仿宋_GB2312" w:hAnsi="仿宋_GB2312" w:cs="仿宋_GB2312" w:eastAsia="仿宋_GB2312"/>
                <w:sz w:val="20"/>
                <w:color w:val="000000"/>
              </w:rPr>
              <w:t>正式纸质版初步设计文件（图纸</w:t>
            </w:r>
            <w:r>
              <w:rPr>
                <w:rFonts w:ascii="仿宋_GB2312" w:hAnsi="仿宋_GB2312" w:cs="仿宋_GB2312" w:eastAsia="仿宋_GB2312"/>
                <w:sz w:val="20"/>
                <w:color w:val="000000"/>
              </w:rPr>
              <w:t>A3</w:t>
            </w:r>
            <w:r>
              <w:rPr>
                <w:rFonts w:ascii="仿宋_GB2312" w:hAnsi="仿宋_GB2312" w:cs="仿宋_GB2312" w:eastAsia="仿宋_GB2312"/>
                <w:sz w:val="20"/>
                <w:color w:val="000000"/>
              </w:rPr>
              <w:t>、概算文本</w:t>
            </w:r>
            <w:r>
              <w:rPr>
                <w:rFonts w:ascii="仿宋_GB2312" w:hAnsi="仿宋_GB2312" w:cs="仿宋_GB2312" w:eastAsia="仿宋_GB2312"/>
                <w:sz w:val="20"/>
                <w:color w:val="000000"/>
              </w:rPr>
              <w:t>A4</w:t>
            </w: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套，与纸质报告相一致的扫描盖章的电子文件</w:t>
            </w:r>
            <w:r>
              <w:rPr>
                <w:rFonts w:ascii="仿宋_GB2312" w:hAnsi="仿宋_GB2312" w:cs="仿宋_GB2312" w:eastAsia="仿宋_GB2312"/>
                <w:sz w:val="20"/>
                <w:color w:val="000000"/>
              </w:rPr>
              <w:t>1</w:t>
            </w:r>
            <w:r>
              <w:rPr>
                <w:rFonts w:ascii="仿宋_GB2312" w:hAnsi="仿宋_GB2312" w:cs="仿宋_GB2312" w:eastAsia="仿宋_GB2312"/>
                <w:sz w:val="20"/>
                <w:color w:val="000000"/>
              </w:rPr>
              <w:t>套（含</w:t>
            </w:r>
            <w:r>
              <w:rPr>
                <w:rFonts w:ascii="仿宋_GB2312" w:hAnsi="仿宋_GB2312" w:cs="仿宋_GB2312" w:eastAsia="仿宋_GB2312"/>
                <w:sz w:val="20"/>
                <w:color w:val="000000"/>
              </w:rPr>
              <w:t>dwg</w:t>
            </w:r>
            <w:r>
              <w:rPr>
                <w:rFonts w:ascii="仿宋_GB2312" w:hAnsi="仿宋_GB2312" w:cs="仿宋_GB2312" w:eastAsia="仿宋_GB2312"/>
                <w:sz w:val="20"/>
                <w:color w:val="000000"/>
              </w:rPr>
              <w:t>、</w:t>
            </w:r>
            <w:r>
              <w:rPr>
                <w:rFonts w:ascii="仿宋_GB2312" w:hAnsi="仿宋_GB2312" w:cs="仿宋_GB2312" w:eastAsia="仿宋_GB2312"/>
                <w:sz w:val="20"/>
                <w:color w:val="000000"/>
              </w:rPr>
              <w:t>pdf</w:t>
            </w:r>
            <w:r>
              <w:rPr>
                <w:rFonts w:ascii="仿宋_GB2312" w:hAnsi="仿宋_GB2312" w:cs="仿宋_GB2312" w:eastAsia="仿宋_GB2312"/>
                <w:sz w:val="20"/>
                <w:color w:val="000000"/>
              </w:rPr>
              <w:t>文件）</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b/>
                <w:color w:val="000000"/>
              </w:rPr>
              <w:t>六、投标报价</w:t>
            </w:r>
          </w:p>
          <w:p>
            <w:pPr>
              <w:pStyle w:val="null3"/>
              <w:ind w:firstLine="400"/>
            </w:pPr>
            <w:r>
              <w:rPr>
                <w:rFonts w:ascii="仿宋_GB2312" w:hAnsi="仿宋_GB2312" w:cs="仿宋_GB2312" w:eastAsia="仿宋_GB2312"/>
                <w:sz w:val="20"/>
              </w:rPr>
              <w:t>1.本项目投标报价采用固定总价包干，由供应商根据项目内容及服务要求，依据《国家发展改革委关于进一步放开建设项目专业服务价格的通知》发改价格[2015]299号，并参照国家计委、建设部《工程勘察设计收费管理规定》计价格［2002］10号，结合本项目的实际情况及市场行情自主报价。各供应商依据企业自身情况自主报价，不设下限，采购文件约定范围内风险自负。</w:t>
            </w:r>
          </w:p>
          <w:p>
            <w:pPr>
              <w:pStyle w:val="null3"/>
              <w:ind w:firstLine="400"/>
            </w:pPr>
            <w:r>
              <w:rPr>
                <w:rFonts w:ascii="仿宋_GB2312" w:hAnsi="仿宋_GB2312" w:cs="仿宋_GB2312" w:eastAsia="仿宋_GB2312"/>
                <w:sz w:val="20"/>
              </w:rPr>
              <w:t>2.项目投标报价包括但不限于完成施工图设计阶段的直接费用、间接费用、税金、利润、其他相关单位配合服务工作及合同约定的其他服务，是完成本项目所有服务内容的价格体现。</w:t>
            </w:r>
          </w:p>
          <w:p>
            <w:pPr>
              <w:pStyle w:val="null3"/>
              <w:ind w:firstLine="400"/>
            </w:pPr>
            <w:r>
              <w:rPr>
                <w:rFonts w:ascii="仿宋_GB2312" w:hAnsi="仿宋_GB2312" w:cs="仿宋_GB2312" w:eastAsia="仿宋_GB2312"/>
                <w:sz w:val="20"/>
              </w:rPr>
              <w:t>3.项目投标报价不得超过本项目最高限价，否则否决此次投标。</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提供针对本项目的详细人员配备情况。要求拟派项目成员相关专业人员搭配合理、职能健全，岗位分工明确、职责清晰，包括人员配备情况及水平、人员安排、专业配置、从业经历、参与工作经验等方面，均应满足本项目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合同生效且甲方通知乙方启动项目初步设计及概算编后的30个日历天提交成果文件。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符合国家相关规定，满足设计相关规范要求，初步设计达到相关规定深度。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进度款，合同签订后，项目初步设计及概算编制完提交成果后，达到付款条件起22个工作日内，支付合同总金额的50.0%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进度款，项目初步设计及概算成果通过政府行政部门审批并取得初步设计及概算批复后，达到付款条件起22个工作日内，支付合同总金额的50.0%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按采购文件、响应文件及合同要求执行。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业绩.docx 人员配备.docx 中小企业声明函 商务应答表 服务内容及服务要求应答表 报价表 磋商报价表.docx 供应商承诺书.docx 响应文件封面 项目负责人.docx 供应商应提交的相关资格证明材料.docx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法定代表人参加磋商的，须出具法定代表人身份证明书及身份证。法定代表人授权委托人参加磋商的，须出具法定代表人授权委托书及授权委托人身份证。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审计报告或提供本项目磋商前三个月内基本开户银行出具的资信良好的证明或提供政府采购专业担保机构出具的投标担保函（提供银行资信证明的需同时附基本存款账户开户许可证（或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供应商须具备有效的工程设计综合资质甲级或市政行业工程设计乙级及以上资质或市政行业(燃气、轨道交通工程除外)设计乙级及以上资质。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供应商拟派项目负责人须具备市政工程相关专业高级工程师及以上职称，且在本单位任职（提供相关证明材料）。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提供递交响应文件截止之日前一年内任意一个月的社会保障资金缴纳证明，依法不需要缴纳社会保障资金的供应商应提供相关文件证明。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响应文件中项目名称、项目编号与本项目一致</w:t>
            </w:r>
          </w:p>
        </w:tc>
        <w:tc>
          <w:tcPr>
            <w:tcW w:type="dxa" w:w="1661"/>
          </w:tcPr>
          <w:p>
            <w:pPr>
              <w:pStyle w:val="null3"/>
            </w:pPr>
            <w:r>
              <w:rPr>
                <w:rFonts w:ascii="仿宋_GB2312" w:hAnsi="仿宋_GB2312" w:cs="仿宋_GB2312" w:eastAsia="仿宋_GB2312"/>
              </w:rPr>
              <w:t>业绩.docx 人员配备.docx 中小企业声明函 商务应答表 服务内容及服务要求应答表 报价表 磋商报价表.docx 供应商承诺书.docx 响应文件封面 供应商应提交的相关资格证明材料.docx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签章均符合采购文件要求，且无遗漏。</w:t>
            </w:r>
          </w:p>
        </w:tc>
        <w:tc>
          <w:tcPr>
            <w:tcW w:type="dxa" w:w="1661"/>
          </w:tcPr>
          <w:p>
            <w:pPr>
              <w:pStyle w:val="null3"/>
            </w:pPr>
            <w:r>
              <w:rPr>
                <w:rFonts w:ascii="仿宋_GB2312" w:hAnsi="仿宋_GB2312" w:cs="仿宋_GB2312" w:eastAsia="仿宋_GB2312"/>
              </w:rPr>
              <w:t>业绩.docx 人员配备.docx 中小企业声明函 商务应答表 服务内容及服务要求应答表 报价表 磋商报价表.docx 供应商承诺书.docx 响应文件封面 供应商应提交的相关资格证明材料.docx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同时满足以下条款：（1）货币单位符合采购文件要求（2）报价符合唯一性要求（3）未超出采购预算或最高限</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标的清单 报价表 磋商报价表.docx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符合“第三章 质量验收标准或规范”的要求</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实质性条款、服务要求、合同条款响应</w:t>
            </w:r>
          </w:p>
        </w:tc>
        <w:tc>
          <w:tcPr>
            <w:tcW w:type="dxa" w:w="3322"/>
          </w:tcPr>
          <w:p>
            <w:pPr>
              <w:pStyle w:val="null3"/>
            </w:pPr>
            <w:r>
              <w:rPr>
                <w:rFonts w:ascii="仿宋_GB2312" w:hAnsi="仿宋_GB2312" w:cs="仿宋_GB2312" w:eastAsia="仿宋_GB2312"/>
              </w:rPr>
              <w:t>完全响应，不能有采购人不能接受的附加条件</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服务内容及服务要求应答表 标的清单 报价表 磋商报价表.docx 响应函 供应商承诺书.docx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供应商应提交的相关资格证明材料.docx 中小企业声明函 商务应答表 服务内容及服务要求应答表 标的清单 报价表 磋商报价表.docx 响应函 供应商承诺书.docx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对项目的理解和认识</w:t>
            </w:r>
          </w:p>
        </w:tc>
        <w:tc>
          <w:tcPr>
            <w:tcW w:type="dxa" w:w="2492"/>
          </w:tcPr>
          <w:p>
            <w:pPr>
              <w:pStyle w:val="null3"/>
            </w:pPr>
            <w:r>
              <w:rPr>
                <w:rFonts w:ascii="仿宋_GB2312" w:hAnsi="仿宋_GB2312" w:cs="仿宋_GB2312" w:eastAsia="仿宋_GB2312"/>
              </w:rPr>
              <w:t>一、评审内容 供应商对本项目的理解和认识，内容包括但不限于：① 基本情况分析；②对项目背景的研判等。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上述2项评审内容全部满足评审标准得6分，每有一个评审内容缺项扣3分，每有一项评审内容存在缺陷，扣0.5分。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供应商针对本项目提供服务方案，包括但不限于：①设计思路；②工作方法；③进度保障；④质量控制；⑤成果审核等方案措施的响应程度。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上述5项评审内容全部满足评审标准得20分，每有一个评审内容缺项扣4分，每有一项评审内容存在缺陷，扣0.5分。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重点难点分析及应对措施</w:t>
            </w:r>
          </w:p>
        </w:tc>
        <w:tc>
          <w:tcPr>
            <w:tcW w:type="dxa" w:w="2492"/>
          </w:tcPr>
          <w:p>
            <w:pPr>
              <w:pStyle w:val="null3"/>
            </w:pPr>
            <w:r>
              <w:rPr>
                <w:rFonts w:ascii="仿宋_GB2312" w:hAnsi="仿宋_GB2312" w:cs="仿宋_GB2312" w:eastAsia="仿宋_GB2312"/>
              </w:rPr>
              <w:t>一、评审内容 供应商针对本项目提供重点难点分析及应对措施，包括但不限于：①用地边界、规划管控、指标约束、空间协调设计等难点分析；②针对上述难点制定的专项应对措施及解决方案。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上述2项评审内容全部满足评审标准得8分，每有一个评审内容缺项扣4分，每有一项评审内容存在缺陷，扣0.5分。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供应商根据本项目情况提出服务承诺，包括但不限于：①进度和质量保障承诺；②响应时间承诺等。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上述2项评审内容全部满足评审标准得6分，每有一个评审内容缺项扣3分，每有一项评审内容存在缺陷，扣0.5分。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①项目负责人具有本工程相关专业注册执业资格得3分，没有不得分。 ②项目负责人具有2023年7月1日起至今类似项目业绩，每提供1个业绩得3分，最多得6分。 说明：需按要求提供拟派项目负责人的(不限)职称证、注册证、业绩等证明材料(符合评审要求即可)，无法直接体现的可进行佐证材料补充。拟派项目负责人业绩与企业业绩可重复计算。</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项目负责人.docx</w:t>
            </w:r>
          </w:p>
        </w:tc>
      </w:tr>
      <w:tr>
        <w:tc>
          <w:tcPr>
            <w:tcW w:type="dxa" w:w="831"/>
            <w:vMerge/>
          </w:tcPr>
          <w:p/>
        </w:tc>
        <w:tc>
          <w:tcPr>
            <w:tcW w:type="dxa" w:w="1661"/>
          </w:tcPr>
          <w:p>
            <w:pPr>
              <w:pStyle w:val="null3"/>
            </w:pPr>
            <w:r>
              <w:rPr>
                <w:rFonts w:ascii="仿宋_GB2312" w:hAnsi="仿宋_GB2312" w:cs="仿宋_GB2312" w:eastAsia="仿宋_GB2312"/>
              </w:rPr>
              <w:t>设计团队人员配备</w:t>
            </w:r>
          </w:p>
        </w:tc>
        <w:tc>
          <w:tcPr>
            <w:tcW w:type="dxa" w:w="2492"/>
          </w:tcPr>
          <w:p>
            <w:pPr>
              <w:pStyle w:val="null3"/>
            </w:pPr>
            <w:r>
              <w:rPr>
                <w:rFonts w:ascii="仿宋_GB2312" w:hAnsi="仿宋_GB2312" w:cs="仿宋_GB2312" w:eastAsia="仿宋_GB2312"/>
              </w:rPr>
              <w:t>①项目组成员中具有市政工程相关专业高级工程师的，每有1人的得 2分，最高得6分。 ②项目组成员中具有本工程相关专业注册执业资格，每有1人的得 2分，最高得10分。说明：项目组成人员不含项目负责人，需提供相关人员的(不限)职称证、注册证等证明材料(符合评审要求即可)。</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供应商提供2023年7月1日起至今类似项目业绩，每提供一项得3分，最多得15分（以合同签订时间或中标通知书时间为准）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采用低价优先法计算，即满足磋商文件要求且最终报价最低的价格为磋商基准价，其价格分为满分。其他投标人的价格分统一按照下列公式计算： 磋商报价得分=（磋商基准价/最终磋商报价）×20 超出预算的磋商报价在评审过程中按无效投标处理。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详见附件：项目负责人.docx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详见附件：初步设计合同.docx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