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0218E">
      <w:pPr>
        <w:autoSpaceDE w:val="0"/>
        <w:autoSpaceDN w:val="0"/>
        <w:adjustRightInd w:val="0"/>
        <w:snapToGrid w:val="0"/>
        <w:spacing w:line="360" w:lineRule="auto"/>
        <w:jc w:val="center"/>
        <w:rPr>
          <w:rFonts w:hint="eastAsia" w:ascii="宋体" w:hAnsi="宋体" w:eastAsia="宋体" w:cs="宋体"/>
          <w:b/>
          <w:bCs/>
          <w:color w:val="auto"/>
          <w:kern w:val="0"/>
          <w:sz w:val="44"/>
          <w:szCs w:val="44"/>
          <w:highlight w:val="none"/>
          <w:lang w:val="en-US" w:eastAsia="zh-CN"/>
        </w:rPr>
      </w:pPr>
    </w:p>
    <w:p w14:paraId="36A529E6">
      <w:pPr>
        <w:autoSpaceDE w:val="0"/>
        <w:autoSpaceDN w:val="0"/>
        <w:adjustRightInd w:val="0"/>
        <w:snapToGrid w:val="0"/>
        <w:spacing w:line="360" w:lineRule="auto"/>
        <w:jc w:val="center"/>
        <w:rPr>
          <w:rFonts w:hint="eastAsia" w:ascii="宋体" w:hAnsi="宋体" w:eastAsia="宋体" w:cs="宋体"/>
          <w:b/>
          <w:bCs/>
          <w:color w:val="auto"/>
          <w:kern w:val="0"/>
          <w:sz w:val="44"/>
          <w:szCs w:val="44"/>
          <w:highlight w:val="none"/>
          <w:lang w:val="en-US" w:eastAsia="zh-CN"/>
        </w:rPr>
      </w:pPr>
    </w:p>
    <w:p w14:paraId="13963026">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r>
        <w:rPr>
          <w:rFonts w:hint="eastAsia" w:ascii="仿宋" w:hAnsi="仿宋" w:eastAsia="仿宋" w:cs="仿宋"/>
          <w:b/>
          <w:bCs/>
          <w:color w:val="auto"/>
          <w:kern w:val="0"/>
          <w:sz w:val="44"/>
          <w:szCs w:val="44"/>
          <w:highlight w:val="none"/>
          <w:lang w:val="en-US" w:eastAsia="zh-CN"/>
        </w:rPr>
        <w:t>西安市雁塔区住房和城乡建设局</w:t>
      </w:r>
    </w:p>
    <w:p w14:paraId="25A7EBF6">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r>
        <w:rPr>
          <w:rFonts w:hint="eastAsia" w:ascii="仿宋" w:hAnsi="仿宋" w:eastAsia="仿宋" w:cs="仿宋"/>
          <w:b/>
          <w:bCs/>
          <w:color w:val="auto"/>
          <w:kern w:val="0"/>
          <w:sz w:val="44"/>
          <w:szCs w:val="44"/>
          <w:highlight w:val="none"/>
          <w:lang w:val="en-US" w:eastAsia="zh-CN"/>
        </w:rPr>
        <w:t>2026年度消防技术服务机构采购项目</w:t>
      </w:r>
    </w:p>
    <w:p w14:paraId="6734C7BB">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r>
        <w:rPr>
          <w:rFonts w:hint="eastAsia" w:ascii="仿宋" w:hAnsi="仿宋" w:eastAsia="仿宋" w:cs="仿宋"/>
          <w:b/>
          <w:bCs/>
          <w:color w:val="auto"/>
          <w:kern w:val="0"/>
          <w:sz w:val="44"/>
          <w:szCs w:val="44"/>
          <w:highlight w:val="none"/>
          <w:lang w:val="en-US" w:eastAsia="zh-CN"/>
        </w:rPr>
        <w:t>（一标段）</w:t>
      </w:r>
    </w:p>
    <w:p w14:paraId="37815EB5">
      <w:pPr>
        <w:autoSpaceDE w:val="0"/>
        <w:autoSpaceDN w:val="0"/>
        <w:adjustRightInd w:val="0"/>
        <w:snapToGrid w:val="0"/>
        <w:spacing w:line="360" w:lineRule="auto"/>
        <w:jc w:val="both"/>
        <w:rPr>
          <w:rFonts w:hint="eastAsia" w:ascii="仿宋" w:hAnsi="仿宋" w:eastAsia="仿宋" w:cs="仿宋"/>
          <w:b/>
          <w:bCs/>
          <w:color w:val="auto"/>
          <w:kern w:val="0"/>
          <w:sz w:val="72"/>
          <w:szCs w:val="72"/>
          <w:highlight w:val="none"/>
          <w:lang w:val="en-US" w:eastAsia="zh-CN"/>
        </w:rPr>
      </w:pPr>
    </w:p>
    <w:p w14:paraId="3F29166E">
      <w:pPr>
        <w:pStyle w:val="2"/>
        <w:rPr>
          <w:rFonts w:hint="eastAsia"/>
          <w:lang w:val="en-US" w:eastAsia="zh-CN"/>
        </w:rPr>
      </w:pPr>
    </w:p>
    <w:p w14:paraId="0C6333F1">
      <w:pPr>
        <w:autoSpaceDE w:val="0"/>
        <w:autoSpaceDN w:val="0"/>
        <w:adjustRightInd w:val="0"/>
        <w:snapToGrid w:val="0"/>
        <w:spacing w:line="360" w:lineRule="auto"/>
        <w:jc w:val="both"/>
        <w:rPr>
          <w:rFonts w:hint="eastAsia" w:ascii="仿宋" w:hAnsi="仿宋" w:eastAsia="仿宋" w:cs="仿宋"/>
          <w:b/>
          <w:bCs/>
          <w:color w:val="auto"/>
          <w:kern w:val="0"/>
          <w:sz w:val="72"/>
          <w:szCs w:val="72"/>
          <w:highlight w:val="none"/>
          <w:lang w:val="en-US" w:eastAsia="zh-CN"/>
        </w:rPr>
      </w:pPr>
    </w:p>
    <w:p w14:paraId="391F6DEA">
      <w:pPr>
        <w:autoSpaceDE w:val="0"/>
        <w:autoSpaceDN w:val="0"/>
        <w:adjustRightInd w:val="0"/>
        <w:snapToGrid w:val="0"/>
        <w:spacing w:line="360" w:lineRule="auto"/>
        <w:jc w:val="center"/>
        <w:rPr>
          <w:rFonts w:hint="eastAsia" w:ascii="仿宋" w:hAnsi="仿宋" w:eastAsia="仿宋" w:cs="仿宋"/>
        </w:rPr>
      </w:pPr>
      <w:r>
        <w:rPr>
          <w:rFonts w:hint="eastAsia" w:ascii="仿宋" w:hAnsi="仿宋" w:eastAsia="仿宋" w:cs="仿宋"/>
          <w:b/>
          <w:bCs/>
          <w:color w:val="auto"/>
          <w:kern w:val="0"/>
          <w:sz w:val="72"/>
          <w:szCs w:val="72"/>
          <w:highlight w:val="none"/>
          <w:lang w:val="en-US" w:eastAsia="zh-CN"/>
        </w:rPr>
        <w:t>合 同 文 件</w:t>
      </w:r>
    </w:p>
    <w:p w14:paraId="49AEA907">
      <w:pPr>
        <w:spacing w:before="101" w:line="622" w:lineRule="exact"/>
        <w:ind w:left="1939"/>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pPr>
    </w:p>
    <w:p w14:paraId="6D015AF6">
      <w:pPr>
        <w:pStyle w:val="2"/>
        <w:rPr>
          <w:rFonts w:hint="eastAsia"/>
        </w:rPr>
      </w:pPr>
    </w:p>
    <w:p w14:paraId="6D4EC007">
      <w:pPr>
        <w:spacing w:before="101" w:line="622" w:lineRule="exact"/>
        <w:ind w:left="1939"/>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pPr>
    </w:p>
    <w:p w14:paraId="707FBA24">
      <w:pPr>
        <w:pStyle w:val="2"/>
        <w:rPr>
          <w:rFonts w:hint="eastAsia"/>
        </w:rPr>
      </w:pPr>
    </w:p>
    <w:p w14:paraId="5170FA25">
      <w:pPr>
        <w:spacing w:before="101" w:line="622" w:lineRule="exact"/>
        <w:ind w:left="1939"/>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pPr>
    </w:p>
    <w:p w14:paraId="2E4B62A9">
      <w:pPr>
        <w:spacing w:before="101" w:line="622" w:lineRule="exact"/>
        <w:ind w:left="1939"/>
        <w:rPr>
          <w:rFonts w:hint="eastAsia" w:ascii="仿宋" w:hAnsi="仿宋" w:eastAsia="仿宋" w:cs="仿宋"/>
          <w:sz w:val="31"/>
          <w:szCs w:val="31"/>
        </w:rPr>
      </w:pPr>
      <w:r>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t>委托方：西安市雁塔区住房和城乡建设局</w:t>
      </w:r>
    </w:p>
    <w:p w14:paraId="0747BFCF">
      <w:pPr>
        <w:spacing w:before="101" w:line="622" w:lineRule="exact"/>
        <w:ind w:left="1939"/>
        <w:rPr>
          <w:rFonts w:hint="eastAsia" w:ascii="仿宋" w:hAnsi="仿宋" w:eastAsia="仿宋" w:cs="仿宋"/>
          <w:spacing w:val="9"/>
          <w:position w:val="22"/>
          <w:sz w:val="31"/>
          <w:szCs w:val="31"/>
          <w:lang w:val="en-US" w:eastAsia="zh-CN"/>
          <w14:textOutline w14:w="5793" w14:cap="sq" w14:cmpd="sng">
            <w14:solidFill>
              <w14:srgbClr w14:val="000000"/>
            </w14:solidFill>
            <w14:prstDash w14:val="solid"/>
            <w14:bevel/>
          </w14:textOutline>
        </w:rPr>
      </w:pPr>
      <w:r>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t>受托方：</w:t>
      </w:r>
    </w:p>
    <w:p w14:paraId="629EB06B">
      <w:pPr>
        <w:adjustRightInd w:val="0"/>
        <w:snapToGrid w:val="0"/>
        <w:spacing w:line="360" w:lineRule="auto"/>
        <w:jc w:val="center"/>
        <w:rPr>
          <w:rFonts w:hint="eastAsia" w:ascii="仿宋" w:hAnsi="仿宋" w:eastAsia="仿宋" w:cs="仿宋"/>
          <w:spacing w:val="3"/>
          <w:sz w:val="31"/>
          <w:szCs w:val="31"/>
          <w14:textOutline w14:w="5793" w14:cap="sq" w14:cmpd="sng">
            <w14:solidFill>
              <w14:srgbClr w14:val="000000"/>
            </w14:solidFill>
            <w14:prstDash w14:val="solid"/>
            <w14:bevel/>
          </w14:textOutline>
        </w:rPr>
      </w:pPr>
      <w:r>
        <w:rPr>
          <w:rFonts w:hint="eastAsia" w:ascii="仿宋" w:hAnsi="仿宋" w:eastAsia="仿宋" w:cs="仿宋"/>
          <w:spacing w:val="3"/>
          <w:sz w:val="31"/>
          <w:szCs w:val="31"/>
          <w14:textOutline w14:w="5793" w14:cap="sq" w14:cmpd="sng">
            <w14:solidFill>
              <w14:srgbClr w14:val="000000"/>
            </w14:solidFill>
            <w14:prstDash w14:val="solid"/>
            <w14:bevel/>
          </w14:textOutline>
        </w:rPr>
        <w:t>二〇二</w:t>
      </w:r>
      <w:r>
        <w:rPr>
          <w:rFonts w:hint="eastAsia" w:ascii="仿宋" w:hAnsi="仿宋" w:eastAsia="仿宋" w:cs="仿宋"/>
          <w:spacing w:val="3"/>
          <w:sz w:val="31"/>
          <w:szCs w:val="31"/>
          <w:lang w:val="en-US" w:eastAsia="zh-CN"/>
          <w14:textOutline w14:w="5793" w14:cap="sq" w14:cmpd="sng">
            <w14:solidFill>
              <w14:srgbClr w14:val="000000"/>
            </w14:solidFill>
            <w14:prstDash w14:val="solid"/>
            <w14:bevel/>
          </w14:textOutline>
        </w:rPr>
        <w:t>六</w:t>
      </w:r>
      <w:r>
        <w:rPr>
          <w:rFonts w:hint="eastAsia" w:ascii="仿宋" w:hAnsi="仿宋" w:eastAsia="仿宋" w:cs="仿宋"/>
          <w:spacing w:val="3"/>
          <w:sz w:val="31"/>
          <w:szCs w:val="31"/>
          <w14:textOutline w14:w="5793" w14:cap="sq" w14:cmpd="sng">
            <w14:solidFill>
              <w14:srgbClr w14:val="000000"/>
            </w14:solidFill>
            <w14:prstDash w14:val="solid"/>
            <w14:bevel/>
          </w14:textOutline>
        </w:rPr>
        <w:t>年</w:t>
      </w:r>
      <w:r>
        <w:rPr>
          <w:rFonts w:hint="eastAsia" w:ascii="仿宋" w:hAnsi="仿宋" w:eastAsia="仿宋" w:cs="仿宋"/>
          <w:spacing w:val="-150"/>
          <w:sz w:val="31"/>
          <w:szCs w:val="31"/>
        </w:rPr>
        <w:t xml:space="preserve"> </w:t>
      </w:r>
      <w:r>
        <w:rPr>
          <w:rFonts w:hint="eastAsia" w:ascii="仿宋" w:hAnsi="仿宋" w:eastAsia="仿宋" w:cs="仿宋"/>
          <w:spacing w:val="5"/>
          <w:sz w:val="31"/>
          <w:szCs w:val="31"/>
          <w:u w:val="single" w:color="auto"/>
        </w:rPr>
        <w:t xml:space="preserve">   </w:t>
      </w:r>
      <w:r>
        <w:rPr>
          <w:rFonts w:hint="eastAsia" w:ascii="仿宋" w:hAnsi="仿宋" w:eastAsia="仿宋" w:cs="仿宋"/>
          <w:spacing w:val="-117"/>
          <w:sz w:val="31"/>
          <w:szCs w:val="31"/>
        </w:rPr>
        <w:t xml:space="preserve"> </w:t>
      </w:r>
      <w:r>
        <w:rPr>
          <w:rFonts w:hint="eastAsia" w:ascii="仿宋" w:hAnsi="仿宋" w:eastAsia="仿宋" w:cs="仿宋"/>
          <w:spacing w:val="3"/>
          <w:sz w:val="31"/>
          <w:szCs w:val="31"/>
          <w14:textOutline w14:w="5793" w14:cap="sq" w14:cmpd="sng">
            <w14:solidFill>
              <w14:srgbClr w14:val="000000"/>
            </w14:solidFill>
            <w14:prstDash w14:val="solid"/>
            <w14:bevel/>
          </w14:textOutline>
        </w:rPr>
        <w:t>月</w:t>
      </w:r>
    </w:p>
    <w:p w14:paraId="4A6C0287">
      <w:pPr>
        <w:spacing w:before="120" w:beforeLines="50" w:after="120" w:afterLines="50" w:line="360" w:lineRule="auto"/>
        <w:jc w:val="left"/>
        <w:rPr>
          <w:rFonts w:hint="eastAsia" w:ascii="仿宋" w:hAnsi="仿宋" w:eastAsia="仿宋" w:cs="仿宋"/>
          <w:sz w:val="24"/>
          <w:szCs w:val="24"/>
          <w:highlight w:val="none"/>
          <w:u w:val="single"/>
        </w:rPr>
      </w:pPr>
      <w:r>
        <w:rPr>
          <w:rFonts w:hint="eastAsia" w:ascii="仿宋" w:hAnsi="仿宋" w:eastAsia="仿宋" w:cs="仿宋"/>
          <w:b/>
          <w:bCs/>
          <w:sz w:val="24"/>
          <w:szCs w:val="24"/>
          <w:highlight w:val="none"/>
        </w:rPr>
        <w:t xml:space="preserve">委托方（甲方）： </w:t>
      </w:r>
    </w:p>
    <w:p w14:paraId="5FCF766F">
      <w:pPr>
        <w:spacing w:before="120" w:beforeLines="50" w:after="120" w:afterLines="50"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受托方（乙方）： </w:t>
      </w:r>
    </w:p>
    <w:p w14:paraId="4B9E1484">
      <w:pPr>
        <w:spacing w:line="360" w:lineRule="auto"/>
        <w:ind w:firstLine="562"/>
        <w:jc w:val="left"/>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甲方委托乙方承担</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服务工作，经双方协商一致，签订本合同。</w:t>
      </w:r>
    </w:p>
    <w:p w14:paraId="38B54D34">
      <w:pPr>
        <w:spacing w:before="120" w:beforeLines="50" w:after="120" w:afterLines="50" w:line="360" w:lineRule="auto"/>
        <w:rPr>
          <w:rFonts w:hint="eastAsia" w:ascii="仿宋" w:hAnsi="仿宋" w:eastAsia="仿宋" w:cs="仿宋"/>
          <w:b/>
          <w:color w:val="000000"/>
          <w:sz w:val="24"/>
          <w:szCs w:val="24"/>
          <w:highlight w:val="none"/>
          <w:lang w:eastAsia="zh-CN"/>
        </w:rPr>
      </w:pPr>
      <w:r>
        <w:rPr>
          <w:rFonts w:hint="eastAsia" w:ascii="仿宋" w:hAnsi="仿宋" w:eastAsia="仿宋" w:cs="仿宋"/>
          <w:b/>
          <w:color w:val="000000"/>
          <w:sz w:val="24"/>
          <w:szCs w:val="24"/>
          <w:highlight w:val="none"/>
        </w:rPr>
        <w:t xml:space="preserve">第一条 </w:t>
      </w:r>
      <w:r>
        <w:rPr>
          <w:rFonts w:hint="eastAsia" w:ascii="仿宋" w:hAnsi="仿宋" w:eastAsia="仿宋" w:cs="仿宋"/>
          <w:b/>
          <w:color w:val="000000"/>
          <w:sz w:val="24"/>
          <w:szCs w:val="24"/>
          <w:highlight w:val="none"/>
          <w:lang w:eastAsia="zh-CN"/>
        </w:rPr>
        <w:t>合同约定的内容</w:t>
      </w:r>
    </w:p>
    <w:p w14:paraId="1AF774F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lang w:eastAsia="zh-CN"/>
        </w:rPr>
        <w:t>服务期限：本合同有效期自合同签订之日起一年。</w:t>
      </w:r>
    </w:p>
    <w:p w14:paraId="57C14465">
      <w:pPr>
        <w:spacing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1.2服务地点：西安市雁塔区</w:t>
      </w:r>
    </w:p>
    <w:p w14:paraId="0EB99D82">
      <w:pPr>
        <w:spacing w:before="120" w:beforeLines="50" w:after="120" w:afterLines="50" w:line="360" w:lineRule="auto"/>
        <w:rPr>
          <w:rFonts w:hint="eastAsia" w:ascii="仿宋" w:hAnsi="仿宋" w:eastAsia="仿宋" w:cs="仿宋"/>
          <w:b/>
          <w:sz w:val="24"/>
          <w:szCs w:val="24"/>
          <w:highlight w:val="none"/>
        </w:rPr>
      </w:pPr>
      <w:r>
        <w:rPr>
          <w:rFonts w:hint="eastAsia" w:ascii="仿宋" w:hAnsi="仿宋" w:eastAsia="仿宋" w:cs="仿宋"/>
          <w:b/>
          <w:color w:val="000000"/>
          <w:sz w:val="24"/>
          <w:szCs w:val="24"/>
          <w:highlight w:val="none"/>
        </w:rPr>
        <w:t xml:space="preserve">第二条 </w:t>
      </w:r>
      <w:r>
        <w:rPr>
          <w:rFonts w:hint="eastAsia" w:ascii="仿宋" w:hAnsi="仿宋" w:eastAsia="仿宋" w:cs="仿宋"/>
          <w:b/>
          <w:sz w:val="24"/>
          <w:szCs w:val="24"/>
          <w:highlight w:val="none"/>
        </w:rPr>
        <w:t>合同金额</w:t>
      </w:r>
    </w:p>
    <w:p w14:paraId="38ECA746">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2.1</w:t>
      </w:r>
      <w:r>
        <w:rPr>
          <w:rFonts w:hint="eastAsia" w:ascii="仿宋" w:hAnsi="仿宋" w:eastAsia="仿宋" w:cs="仿宋"/>
          <w:bCs/>
          <w:sz w:val="24"/>
          <w:szCs w:val="24"/>
          <w:highlight w:val="none"/>
        </w:rPr>
        <w:t>合同金额(总价):</w:t>
      </w:r>
    </w:p>
    <w:p w14:paraId="1A679BCA">
      <w:pPr>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rPr>
        <w:t xml:space="preserve">人民币(大写): </w:t>
      </w:r>
      <w:r>
        <w:rPr>
          <w:rFonts w:hint="eastAsia" w:ascii="仿宋" w:hAnsi="仿宋" w:eastAsia="仿宋" w:cs="仿宋"/>
          <w:bCs/>
          <w:sz w:val="24"/>
          <w:szCs w:val="24"/>
          <w:highlight w:val="none"/>
          <w:lang w:val="en-US" w:eastAsia="zh-CN"/>
        </w:rPr>
        <w:t xml:space="preserve"> </w:t>
      </w:r>
    </w:p>
    <w:p w14:paraId="16DE097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bCs/>
          <w:sz w:val="24"/>
          <w:szCs w:val="24"/>
          <w:highlight w:val="none"/>
        </w:rPr>
        <w:t xml:space="preserve">人民币(小写): </w:t>
      </w:r>
      <w:r>
        <w:rPr>
          <w:rFonts w:hint="eastAsia" w:ascii="仿宋" w:hAnsi="仿宋" w:eastAsia="仿宋" w:cs="仿宋"/>
          <w:bCs/>
          <w:sz w:val="24"/>
          <w:szCs w:val="24"/>
          <w:highlight w:val="none"/>
          <w:lang w:val="en-US" w:eastAsia="zh-CN"/>
        </w:rPr>
        <w:t xml:space="preserve"> </w:t>
      </w:r>
    </w:p>
    <w:p w14:paraId="055AA3B7">
      <w:pPr>
        <w:spacing w:before="120" w:beforeLines="50" w:after="120" w:afterLines="50" w:line="360" w:lineRule="auto"/>
        <w:rPr>
          <w:rFonts w:hint="eastAsia" w:ascii="仿宋" w:hAnsi="仿宋" w:eastAsia="仿宋" w:cs="仿宋"/>
          <w:b/>
          <w:color w:val="000000"/>
          <w:sz w:val="24"/>
          <w:szCs w:val="24"/>
          <w:highlight w:val="none"/>
          <w:lang w:val="en-US" w:eastAsia="zh-CN"/>
        </w:rPr>
      </w:pPr>
      <w:r>
        <w:rPr>
          <w:rFonts w:hint="eastAsia" w:ascii="仿宋" w:hAnsi="仿宋" w:eastAsia="仿宋" w:cs="仿宋"/>
          <w:b/>
          <w:color w:val="000000"/>
          <w:sz w:val="24"/>
          <w:szCs w:val="24"/>
          <w:highlight w:val="none"/>
          <w:lang w:val="en-US" w:eastAsia="zh-CN"/>
        </w:rPr>
        <w:t>第三条、服务内容</w:t>
      </w:r>
    </w:p>
    <w:p w14:paraId="605F72D5">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3.1消防安全协查。协助雁塔区消防主管部门进行日常消防安全检查，提供专业技术支持，待项目整改完成后现场复核。对省、市、开发区、行业部门反馈的线索，投诉信访的项目，协助甲方完成现场核实、查看，整理报送甲方处理。</w:t>
      </w:r>
    </w:p>
    <w:p w14:paraId="39D65372">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3.2按照甲方要求，协助其开展区域管辖内甲方所指定的查验项目，依法依规进行现场消防查验、测试等并形成服务报告及时反馈甲方。</w:t>
      </w:r>
    </w:p>
    <w:p w14:paraId="391476C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3.3协助甲方开展其他消防技术服务相关工作。</w:t>
      </w:r>
    </w:p>
    <w:p w14:paraId="4C462F77">
      <w:pPr>
        <w:spacing w:before="120" w:beforeLines="50" w:after="120" w:afterLines="50" w:line="360" w:lineRule="auto"/>
        <w:rPr>
          <w:rFonts w:hint="eastAsia" w:ascii="仿宋" w:hAnsi="仿宋" w:eastAsia="仿宋" w:cs="仿宋"/>
          <w:b/>
          <w:color w:val="000000"/>
          <w:sz w:val="24"/>
          <w:szCs w:val="24"/>
          <w:highlight w:val="none"/>
          <w:lang w:val="en-US" w:eastAsia="zh-CN"/>
        </w:rPr>
      </w:pPr>
      <w:r>
        <w:rPr>
          <w:rFonts w:hint="eastAsia" w:ascii="仿宋" w:hAnsi="仿宋" w:eastAsia="仿宋" w:cs="仿宋"/>
          <w:b/>
          <w:color w:val="000000"/>
          <w:sz w:val="24"/>
          <w:szCs w:val="24"/>
          <w:highlight w:val="none"/>
          <w:lang w:val="en-US" w:eastAsia="zh-CN"/>
        </w:rPr>
        <w:t>第四条、支付约定</w:t>
      </w:r>
    </w:p>
    <w:p w14:paraId="04C9051F">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4.1支付方式：①自合同签订之日起每季度据实结算，其余费用于服务期满后30日内，根据实际服务次数及考核结果结算，但以上总费用不超过300000元/年。</w:t>
      </w:r>
    </w:p>
    <w:p w14:paraId="00C6693F">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②付款依据：乙方提供等额发票。</w:t>
      </w:r>
    </w:p>
    <w:p w14:paraId="5F4D6AE8">
      <w:pPr>
        <w:spacing w:before="120" w:beforeLines="50" w:after="120" w:afterLines="50" w:line="360" w:lineRule="auto"/>
        <w:rPr>
          <w:rFonts w:hint="eastAsia" w:ascii="仿宋" w:hAnsi="仿宋" w:eastAsia="仿宋" w:cs="仿宋"/>
          <w:b/>
          <w:color w:val="000000"/>
          <w:sz w:val="24"/>
          <w:szCs w:val="24"/>
          <w:highlight w:val="none"/>
          <w:lang w:val="en-US" w:eastAsia="zh-CN"/>
        </w:rPr>
      </w:pPr>
      <w:r>
        <w:rPr>
          <w:rFonts w:hint="eastAsia" w:ascii="仿宋" w:hAnsi="仿宋" w:eastAsia="仿宋" w:cs="仿宋"/>
          <w:b/>
          <w:color w:val="000000"/>
          <w:sz w:val="24"/>
          <w:szCs w:val="24"/>
          <w:highlight w:val="none"/>
          <w:lang w:val="en-US" w:eastAsia="zh-CN"/>
        </w:rPr>
        <w:t>第五条、甲乙双方的权利、义务</w:t>
      </w:r>
    </w:p>
    <w:p w14:paraId="79EA2C7E">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5.1甲方</w:t>
      </w:r>
    </w:p>
    <w:p w14:paraId="38A645E2">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5.1.1甲方应负责有关配合和协调工作，为乙方提供方便；</w:t>
      </w:r>
    </w:p>
    <w:p w14:paraId="1B22A26C">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5.1.2甲方按约定期限支付合同价款；</w:t>
      </w:r>
    </w:p>
    <w:p w14:paraId="03495561">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5.1.3甲方按项目具体情况提供乙方所需材料，甲方协助乙方完成资料、 文件收集工作，并对其完整性、正确性及时限性负责，甲方不得要求乙方违反国家有关标准。</w:t>
      </w:r>
    </w:p>
    <w:p w14:paraId="2BEEBFCF">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5.1.4甲方变更委托项目、规模、条件或因提交资料的错误，或所提交的资料作重大修改，以至造成乙方返工时，双方除需另行协商补充协议、 重新明确有关条款外，还需根据乙方所耗工作量调整成果报告。</w:t>
      </w:r>
    </w:p>
    <w:p w14:paraId="58384E38">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5.1.5如乙方交付成果，经甲方审核连续3次不能通过的，甲方有权单方解除合同，并依据有关规定向乙方主张违约责任。</w:t>
      </w:r>
    </w:p>
    <w:p w14:paraId="558B856B">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5.2乙方</w:t>
      </w:r>
    </w:p>
    <w:p w14:paraId="237359E6">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5.2.1乙方所指派的项目负责人，在合同履行中未经甲方同意不得擅自更换他人。</w:t>
      </w:r>
    </w:p>
    <w:p w14:paraId="17205AC8">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5.2.2科学、公正地进行质量巡查工作，客观、真实地反映工程质量，对质量巡查的客观真实性负责。</w:t>
      </w:r>
    </w:p>
    <w:p w14:paraId="6B4E23E7">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5.2.3独立地按相关标准规范进行质量巡查。</w:t>
      </w:r>
    </w:p>
    <w:p w14:paraId="44CBE170">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5.2.4及时向甲方通报有关服务的重大事项，接受甲方对服务内容和质量标准的监督。</w:t>
      </w:r>
    </w:p>
    <w:p w14:paraId="48424A36">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5.2.5未经甲方同意，乙方单位不得擅自变更本服务在磋商文件中认定的服务范围。</w:t>
      </w:r>
    </w:p>
    <w:p w14:paraId="3DCBFDBB">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5.2.6乙方承包期间应遵守《劳动法》及相关法律、法规，所聘用的工作人员所发生的社保、医保及工伤等一切费用及责任均由乙方承担。乙方工作人员必须严格执行安全操作规程，加强安全防护，出现安全事故责任和费用均由乙方承担。</w:t>
      </w:r>
    </w:p>
    <w:p w14:paraId="4D8D6AB6">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5.2.7乙方所交成果不符合国家法律法规和合同规定的，甲方有权拒收， 并由乙方承担一切费用。</w:t>
      </w:r>
    </w:p>
    <w:p w14:paraId="1C797095">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5.2.8乙方需保证本成果或其授予的权利不会侵犯任何第三人的知识产 权或其他权利，也没有其他针对乙方拥有本成果权利的未决诉讼，或甲方行使乙方所提供的成果权利会侵犯任何第三人的合法权利。</w:t>
      </w:r>
    </w:p>
    <w:p w14:paraId="41AB60B2">
      <w:pPr>
        <w:spacing w:before="120" w:beforeLines="50" w:after="120" w:afterLines="50"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第六条、甲乙双方的违约责任</w:t>
      </w:r>
    </w:p>
    <w:p w14:paraId="5BB4FFE0">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6.1甲乙双方如出现违约的，违约方自违约之日起，每日按合同暂定金额的1‰向对方承担违约责任并且及时采取有效补救措施，违约金总额不超过本合同金额的5%,并继续履行本合同所规定的义务。</w:t>
      </w:r>
    </w:p>
    <w:p w14:paraId="1DE6212C">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6.2乙方违约超过15日的，则甲方有权解除合同，乙方应依甲方要求并按合同金额的5%向甲方承担违约责任，并将工作资料、已取得工作成果和其他相关的资料一并移交甲方，乙方不得以任何理由拒绝或拖延 提交有关资料，或提供不真实、不准确、不完整的资料。</w:t>
      </w:r>
    </w:p>
    <w:p w14:paraId="52EFBE68">
      <w:pPr>
        <w:spacing w:before="120" w:beforeLines="50" w:after="120" w:afterLines="50"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第七条、合同变更与终止</w:t>
      </w:r>
    </w:p>
    <w:p w14:paraId="472EBD38">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7.1合同期间任何一方不得随意终止合同。</w:t>
      </w:r>
    </w:p>
    <w:p w14:paraId="40482EE5">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7.2本合同规定的履行期限届满，合同自动终止。</w:t>
      </w:r>
    </w:p>
    <w:p w14:paraId="1FD95C78">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7.3因双方机构撤并、职能调整等原因，确系需终止合同的，双方可协商终止合同。</w:t>
      </w:r>
    </w:p>
    <w:p w14:paraId="4CE104D5">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7.4乙方应自觉遵守甲方工作纪律、规章制度，服从甲方管理。因乙方原因给甲方造成严重后果，甲方可以单方面解除合同。 </w:t>
      </w:r>
    </w:p>
    <w:p w14:paraId="4F0C3AA6">
      <w:pPr>
        <w:spacing w:before="120" w:beforeLines="50" w:after="120" w:afterLines="50" w:line="360" w:lineRule="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第八条、不可抗力</w:t>
      </w:r>
    </w:p>
    <w:p w14:paraId="466C0282">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09822CCE">
      <w:pPr>
        <w:spacing w:before="120" w:beforeLines="50" w:after="120" w:afterLines="50" w:line="360" w:lineRule="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第九条、争议解决</w:t>
      </w:r>
    </w:p>
    <w:p w14:paraId="6A87F16D">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双方本着友好合作的态度，对合同履行过程中发生的纠纷应及时协商解决，协商不成的，向甲方所在地有管辖权的人民法院诉讼解决。</w:t>
      </w:r>
    </w:p>
    <w:p w14:paraId="1C04A96F">
      <w:pPr>
        <w:spacing w:before="120" w:beforeLines="50" w:after="120" w:afterLines="50"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第十条、监督和管理</w:t>
      </w:r>
    </w:p>
    <w:p w14:paraId="732FDDD1">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10.1政府采购合同履行中，采购人需追加与合同标的相同的货物、工  程或者服务的，在不改变合同其他条款的前提下，可以与供应商协商签  订补充合同，但所有补充合同的采购金额不得超过原合同采购金额的10%。</w:t>
      </w:r>
    </w:p>
    <w:p w14:paraId="2B31ACAC">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10.2甲乙双方均应自觉配合有关监督管理部门对合同履行情况的监督 检查，如实反映情况，提供有关资料；否则，将对有关单位、当事人按 照有关规定予以处罚。</w:t>
      </w:r>
    </w:p>
    <w:p w14:paraId="642ACED0">
      <w:pPr>
        <w:spacing w:before="120" w:beforeLines="50" w:after="120" w:afterLines="50"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第十一条、无效合同</w:t>
      </w:r>
    </w:p>
    <w:p w14:paraId="45000595">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甲乙双方如因违反政府采购法及相关法律法规的规定，被宣告合同 无效的，一切责任概由过错方自行承担。</w:t>
      </w:r>
    </w:p>
    <w:p w14:paraId="7EA4310C">
      <w:pPr>
        <w:spacing w:before="120" w:beforeLines="50" w:after="120" w:afterLines="50"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第十二条、附 则</w:t>
      </w:r>
    </w:p>
    <w:p w14:paraId="603425D7">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12.1本合同未尽事宜，双方另行协商解决。</w:t>
      </w:r>
    </w:p>
    <w:p w14:paraId="1F58E6C0">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12.2本合同一式</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lang w:val="en-US" w:eastAsia="zh-CN" w:bidi="ar-SA"/>
        </w:rPr>
        <w:t>份 ，甲乙双方各执</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lang w:val="en-US" w:eastAsia="zh-CN" w:bidi="ar-SA"/>
        </w:rPr>
        <w:t>份。</w:t>
      </w:r>
    </w:p>
    <w:p w14:paraId="192BF179">
      <w:pPr>
        <w:pStyle w:val="5"/>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12.3本合同自签订之日起生效。</w:t>
      </w:r>
    </w:p>
    <w:p w14:paraId="58ED4A9C">
      <w:pPr>
        <w:spacing w:line="360" w:lineRule="auto"/>
        <w:jc w:val="left"/>
        <w:rPr>
          <w:rFonts w:hint="eastAsia" w:ascii="仿宋" w:hAnsi="仿宋" w:eastAsia="仿宋" w:cs="仿宋"/>
          <w:b/>
          <w:sz w:val="24"/>
          <w:szCs w:val="24"/>
          <w:highlight w:val="none"/>
        </w:rPr>
      </w:pPr>
    </w:p>
    <w:p w14:paraId="0CCD1A00">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甲方（盖章）：                            乙方（盖章）：</w:t>
      </w:r>
    </w:p>
    <w:p w14:paraId="3AC65A5C">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法定代表人（签字）:                      法定代表人（签字）:</w:t>
      </w:r>
    </w:p>
    <w:p w14:paraId="0A15FB7F">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 xml:space="preserve">授权代表（签字）：                        授权代表（签字）： </w:t>
      </w:r>
    </w:p>
    <w:p w14:paraId="7104A73A">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单位地址：                              单位地址：</w:t>
      </w:r>
    </w:p>
    <w:p w14:paraId="2091A3BC">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开户银行：                              开 户 行:</w:t>
      </w:r>
    </w:p>
    <w:p w14:paraId="2A6BBB39">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银行帐号：                               银行帐号：</w:t>
      </w:r>
    </w:p>
    <w:p w14:paraId="3CD85B8A">
      <w:pPr>
        <w:spacing w:line="360" w:lineRule="auto"/>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签订日期：    年   月   日               签订日期：    年   月   日 </w:t>
      </w:r>
    </w:p>
    <w:p w14:paraId="35CFDA12">
      <w:r>
        <w:br w:type="page"/>
      </w:r>
    </w:p>
    <w:p w14:paraId="3C069F6A">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p>
    <w:p w14:paraId="7CC7D73E">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p>
    <w:p w14:paraId="1CC96B36">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r>
        <w:rPr>
          <w:rFonts w:hint="eastAsia" w:ascii="仿宋" w:hAnsi="仿宋" w:eastAsia="仿宋" w:cs="仿宋"/>
          <w:b/>
          <w:bCs/>
          <w:color w:val="auto"/>
          <w:kern w:val="0"/>
          <w:sz w:val="44"/>
          <w:szCs w:val="44"/>
          <w:highlight w:val="none"/>
          <w:lang w:val="en-US" w:eastAsia="zh-CN"/>
        </w:rPr>
        <w:t>西安市雁塔区住房和城乡建设局</w:t>
      </w:r>
    </w:p>
    <w:p w14:paraId="192A9831">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r>
        <w:rPr>
          <w:rFonts w:hint="eastAsia" w:ascii="仿宋" w:hAnsi="仿宋" w:eastAsia="仿宋" w:cs="仿宋"/>
          <w:b/>
          <w:bCs/>
          <w:color w:val="auto"/>
          <w:kern w:val="0"/>
          <w:sz w:val="44"/>
          <w:szCs w:val="44"/>
          <w:highlight w:val="none"/>
          <w:lang w:val="en-US" w:eastAsia="zh-CN"/>
        </w:rPr>
        <w:t>2026年度消防技术服务机构采购项目</w:t>
      </w:r>
    </w:p>
    <w:p w14:paraId="6BDD7E93">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r>
        <w:rPr>
          <w:rFonts w:hint="eastAsia" w:ascii="仿宋" w:hAnsi="仿宋" w:eastAsia="仿宋" w:cs="仿宋"/>
          <w:b/>
          <w:bCs/>
          <w:color w:val="auto"/>
          <w:kern w:val="0"/>
          <w:sz w:val="44"/>
          <w:szCs w:val="44"/>
          <w:highlight w:val="none"/>
          <w:lang w:val="en-US" w:eastAsia="zh-CN"/>
        </w:rPr>
        <w:t>（二标段）</w:t>
      </w:r>
    </w:p>
    <w:p w14:paraId="38D4E5AE">
      <w:pPr>
        <w:autoSpaceDE w:val="0"/>
        <w:autoSpaceDN w:val="0"/>
        <w:adjustRightInd w:val="0"/>
        <w:snapToGrid w:val="0"/>
        <w:spacing w:line="360" w:lineRule="auto"/>
        <w:jc w:val="both"/>
        <w:rPr>
          <w:rFonts w:hint="eastAsia" w:ascii="仿宋" w:hAnsi="仿宋" w:eastAsia="仿宋" w:cs="仿宋"/>
          <w:b/>
          <w:bCs/>
          <w:color w:val="auto"/>
          <w:kern w:val="0"/>
          <w:sz w:val="72"/>
          <w:szCs w:val="72"/>
          <w:highlight w:val="none"/>
          <w:lang w:val="en-US" w:eastAsia="zh-CN"/>
        </w:rPr>
      </w:pPr>
    </w:p>
    <w:p w14:paraId="54570FE9">
      <w:pPr>
        <w:pStyle w:val="2"/>
        <w:rPr>
          <w:rFonts w:hint="eastAsia"/>
          <w:lang w:val="en-US" w:eastAsia="zh-CN"/>
        </w:rPr>
      </w:pPr>
    </w:p>
    <w:p w14:paraId="75A06C55">
      <w:pPr>
        <w:rPr>
          <w:rFonts w:hint="eastAsia"/>
          <w:lang w:val="en-US" w:eastAsia="zh-CN"/>
        </w:rPr>
      </w:pPr>
    </w:p>
    <w:p w14:paraId="1061B997">
      <w:pPr>
        <w:pStyle w:val="2"/>
        <w:rPr>
          <w:rFonts w:hint="eastAsia" w:ascii="仿宋" w:hAnsi="仿宋" w:eastAsia="仿宋" w:cs="仿宋"/>
          <w:lang w:val="en-US" w:eastAsia="zh-CN"/>
        </w:rPr>
      </w:pPr>
    </w:p>
    <w:p w14:paraId="6AA93216">
      <w:pPr>
        <w:autoSpaceDE w:val="0"/>
        <w:autoSpaceDN w:val="0"/>
        <w:adjustRightInd w:val="0"/>
        <w:snapToGrid w:val="0"/>
        <w:spacing w:line="360" w:lineRule="auto"/>
        <w:jc w:val="center"/>
        <w:rPr>
          <w:rFonts w:hint="eastAsia" w:ascii="仿宋" w:hAnsi="仿宋" w:eastAsia="仿宋" w:cs="仿宋"/>
        </w:rPr>
      </w:pPr>
      <w:r>
        <w:rPr>
          <w:rFonts w:hint="eastAsia" w:ascii="仿宋" w:hAnsi="仿宋" w:eastAsia="仿宋" w:cs="仿宋"/>
          <w:b/>
          <w:bCs/>
          <w:color w:val="auto"/>
          <w:kern w:val="0"/>
          <w:sz w:val="72"/>
          <w:szCs w:val="72"/>
          <w:highlight w:val="none"/>
          <w:lang w:val="en-US" w:eastAsia="zh-CN"/>
        </w:rPr>
        <w:t>合 同 文 件</w:t>
      </w:r>
    </w:p>
    <w:p w14:paraId="79E61367">
      <w:pPr>
        <w:spacing w:before="101" w:line="622" w:lineRule="exact"/>
        <w:ind w:left="1939"/>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pPr>
    </w:p>
    <w:p w14:paraId="582CF88F">
      <w:pPr>
        <w:spacing w:before="101" w:line="622" w:lineRule="exact"/>
        <w:ind w:left="1939"/>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pPr>
    </w:p>
    <w:p w14:paraId="3F7CE6F5">
      <w:pPr>
        <w:pStyle w:val="2"/>
        <w:rPr>
          <w:rFonts w:hint="eastAsia"/>
        </w:rPr>
      </w:pPr>
    </w:p>
    <w:p w14:paraId="46D8F021">
      <w:pPr>
        <w:spacing w:before="101" w:line="622" w:lineRule="exact"/>
        <w:ind w:left="1939"/>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pPr>
    </w:p>
    <w:p w14:paraId="5F10FC8E">
      <w:pPr>
        <w:spacing w:before="101" w:line="622" w:lineRule="exact"/>
        <w:ind w:left="1939"/>
        <w:rPr>
          <w:rFonts w:hint="eastAsia" w:ascii="仿宋" w:hAnsi="仿宋" w:eastAsia="仿宋" w:cs="仿宋"/>
          <w:sz w:val="31"/>
          <w:szCs w:val="31"/>
        </w:rPr>
      </w:pPr>
      <w:r>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t>委托方：西安市雁塔区住房和城乡建设局</w:t>
      </w:r>
    </w:p>
    <w:p w14:paraId="10C657FD">
      <w:pPr>
        <w:spacing w:before="101" w:line="622" w:lineRule="exact"/>
        <w:ind w:left="1939"/>
        <w:rPr>
          <w:rFonts w:hint="eastAsia" w:ascii="仿宋" w:hAnsi="仿宋" w:eastAsia="仿宋" w:cs="仿宋"/>
          <w:spacing w:val="9"/>
          <w:position w:val="22"/>
          <w:sz w:val="31"/>
          <w:szCs w:val="31"/>
          <w:lang w:val="en-US" w:eastAsia="zh-CN"/>
          <w14:textOutline w14:w="5793" w14:cap="sq" w14:cmpd="sng">
            <w14:solidFill>
              <w14:srgbClr w14:val="000000"/>
            </w14:solidFill>
            <w14:prstDash w14:val="solid"/>
            <w14:bevel/>
          </w14:textOutline>
        </w:rPr>
      </w:pPr>
      <w:r>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t>受托方：</w:t>
      </w:r>
    </w:p>
    <w:p w14:paraId="0D4BF646">
      <w:pPr>
        <w:adjustRightInd w:val="0"/>
        <w:snapToGrid w:val="0"/>
        <w:spacing w:line="360" w:lineRule="auto"/>
        <w:jc w:val="center"/>
        <w:rPr>
          <w:rFonts w:hint="eastAsia" w:ascii="仿宋" w:hAnsi="仿宋" w:eastAsia="仿宋" w:cs="仿宋"/>
          <w:spacing w:val="3"/>
          <w:sz w:val="31"/>
          <w:szCs w:val="31"/>
          <w14:textOutline w14:w="5793" w14:cap="sq" w14:cmpd="sng">
            <w14:solidFill>
              <w14:srgbClr w14:val="000000"/>
            </w14:solidFill>
            <w14:prstDash w14:val="solid"/>
            <w14:bevel/>
          </w14:textOutline>
        </w:rPr>
      </w:pPr>
      <w:r>
        <w:rPr>
          <w:rFonts w:hint="eastAsia" w:ascii="仿宋" w:hAnsi="仿宋" w:eastAsia="仿宋" w:cs="仿宋"/>
          <w:spacing w:val="3"/>
          <w:sz w:val="31"/>
          <w:szCs w:val="31"/>
          <w14:textOutline w14:w="5793" w14:cap="sq" w14:cmpd="sng">
            <w14:solidFill>
              <w14:srgbClr w14:val="000000"/>
            </w14:solidFill>
            <w14:prstDash w14:val="solid"/>
            <w14:bevel/>
          </w14:textOutline>
        </w:rPr>
        <w:t>二〇二</w:t>
      </w:r>
      <w:r>
        <w:rPr>
          <w:rFonts w:hint="eastAsia" w:ascii="仿宋" w:hAnsi="仿宋" w:eastAsia="仿宋" w:cs="仿宋"/>
          <w:spacing w:val="3"/>
          <w:sz w:val="31"/>
          <w:szCs w:val="31"/>
          <w:lang w:val="en-US" w:eastAsia="zh-CN"/>
          <w14:textOutline w14:w="5793" w14:cap="sq" w14:cmpd="sng">
            <w14:solidFill>
              <w14:srgbClr w14:val="000000"/>
            </w14:solidFill>
            <w14:prstDash w14:val="solid"/>
            <w14:bevel/>
          </w14:textOutline>
        </w:rPr>
        <w:t>六</w:t>
      </w:r>
      <w:r>
        <w:rPr>
          <w:rFonts w:hint="eastAsia" w:ascii="仿宋" w:hAnsi="仿宋" w:eastAsia="仿宋" w:cs="仿宋"/>
          <w:spacing w:val="3"/>
          <w:sz w:val="31"/>
          <w:szCs w:val="31"/>
          <w14:textOutline w14:w="5793" w14:cap="sq" w14:cmpd="sng">
            <w14:solidFill>
              <w14:srgbClr w14:val="000000"/>
            </w14:solidFill>
            <w14:prstDash w14:val="solid"/>
            <w14:bevel/>
          </w14:textOutline>
        </w:rPr>
        <w:t>年</w:t>
      </w:r>
      <w:r>
        <w:rPr>
          <w:rFonts w:hint="eastAsia" w:ascii="仿宋" w:hAnsi="仿宋" w:eastAsia="仿宋" w:cs="仿宋"/>
          <w:spacing w:val="-150"/>
          <w:sz w:val="31"/>
          <w:szCs w:val="31"/>
        </w:rPr>
        <w:t xml:space="preserve"> </w:t>
      </w:r>
      <w:r>
        <w:rPr>
          <w:rFonts w:hint="eastAsia" w:ascii="仿宋" w:hAnsi="仿宋" w:eastAsia="仿宋" w:cs="仿宋"/>
          <w:spacing w:val="5"/>
          <w:sz w:val="31"/>
          <w:szCs w:val="31"/>
          <w:u w:val="single" w:color="auto"/>
        </w:rPr>
        <w:t xml:space="preserve">   </w:t>
      </w:r>
      <w:r>
        <w:rPr>
          <w:rFonts w:hint="eastAsia" w:ascii="仿宋" w:hAnsi="仿宋" w:eastAsia="仿宋" w:cs="仿宋"/>
          <w:spacing w:val="-117"/>
          <w:sz w:val="31"/>
          <w:szCs w:val="31"/>
        </w:rPr>
        <w:t xml:space="preserve"> </w:t>
      </w:r>
      <w:r>
        <w:rPr>
          <w:rFonts w:hint="eastAsia" w:ascii="仿宋" w:hAnsi="仿宋" w:eastAsia="仿宋" w:cs="仿宋"/>
          <w:spacing w:val="3"/>
          <w:sz w:val="31"/>
          <w:szCs w:val="31"/>
          <w14:textOutline w14:w="5793" w14:cap="sq" w14:cmpd="sng">
            <w14:solidFill>
              <w14:srgbClr w14:val="000000"/>
            </w14:solidFill>
            <w14:prstDash w14:val="solid"/>
            <w14:bevel/>
          </w14:textOutline>
        </w:rPr>
        <w:t>月</w:t>
      </w:r>
    </w:p>
    <w:p w14:paraId="2B44E62A">
      <w:pPr>
        <w:rPr>
          <w:rFonts w:hint="eastAsia" w:ascii="仿宋" w:hAnsi="仿宋" w:eastAsia="仿宋" w:cs="仿宋"/>
          <w:b/>
          <w:bCs/>
          <w:color w:val="000000" w:themeColor="text1"/>
          <w:sz w:val="24"/>
          <w:szCs w:val="24"/>
          <w:highlight w:val="none"/>
          <w14:textFill>
            <w14:solidFill>
              <w14:schemeClr w14:val="tx1"/>
            </w14:solidFill>
          </w14:textFill>
        </w:rPr>
      </w:pPr>
    </w:p>
    <w:p w14:paraId="2C891C2D">
      <w:pPr>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br w:type="page"/>
      </w:r>
    </w:p>
    <w:p w14:paraId="30F099F6">
      <w:pPr>
        <w:spacing w:line="360" w:lineRule="auto"/>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甲方（采购方）：</w:t>
      </w:r>
      <w:r>
        <w:rPr>
          <w:rFonts w:hint="eastAsia" w:ascii="仿宋" w:hAnsi="仿宋" w:eastAsia="仿宋" w:cs="仿宋"/>
          <w:b/>
          <w:bCs/>
          <w:color w:val="000000" w:themeColor="text1"/>
          <w:sz w:val="24"/>
          <w:szCs w:val="24"/>
          <w:highlight w:val="none"/>
          <w:lang w:eastAsia="zh-CN"/>
          <w14:textFill>
            <w14:solidFill>
              <w14:schemeClr w14:val="tx1"/>
            </w14:solidFill>
          </w14:textFill>
        </w:rPr>
        <w:t>西安市雁塔区住房和城乡建设局</w:t>
      </w:r>
    </w:p>
    <w:p w14:paraId="7D96E0CA">
      <w:pPr>
        <w:spacing w:line="360" w:lineRule="auto"/>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地    址：西安市雁塔区翠华南路146号</w:t>
      </w:r>
    </w:p>
    <w:p w14:paraId="431CF1E4">
      <w:pPr>
        <w:spacing w:line="360" w:lineRule="auto"/>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联系电话：029-85264904</w:t>
      </w:r>
    </w:p>
    <w:p w14:paraId="1AAD915F">
      <w:pPr>
        <w:pStyle w:val="2"/>
        <w:spacing w:before="0" w:after="0" w:line="360" w:lineRule="auto"/>
        <w:ind w:firstLine="0" w:firstLineChars="0"/>
        <w:rPr>
          <w:rFonts w:hint="eastAsia" w:ascii="仿宋" w:hAnsi="仿宋" w:eastAsia="仿宋" w:cs="仿宋"/>
          <w:b/>
          <w:bCs/>
          <w:color w:val="000000" w:themeColor="text1"/>
          <w:kern w:val="2"/>
          <w:sz w:val="24"/>
          <w:szCs w:val="24"/>
          <w:highlight w:val="none"/>
          <w:lang w:eastAsia="zh-CN"/>
          <w14:textFill>
            <w14:solidFill>
              <w14:schemeClr w14:val="tx1"/>
            </w14:solidFill>
          </w14:textFill>
        </w:rPr>
      </w:pPr>
    </w:p>
    <w:p w14:paraId="77457D79">
      <w:pPr>
        <w:pStyle w:val="2"/>
        <w:spacing w:before="0" w:after="0" w:line="360" w:lineRule="auto"/>
        <w:ind w:firstLine="0" w:firstLineChars="0"/>
        <w:rPr>
          <w:rFonts w:hint="eastAsia" w:ascii="仿宋" w:hAnsi="仿宋" w:eastAsia="仿宋" w:cs="仿宋"/>
          <w:b/>
          <w:bCs/>
          <w:color w:val="000000" w:themeColor="text1"/>
          <w:kern w:val="2"/>
          <w:sz w:val="24"/>
          <w:szCs w:val="24"/>
          <w:highlight w:val="none"/>
          <w:lang w:eastAsia="zh-CN"/>
          <w14:textFill>
            <w14:solidFill>
              <w14:schemeClr w14:val="tx1"/>
            </w14:solidFill>
          </w14:textFill>
        </w:rPr>
      </w:pP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t>乙方（服务方）：_________</w:t>
      </w: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br w:type="textWrapping"/>
      </w: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t>法定代表人：_________</w:t>
      </w: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br w:type="textWrapping"/>
      </w: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t>地    址：_________</w:t>
      </w:r>
    </w:p>
    <w:p w14:paraId="67251000">
      <w:pPr>
        <w:pStyle w:val="2"/>
        <w:spacing w:before="0" w:after="0" w:line="360" w:lineRule="auto"/>
        <w:ind w:firstLine="0" w:firstLineChars="0"/>
        <w:rPr>
          <w:rFonts w:hint="eastAsia" w:ascii="仿宋" w:hAnsi="仿宋" w:eastAsia="仿宋" w:cs="仿宋"/>
          <w:b/>
          <w:bCs/>
          <w:color w:val="000000" w:themeColor="text1"/>
          <w:kern w:val="2"/>
          <w:sz w:val="24"/>
          <w:szCs w:val="24"/>
          <w:highlight w:val="none"/>
          <w:lang w:eastAsia="zh-CN"/>
          <w14:textFill>
            <w14:solidFill>
              <w14:schemeClr w14:val="tx1"/>
            </w14:solidFill>
          </w14:textFill>
        </w:rPr>
      </w:pP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t>联系电话：_________</w:t>
      </w:r>
    </w:p>
    <w:p w14:paraId="511DB8E6">
      <w:pPr>
        <w:pStyle w:val="2"/>
        <w:spacing w:before="0" w:after="0" w:line="520" w:lineRule="exact"/>
        <w:ind w:firstLine="0" w:firstLineChars="0"/>
        <w:rPr>
          <w:rFonts w:hint="eastAsia" w:ascii="仿宋" w:hAnsi="仿宋" w:eastAsia="仿宋" w:cs="仿宋"/>
          <w:b/>
          <w:bCs/>
          <w:color w:val="000000" w:themeColor="text1"/>
          <w:kern w:val="2"/>
          <w:sz w:val="24"/>
          <w:szCs w:val="24"/>
          <w:highlight w:val="none"/>
          <w:lang w:eastAsia="zh-CN"/>
          <w14:textFill>
            <w14:solidFill>
              <w14:schemeClr w14:val="tx1"/>
            </w14:solidFill>
          </w14:textFill>
        </w:rPr>
      </w:pPr>
    </w:p>
    <w:p w14:paraId="2110EDF0">
      <w:pPr>
        <w:pStyle w:val="2"/>
        <w:spacing w:before="0" w:after="0" w:line="520" w:lineRule="exact"/>
        <w:ind w:firstLine="64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序言：</w:t>
      </w:r>
      <w:r>
        <w:rPr>
          <w:rFonts w:hint="eastAsia" w:ascii="仿宋" w:hAnsi="仿宋" w:eastAsia="仿宋" w:cs="仿宋"/>
          <w:color w:val="000000" w:themeColor="text1"/>
          <w:sz w:val="24"/>
          <w:szCs w:val="24"/>
          <w:highlight w:val="none"/>
          <w14:textFill>
            <w14:solidFill>
              <w14:schemeClr w14:val="tx1"/>
            </w14:solidFill>
          </w14:textFill>
        </w:rPr>
        <w:t>根据《中华人民共和国政府采购法》</w:t>
      </w:r>
      <w:r>
        <w:rPr>
          <w:rFonts w:hint="eastAsia" w:ascii="仿宋" w:hAnsi="仿宋" w:eastAsia="仿宋" w:cs="仿宋"/>
          <w:color w:val="000000" w:themeColor="text1"/>
          <w:sz w:val="24"/>
          <w:szCs w:val="24"/>
          <w:highlight w:val="none"/>
          <w:lang w:eastAsia="zh-CN"/>
          <w14:textFill>
            <w14:solidFill>
              <w14:schemeClr w14:val="tx1"/>
            </w14:solidFill>
          </w14:textFill>
        </w:rPr>
        <w:t>及</w:t>
      </w:r>
      <w:r>
        <w:rPr>
          <w:rFonts w:hint="eastAsia" w:ascii="仿宋" w:hAnsi="仿宋" w:eastAsia="仿宋" w:cs="仿宋"/>
          <w:color w:val="000000" w:themeColor="text1"/>
          <w:sz w:val="24"/>
          <w:szCs w:val="24"/>
          <w:highlight w:val="none"/>
          <w14:textFill>
            <w14:solidFill>
              <w14:schemeClr w14:val="tx1"/>
            </w14:solidFill>
          </w14:textFill>
        </w:rPr>
        <w:t>《中华人民共和国民法典》</w:t>
      </w:r>
      <w:r>
        <w:rPr>
          <w:rFonts w:hint="eastAsia" w:ascii="仿宋" w:hAnsi="仿宋" w:eastAsia="仿宋" w:cs="仿宋"/>
          <w:color w:val="000000" w:themeColor="text1"/>
          <w:sz w:val="24"/>
          <w:szCs w:val="24"/>
          <w:highlight w:val="none"/>
          <w:lang w:eastAsia="zh-CN"/>
          <w14:textFill>
            <w14:solidFill>
              <w14:schemeClr w14:val="tx1"/>
            </w14:solidFill>
          </w14:textFill>
        </w:rPr>
        <w:t>等相关法律、法规要求</w:t>
      </w:r>
      <w:r>
        <w:rPr>
          <w:rFonts w:hint="eastAsia" w:ascii="仿宋" w:hAnsi="仿宋" w:eastAsia="仿宋" w:cs="仿宋"/>
          <w:color w:val="000000" w:themeColor="text1"/>
          <w:sz w:val="24"/>
          <w:szCs w:val="24"/>
          <w:highlight w:val="none"/>
          <w14:textFill>
            <w14:solidFill>
              <w14:schemeClr w14:val="tx1"/>
            </w14:solidFill>
          </w14:textFill>
        </w:rPr>
        <w:t>，甲</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乙双方就</w:t>
      </w:r>
      <w:r>
        <w:rPr>
          <w:rFonts w:hint="eastAsia" w:ascii="仿宋" w:hAnsi="仿宋" w:eastAsia="仿宋" w:cs="仿宋"/>
          <w:color w:val="000000" w:themeColor="text1"/>
          <w:sz w:val="24"/>
          <w:szCs w:val="24"/>
          <w:highlight w:val="none"/>
          <w:u w:val="thick"/>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达成一致，签订本合同。</w:t>
      </w:r>
    </w:p>
    <w:p w14:paraId="29CC4E67">
      <w:pPr>
        <w:pStyle w:val="2"/>
        <w:numPr>
          <w:ilvl w:val="0"/>
          <w:numId w:val="0"/>
        </w:numPr>
        <w:spacing w:before="0" w:after="0" w:line="520" w:lineRule="exact"/>
        <w:rPr>
          <w:rFonts w:hint="eastAsia" w:ascii="仿宋" w:hAnsi="仿宋" w:eastAsia="仿宋" w:cs="仿宋"/>
          <w:b/>
          <w:bCs/>
          <w:color w:val="000000" w:themeColor="text1"/>
          <w:sz w:val="24"/>
          <w:szCs w:val="24"/>
          <w:highlight w:val="none"/>
          <w:lang w:eastAsia="zh-CN"/>
          <w14:textFill>
            <w14:solidFill>
              <w14:schemeClr w14:val="tx1"/>
            </w14:solidFill>
          </w14:textFill>
        </w:rPr>
      </w:pPr>
    </w:p>
    <w:p w14:paraId="0C2777D6">
      <w:pPr>
        <w:pStyle w:val="2"/>
        <w:numPr>
          <w:ilvl w:val="0"/>
          <w:numId w:val="1"/>
        </w:numPr>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乙方的工作范围和职责</w:t>
      </w:r>
    </w:p>
    <w:p w14:paraId="72F9556D">
      <w:pPr>
        <w:pStyle w:val="2"/>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p>
    <w:p w14:paraId="025330EB">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1.1</w:t>
      </w:r>
      <w:r>
        <w:rPr>
          <w:rFonts w:hint="eastAsia" w:ascii="仿宋" w:hAnsi="仿宋" w:eastAsia="仿宋" w:cs="仿宋"/>
          <w:color w:val="000000" w:themeColor="text1"/>
          <w:sz w:val="24"/>
          <w:szCs w:val="24"/>
          <w:highlight w:val="none"/>
          <w:lang w:eastAsia="zh-CN"/>
          <w14:textFill>
            <w14:solidFill>
              <w14:schemeClr w14:val="tx1"/>
            </w14:solidFill>
          </w14:textFill>
        </w:rPr>
        <w:t>消防技术顾问服务。依据《建筑设计防火规范》和《建设工程消防验收评定规则》等消防相关法律法规，</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对雁塔区内的建设工程项目提供消防技术顾问服务，对技术规范进行答疑指导。服务形式包括但不限于电话、微信、邮件，会议讨论等。出具符合国家相关消防法律法规及技术规范的《消防技术服务报告》、专家意见等，报告和专家意见需经甲方确认；</w:t>
      </w:r>
    </w:p>
    <w:p w14:paraId="0C0ACCF8">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1.2</w:t>
      </w:r>
      <w:r>
        <w:rPr>
          <w:rFonts w:hint="eastAsia" w:ascii="仿宋" w:hAnsi="仿宋" w:eastAsia="仿宋" w:cs="仿宋"/>
          <w:color w:val="000000" w:themeColor="text1"/>
          <w:sz w:val="24"/>
          <w:szCs w:val="24"/>
          <w:highlight w:val="none"/>
          <w:lang w:eastAsia="zh-CN"/>
          <w14:textFill>
            <w14:solidFill>
              <w14:schemeClr w14:val="tx1"/>
            </w14:solidFill>
          </w14:textFill>
        </w:rPr>
        <w:t>专家论证会服务。关于新、老规范适用性问题，由住建部门邀请相关专业专家，由</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进行组织技术论证。如需上会论证的，由住建部门邀请陕西省住建厅消防专家库专家，由投标单位进行组织进行专题讨论，对项目的消防设计合规性、安全性等进行评审，形成相关会议纪要及专家论证意见，为后续相关审验工作提供技术依据；</w:t>
      </w:r>
    </w:p>
    <w:p w14:paraId="7A2CBD3C">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1.3</w:t>
      </w:r>
      <w:r>
        <w:rPr>
          <w:rFonts w:hint="eastAsia" w:ascii="仿宋" w:hAnsi="仿宋" w:eastAsia="仿宋" w:cs="仿宋"/>
          <w:color w:val="000000" w:themeColor="text1"/>
          <w:sz w:val="24"/>
          <w:szCs w:val="24"/>
          <w:highlight w:val="none"/>
          <w:lang w:eastAsia="zh-CN"/>
          <w14:textFill>
            <w14:solidFill>
              <w14:schemeClr w14:val="tx1"/>
            </w14:solidFill>
          </w14:textFill>
        </w:rPr>
        <w:t>模拟实验等技术服务。针对疑点、难点专项技术问题，由</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组织开展相关模拟实验。通过现场实操等技术手段，提取相关技术数据，为专家判定疑难点问题提供技术支持；（模拟实验包含但不限于火灾烟气模拟、人员安全疏散模拟、热辐射数据模拟等）；</w:t>
      </w:r>
    </w:p>
    <w:p w14:paraId="7C027964">
      <w:pPr>
        <w:pStyle w:val="6"/>
        <w:spacing w:before="0" w:after="0" w:line="520" w:lineRule="exact"/>
        <w:ind w:left="0" w:leftChars="0"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p>
    <w:p w14:paraId="2CDB0C6A">
      <w:pPr>
        <w:numPr>
          <w:ilvl w:val="2"/>
          <w:numId w:val="0"/>
        </w:numPr>
        <w:tabs>
          <w:tab w:val="left" w:pos="0"/>
        </w:tabs>
        <w:spacing w:after="0" w:line="520" w:lineRule="exact"/>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 xml:space="preserve">第2条 </w:t>
      </w:r>
      <w:r>
        <w:rPr>
          <w:rFonts w:hint="eastAsia" w:ascii="仿宋" w:hAnsi="仿宋" w:eastAsia="仿宋" w:cs="仿宋"/>
          <w:b/>
          <w:bCs/>
          <w:color w:val="000000" w:themeColor="text1"/>
          <w:sz w:val="24"/>
          <w:szCs w:val="24"/>
          <w:highlight w:val="none"/>
          <w14:textFill>
            <w14:solidFill>
              <w14:schemeClr w14:val="tx1"/>
            </w14:solidFill>
          </w14:textFill>
        </w:rPr>
        <w:t>服务质量保证</w:t>
      </w:r>
    </w:p>
    <w:p w14:paraId="1305309D">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2.1</w:t>
      </w:r>
      <w:r>
        <w:rPr>
          <w:rFonts w:hint="eastAsia" w:ascii="仿宋" w:hAnsi="仿宋" w:eastAsia="仿宋" w:cs="仿宋"/>
          <w:color w:val="000000" w:themeColor="text1"/>
          <w:sz w:val="24"/>
          <w:szCs w:val="24"/>
          <w:highlight w:val="none"/>
          <w14:textFill>
            <w14:solidFill>
              <w14:schemeClr w14:val="tx1"/>
            </w14:solidFill>
          </w14:textFill>
        </w:rPr>
        <w:t>质量承诺：严格按照国家标准执行</w:t>
      </w:r>
      <w:r>
        <w:rPr>
          <w:rFonts w:hint="eastAsia" w:ascii="仿宋" w:hAnsi="仿宋" w:eastAsia="仿宋" w:cs="仿宋"/>
          <w:color w:val="000000" w:themeColor="text1"/>
          <w:sz w:val="24"/>
          <w:szCs w:val="24"/>
          <w:highlight w:val="none"/>
          <w:lang w:eastAsia="zh-CN"/>
          <w14:textFill>
            <w14:solidFill>
              <w14:schemeClr w14:val="tx1"/>
            </w14:solidFill>
          </w14:textFill>
        </w:rPr>
        <w:t>消防技术服务</w:t>
      </w:r>
      <w:r>
        <w:rPr>
          <w:rFonts w:hint="eastAsia" w:ascii="仿宋" w:hAnsi="仿宋" w:eastAsia="仿宋" w:cs="仿宋"/>
          <w:color w:val="000000" w:themeColor="text1"/>
          <w:sz w:val="24"/>
          <w:szCs w:val="24"/>
          <w:highlight w:val="none"/>
          <w14:textFill>
            <w14:solidFill>
              <w14:schemeClr w14:val="tx1"/>
            </w14:solidFill>
          </w14:textFill>
        </w:rPr>
        <w:t>，确保</w:t>
      </w:r>
      <w:r>
        <w:rPr>
          <w:rFonts w:hint="eastAsia" w:ascii="仿宋" w:hAnsi="仿宋" w:eastAsia="仿宋" w:cs="仿宋"/>
          <w:color w:val="000000" w:themeColor="text1"/>
          <w:sz w:val="24"/>
          <w:szCs w:val="24"/>
          <w:highlight w:val="none"/>
          <w:lang w:eastAsia="zh-CN"/>
          <w14:textFill>
            <w14:solidFill>
              <w14:schemeClr w14:val="tx1"/>
            </w14:solidFill>
          </w14:textFill>
        </w:rPr>
        <w:t>技术结论满足相关消防法律法规的规定，</w:t>
      </w:r>
      <w:r>
        <w:rPr>
          <w:rFonts w:hint="eastAsia" w:ascii="仿宋" w:hAnsi="仿宋" w:eastAsia="仿宋" w:cs="仿宋"/>
          <w:color w:val="000000" w:themeColor="text1"/>
          <w:sz w:val="24"/>
          <w:szCs w:val="24"/>
          <w:highlight w:val="none"/>
          <w14:textFill>
            <w14:solidFill>
              <w14:schemeClr w14:val="tx1"/>
            </w14:solidFill>
          </w14:textFill>
        </w:rPr>
        <w:t>结论客观、准确。每季度接受甲方考核（考核指标包括响应速度、服务质量、客户满意度等），考核不合格的，甲方有权终止合同</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6936EA5D">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2.</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违约责任：因乙方过失导致损失的，乙方需承担赔偿责任。</w:t>
      </w:r>
      <w:r>
        <w:rPr>
          <w:rFonts w:hint="eastAsia" w:ascii="仿宋" w:hAnsi="仿宋" w:eastAsia="仿宋" w:cs="仿宋"/>
          <w:color w:val="000000" w:themeColor="text1"/>
          <w:sz w:val="24"/>
          <w:szCs w:val="24"/>
          <w:highlight w:val="none"/>
          <w:lang w:eastAsia="zh-CN"/>
          <w14:textFill>
            <w14:solidFill>
              <w14:schemeClr w14:val="tx1"/>
            </w14:solidFill>
          </w14:textFill>
        </w:rPr>
        <w:t>乙方消防技术服务存在重大失误，</w:t>
      </w:r>
      <w:r>
        <w:rPr>
          <w:rFonts w:hint="eastAsia" w:ascii="仿宋" w:hAnsi="仿宋" w:eastAsia="仿宋" w:cs="仿宋"/>
          <w:color w:val="000000" w:themeColor="text1"/>
          <w:sz w:val="24"/>
          <w:szCs w:val="24"/>
          <w:highlight w:val="none"/>
          <w14:textFill>
            <w14:solidFill>
              <w14:schemeClr w14:val="tx1"/>
            </w14:solidFill>
          </w14:textFill>
        </w:rPr>
        <w:t>甲方有权终止合同。</w:t>
      </w:r>
      <w:r>
        <w:rPr>
          <w:rFonts w:hint="eastAsia" w:ascii="仿宋" w:hAnsi="仿宋" w:eastAsia="仿宋" w:cs="仿宋"/>
          <w:color w:val="000000" w:themeColor="text1"/>
          <w:sz w:val="24"/>
          <w:szCs w:val="24"/>
          <w:highlight w:val="none"/>
          <w:lang w:eastAsia="zh-CN"/>
          <w14:textFill>
            <w14:solidFill>
              <w14:schemeClr w14:val="tx1"/>
            </w14:solidFill>
          </w14:textFill>
        </w:rPr>
        <w:t>如造成严重后果，乙方应承担相应赔偿责任。</w:t>
      </w:r>
    </w:p>
    <w:p w14:paraId="3139DB12">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p>
    <w:p w14:paraId="07B5CAAA">
      <w:pPr>
        <w:numPr>
          <w:ilvl w:val="2"/>
          <w:numId w:val="0"/>
        </w:numPr>
        <w:tabs>
          <w:tab w:val="left" w:pos="0"/>
        </w:tabs>
        <w:spacing w:after="0" w:line="520" w:lineRule="exact"/>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第3条 考核机制</w:t>
      </w:r>
    </w:p>
    <w:p w14:paraId="7F63783C">
      <w:pPr>
        <w:pStyle w:val="6"/>
        <w:spacing w:before="0" w:after="0" w:line="520" w:lineRule="exact"/>
        <w:ind w:firstLine="64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bidi="ar-SA"/>
          <w14:textFill>
            <w14:solidFill>
              <w14:schemeClr w14:val="tx1"/>
            </w14:solidFill>
          </w14:textFill>
        </w:rPr>
        <w:t>3.1</w:t>
      </w:r>
      <w:r>
        <w:rPr>
          <w:rFonts w:hint="eastAsia" w:ascii="仿宋" w:hAnsi="仿宋" w:eastAsia="仿宋" w:cs="仿宋"/>
          <w:color w:val="000000" w:themeColor="text1"/>
          <w:sz w:val="24"/>
          <w:szCs w:val="24"/>
          <w:highlight w:val="none"/>
          <w14:textFill>
            <w14:solidFill>
              <w14:schemeClr w14:val="tx1"/>
            </w14:solidFill>
          </w14:textFill>
        </w:rPr>
        <w:t>每季度对供应商的服务质量进行考核，考核内容包括服务响应速度、服务质量、客户满意度等</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042E057D">
      <w:pPr>
        <w:pStyle w:val="6"/>
        <w:spacing w:before="0" w:after="0" w:line="520" w:lineRule="exact"/>
        <w:ind w:firstLine="64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bidi="ar-SA"/>
          <w14:textFill>
            <w14:solidFill>
              <w14:schemeClr w14:val="tx1"/>
            </w14:solidFill>
          </w14:textFill>
        </w:rPr>
        <w:t>3.2</w:t>
      </w:r>
      <w:r>
        <w:rPr>
          <w:rFonts w:hint="eastAsia" w:ascii="仿宋" w:hAnsi="仿宋" w:eastAsia="仿宋" w:cs="仿宋"/>
          <w:color w:val="000000" w:themeColor="text1"/>
          <w:sz w:val="24"/>
          <w:szCs w:val="24"/>
          <w:highlight w:val="none"/>
          <w14:textFill>
            <w14:solidFill>
              <w14:schemeClr w14:val="tx1"/>
            </w14:solidFill>
          </w14:textFill>
        </w:rPr>
        <w:t>考核不合格的供应商，采购方有权终止合同并追究相关责任。</w:t>
      </w:r>
    </w:p>
    <w:p w14:paraId="41753D93">
      <w:pPr>
        <w:pStyle w:val="6"/>
        <w:spacing w:before="0" w:after="0" w:line="520" w:lineRule="exact"/>
        <w:ind w:firstLine="640"/>
        <w:rPr>
          <w:rFonts w:hint="eastAsia" w:ascii="仿宋" w:hAnsi="仿宋" w:eastAsia="仿宋" w:cs="仿宋"/>
          <w:color w:val="000000" w:themeColor="text1"/>
          <w:sz w:val="24"/>
          <w:szCs w:val="24"/>
          <w:highlight w:val="none"/>
          <w:lang w:eastAsia="zh-CN"/>
          <w14:textFill>
            <w14:solidFill>
              <w14:schemeClr w14:val="tx1"/>
            </w14:solidFill>
          </w14:textFill>
        </w:rPr>
      </w:pPr>
    </w:p>
    <w:p w14:paraId="049B0578">
      <w:pPr>
        <w:numPr>
          <w:ilvl w:val="2"/>
          <w:numId w:val="0"/>
        </w:numPr>
        <w:tabs>
          <w:tab w:val="left" w:pos="0"/>
        </w:tabs>
        <w:spacing w:after="0" w:line="520" w:lineRule="exact"/>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第4条 服务费用标准及支付</w:t>
      </w:r>
    </w:p>
    <w:p w14:paraId="39C359C9">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①常规技术服务费：其他建设工程(参照《建设工程消防设计审查验收管理暂行规定》第二条)1000元/次;特殊建设工程(参照《建设工程消防设计审查验收管理暂行规定》第十四条)≤10000m2，2000元/次;特殊建设工程&gt;10000m2，3000元/次;</w:t>
      </w:r>
    </w:p>
    <w:p w14:paraId="004BB03C">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②涉及消防定性，新、老规范适用性等问题的消防技术服务费：30000元/次；</w:t>
      </w:r>
    </w:p>
    <w:p w14:paraId="42A0EE8B">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③不含模拟的消防技术论证费：40000元/次；</w:t>
      </w:r>
    </w:p>
    <w:p w14:paraId="32B29B12">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④含模拟的消防技术论证费：60000元/次；</w:t>
      </w:r>
    </w:p>
    <w:p w14:paraId="79BDCFC0">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⑤自合同签订之日起每季度据实结算，其余费用于服务期满后30日内，根据实际服务次数及考核结果结算，但以上总费用不超过300000元/年；</w:t>
      </w:r>
    </w:p>
    <w:p w14:paraId="34BBB980">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⑥付款依据：乙方提供等额发票。</w:t>
      </w:r>
    </w:p>
    <w:p w14:paraId="5BA2E6C0">
      <w:pPr>
        <w:numPr>
          <w:ilvl w:val="2"/>
          <w:numId w:val="0"/>
        </w:numPr>
        <w:tabs>
          <w:tab w:val="left" w:pos="0"/>
        </w:tabs>
        <w:spacing w:after="0" w:line="520" w:lineRule="exact"/>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第4条 廉洁说明</w:t>
      </w:r>
    </w:p>
    <w:p w14:paraId="19B6177F">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4.1</w:t>
      </w:r>
      <w:r>
        <w:rPr>
          <w:rFonts w:hint="eastAsia" w:ascii="仿宋" w:hAnsi="仿宋" w:eastAsia="仿宋" w:cs="仿宋"/>
          <w:color w:val="000000" w:themeColor="text1"/>
          <w:sz w:val="24"/>
          <w:szCs w:val="24"/>
          <w:highlight w:val="none"/>
          <w14:textFill>
            <w14:solidFill>
              <w14:schemeClr w14:val="tx1"/>
            </w14:solidFill>
          </w14:textFill>
        </w:rPr>
        <w:t>甲</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乙双方须严格遵守国家廉政规定，禁止以任何形式索取或收受回扣、礼品、宴请等不正当利益</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4957859C">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4.2</w:t>
      </w:r>
      <w:r>
        <w:rPr>
          <w:rFonts w:hint="eastAsia" w:ascii="仿宋" w:hAnsi="仿宋" w:eastAsia="仿宋" w:cs="仿宋"/>
          <w:color w:val="000000" w:themeColor="text1"/>
          <w:sz w:val="24"/>
          <w:szCs w:val="24"/>
          <w:highlight w:val="none"/>
          <w14:textFill>
            <w14:solidFill>
              <w14:schemeClr w14:val="tx1"/>
            </w14:solidFill>
          </w14:textFill>
        </w:rPr>
        <w:t>乙方不得与甲方工作人员私下接触或干预</w:t>
      </w:r>
      <w:r>
        <w:rPr>
          <w:rFonts w:hint="eastAsia" w:ascii="仿宋" w:hAnsi="仿宋" w:eastAsia="仿宋" w:cs="仿宋"/>
          <w:color w:val="000000" w:themeColor="text1"/>
          <w:sz w:val="24"/>
          <w:szCs w:val="24"/>
          <w:highlight w:val="none"/>
          <w:lang w:eastAsia="zh-CN"/>
          <w14:textFill>
            <w14:solidFill>
              <w14:schemeClr w14:val="tx1"/>
            </w14:solidFill>
          </w14:textFill>
        </w:rPr>
        <w:t>消防技术服务</w:t>
      </w:r>
      <w:r>
        <w:rPr>
          <w:rFonts w:hint="eastAsia" w:ascii="仿宋" w:hAnsi="仿宋" w:eastAsia="仿宋" w:cs="仿宋"/>
          <w:color w:val="000000" w:themeColor="text1"/>
          <w:sz w:val="24"/>
          <w:szCs w:val="24"/>
          <w:highlight w:val="none"/>
          <w14:textFill>
            <w14:solidFill>
              <w14:schemeClr w14:val="tx1"/>
            </w14:solidFill>
          </w14:textFill>
        </w:rPr>
        <w:t>公正性</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4B41777D">
      <w:pPr>
        <w:pStyle w:val="6"/>
        <w:spacing w:before="0" w:after="0" w:line="520" w:lineRule="exact"/>
        <w:ind w:firstLine="641"/>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4.3</w:t>
      </w:r>
      <w:r>
        <w:rPr>
          <w:rFonts w:hint="eastAsia" w:ascii="仿宋" w:hAnsi="仿宋" w:eastAsia="仿宋" w:cs="仿宋"/>
          <w:color w:val="000000" w:themeColor="text1"/>
          <w:sz w:val="24"/>
          <w:szCs w:val="24"/>
          <w:highlight w:val="none"/>
          <w:lang w:eastAsia="zh-CN"/>
          <w14:textFill>
            <w14:solidFill>
              <w14:schemeClr w14:val="tx1"/>
            </w14:solidFill>
          </w14:textFill>
        </w:rPr>
        <w:t>乙方必须按照国家相关消防法律法规及规范和标准进行消防技术服务，不得违反相关消防法律、法规及规范，不得提高或者降低相关技术标准；</w:t>
      </w:r>
    </w:p>
    <w:p w14:paraId="34EF9388">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4.4</w:t>
      </w:r>
      <w:r>
        <w:rPr>
          <w:rFonts w:hint="eastAsia" w:ascii="仿宋" w:hAnsi="仿宋" w:eastAsia="仿宋" w:cs="仿宋"/>
          <w:color w:val="000000" w:themeColor="text1"/>
          <w:sz w:val="24"/>
          <w:szCs w:val="24"/>
          <w:highlight w:val="none"/>
          <w:lang w:eastAsia="zh-CN"/>
          <w14:textFill>
            <w14:solidFill>
              <w14:schemeClr w14:val="tx1"/>
            </w14:solidFill>
          </w14:textFill>
        </w:rPr>
        <w:t>乙方在技术服务过程中，不得向被服务单位收取任何费用，不得向被服务单位推荐消防施工单位和消防产品；</w:t>
      </w:r>
    </w:p>
    <w:p w14:paraId="4CA67FA9">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4.5</w:t>
      </w:r>
      <w:r>
        <w:rPr>
          <w:rFonts w:hint="eastAsia" w:ascii="仿宋" w:hAnsi="仿宋" w:eastAsia="仿宋" w:cs="仿宋"/>
          <w:color w:val="000000" w:themeColor="text1"/>
          <w:sz w:val="24"/>
          <w:szCs w:val="24"/>
          <w:highlight w:val="none"/>
          <w:lang w:eastAsia="zh-CN"/>
          <w14:textFill>
            <w14:solidFill>
              <w14:schemeClr w14:val="tx1"/>
            </w14:solidFill>
          </w14:textFill>
        </w:rPr>
        <w:t>乙方不得将服务转包或分包，未经甲方书面同意，不得更换项目机构核心人员；</w:t>
      </w:r>
    </w:p>
    <w:p w14:paraId="38B85631">
      <w:pPr>
        <w:pStyle w:val="6"/>
        <w:spacing w:before="0" w:after="0" w:line="520" w:lineRule="exact"/>
        <w:ind w:firstLine="641"/>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4.6</w:t>
      </w:r>
      <w:r>
        <w:rPr>
          <w:rFonts w:hint="eastAsia" w:ascii="仿宋" w:hAnsi="仿宋" w:eastAsia="仿宋" w:cs="仿宋"/>
          <w:color w:val="000000" w:themeColor="text1"/>
          <w:sz w:val="24"/>
          <w:szCs w:val="24"/>
          <w:highlight w:val="none"/>
          <w:lang w:eastAsia="zh-CN"/>
          <w14:textFill>
            <w14:solidFill>
              <w14:schemeClr w14:val="tx1"/>
            </w14:solidFill>
          </w14:textFill>
        </w:rPr>
        <w:t>违约处理：一方违</w:t>
      </w:r>
      <w:r>
        <w:rPr>
          <w:rFonts w:hint="eastAsia" w:ascii="仿宋" w:hAnsi="仿宋" w:eastAsia="仿宋" w:cs="仿宋"/>
          <w:color w:val="000000" w:themeColor="text1"/>
          <w:sz w:val="24"/>
          <w:szCs w:val="24"/>
          <w:highlight w:val="none"/>
          <w14:textFill>
            <w14:solidFill>
              <w14:schemeClr w14:val="tx1"/>
            </w14:solidFill>
          </w14:textFill>
        </w:rPr>
        <w:t>反廉洁条款，守约方有权终止合同并追偿损失；涉嫌违法的，移交司法机关处理。</w:t>
      </w:r>
    </w:p>
    <w:p w14:paraId="1247BFB9">
      <w:pPr>
        <w:pStyle w:val="2"/>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第5条 合同期限</w:t>
      </w:r>
    </w:p>
    <w:p w14:paraId="522CBB47">
      <w:pPr>
        <w:pStyle w:val="2"/>
        <w:spacing w:before="0" w:after="0" w:line="520" w:lineRule="exact"/>
        <w:ind w:firstLine="64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本合同有效期自合同签订之日起至一年内。</w:t>
      </w:r>
    </w:p>
    <w:p w14:paraId="73391985">
      <w:pPr>
        <w:pStyle w:val="2"/>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p>
    <w:p w14:paraId="3929F3EC">
      <w:pPr>
        <w:pStyle w:val="2"/>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第6条 合同的变更</w:t>
      </w:r>
    </w:p>
    <w:p w14:paraId="146B1F40">
      <w:pPr>
        <w:pStyle w:val="2"/>
        <w:spacing w:before="0" w:after="0" w:line="520" w:lineRule="exact"/>
        <w:ind w:firstLine="64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任何一方要求变更本合同条款，需双方再行协商，签订变更协议，未经书面变更的任何内容，不对甲、乙双方产生法律效力。</w:t>
      </w:r>
    </w:p>
    <w:p w14:paraId="6C40548F">
      <w:pPr>
        <w:pStyle w:val="2"/>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p>
    <w:p w14:paraId="0922231A">
      <w:pPr>
        <w:pStyle w:val="2"/>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第7条 其 他</w:t>
      </w:r>
    </w:p>
    <w:p w14:paraId="5C57791A">
      <w:pPr>
        <w:pStyle w:val="6"/>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    </w:t>
      </w:r>
      <w:r>
        <w:rPr>
          <w:rFonts w:hint="eastAsia" w:ascii="仿宋" w:hAnsi="仿宋" w:eastAsia="仿宋" w:cs="仿宋"/>
          <w:b/>
          <w:bCs/>
          <w:color w:val="000000" w:themeColor="text1"/>
          <w:sz w:val="24"/>
          <w:szCs w:val="24"/>
          <w:highlight w:val="none"/>
          <w:lang w:eastAsia="zh-CN"/>
          <w14:textFill>
            <w14:solidFill>
              <w14:schemeClr w14:val="tx1"/>
            </w14:solidFill>
          </w14:textFill>
        </w:rPr>
        <w:t>7.1</w:t>
      </w:r>
      <w:r>
        <w:rPr>
          <w:rFonts w:hint="eastAsia" w:ascii="仿宋" w:hAnsi="仿宋" w:eastAsia="仿宋" w:cs="仿宋"/>
          <w:color w:val="000000" w:themeColor="text1"/>
          <w:sz w:val="24"/>
          <w:szCs w:val="24"/>
          <w:highlight w:val="none"/>
          <w14:textFill>
            <w14:solidFill>
              <w14:schemeClr w14:val="tx1"/>
            </w14:solidFill>
          </w14:textFill>
        </w:rPr>
        <w:t>保密义务：双方对获知的</w:t>
      </w:r>
      <w:r>
        <w:rPr>
          <w:rFonts w:hint="eastAsia" w:ascii="仿宋" w:hAnsi="仿宋" w:eastAsia="仿宋" w:cs="仿宋"/>
          <w:color w:val="000000" w:themeColor="text1"/>
          <w:sz w:val="24"/>
          <w:szCs w:val="24"/>
          <w:highlight w:val="none"/>
          <w:lang w:eastAsia="zh-CN"/>
          <w14:textFill>
            <w14:solidFill>
              <w14:schemeClr w14:val="tx1"/>
            </w14:solidFill>
          </w14:textFill>
        </w:rPr>
        <w:t>文档资料</w:t>
      </w:r>
      <w:r>
        <w:rPr>
          <w:rFonts w:hint="eastAsia" w:ascii="仿宋" w:hAnsi="仿宋" w:eastAsia="仿宋" w:cs="仿宋"/>
          <w:color w:val="000000" w:themeColor="text1"/>
          <w:sz w:val="24"/>
          <w:szCs w:val="24"/>
          <w:highlight w:val="none"/>
          <w14:textFill>
            <w14:solidFill>
              <w14:schemeClr w14:val="tx1"/>
            </w14:solidFill>
          </w14:textFill>
        </w:rPr>
        <w:t>、技术资料等保密，未经同意不得向第三方泄露</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1E1BDF93">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7.2</w:t>
      </w:r>
      <w:r>
        <w:rPr>
          <w:rFonts w:hint="eastAsia" w:ascii="仿宋" w:hAnsi="仿宋" w:eastAsia="仿宋" w:cs="仿宋"/>
          <w:color w:val="000000" w:themeColor="text1"/>
          <w:sz w:val="24"/>
          <w:szCs w:val="24"/>
          <w:highlight w:val="none"/>
          <w:lang w:eastAsia="zh-CN"/>
          <w14:textFill>
            <w14:solidFill>
              <w14:schemeClr w14:val="tx1"/>
            </w14:solidFill>
          </w14:textFill>
        </w:rPr>
        <w:t>本合同未尽事宜，双方另行协商解决。双方因履行本合同发生争议，亦应协商解决，协商不能解决时，依法提交雁塔区人民法院诉讼解决；</w:t>
      </w:r>
    </w:p>
    <w:p w14:paraId="21B7661B">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7.3</w:t>
      </w:r>
      <w:r>
        <w:rPr>
          <w:rFonts w:hint="eastAsia" w:ascii="仿宋" w:hAnsi="仿宋" w:eastAsia="仿宋" w:cs="仿宋"/>
          <w:color w:val="000000" w:themeColor="text1"/>
          <w:sz w:val="24"/>
          <w:szCs w:val="24"/>
          <w:highlight w:val="none"/>
          <w:lang w:eastAsia="zh-CN"/>
          <w14:textFill>
            <w14:solidFill>
              <w14:schemeClr w14:val="tx1"/>
            </w14:solidFill>
          </w14:textFill>
        </w:rPr>
        <w:t>本合同一式</w:t>
      </w:r>
      <w:r>
        <w:rPr>
          <w:rFonts w:hint="eastAsia" w:ascii="仿宋" w:hAnsi="仿宋" w:eastAsia="仿宋" w:cs="仿宋"/>
          <w:color w:val="000000" w:themeColor="text1"/>
          <w:sz w:val="24"/>
          <w:szCs w:val="24"/>
          <w:highlight w:val="none"/>
          <w:lang w:val="en-US" w:eastAsia="zh-CN"/>
          <w14:textFill>
            <w14:solidFill>
              <w14:schemeClr w14:val="tx1"/>
            </w14:solidFill>
          </w14:textFill>
        </w:rPr>
        <w:t>肆</w:t>
      </w:r>
      <w:r>
        <w:rPr>
          <w:rFonts w:hint="eastAsia" w:ascii="仿宋" w:hAnsi="仿宋" w:eastAsia="仿宋" w:cs="仿宋"/>
          <w:color w:val="000000" w:themeColor="text1"/>
          <w:sz w:val="24"/>
          <w:szCs w:val="24"/>
          <w:highlight w:val="none"/>
          <w:lang w:eastAsia="zh-CN"/>
          <w14:textFill>
            <w14:solidFill>
              <w14:schemeClr w14:val="tx1"/>
            </w14:solidFill>
          </w14:textFill>
        </w:rPr>
        <w:t>份，甲方</w:t>
      </w:r>
      <w:r>
        <w:rPr>
          <w:rFonts w:hint="eastAsia" w:ascii="仿宋" w:hAnsi="仿宋" w:eastAsia="仿宋" w:cs="仿宋"/>
          <w:color w:val="000000" w:themeColor="text1"/>
          <w:sz w:val="24"/>
          <w:szCs w:val="24"/>
          <w:highlight w:val="none"/>
          <w:lang w:val="en-US" w:eastAsia="zh-CN"/>
          <w14:textFill>
            <w14:solidFill>
              <w14:schemeClr w14:val="tx1"/>
            </w14:solidFill>
          </w14:textFill>
        </w:rPr>
        <w:t>贰</w:t>
      </w:r>
      <w:r>
        <w:rPr>
          <w:rFonts w:hint="eastAsia" w:ascii="仿宋" w:hAnsi="仿宋" w:eastAsia="仿宋" w:cs="仿宋"/>
          <w:color w:val="000000" w:themeColor="text1"/>
          <w:sz w:val="24"/>
          <w:szCs w:val="24"/>
          <w:highlight w:val="none"/>
          <w:lang w:eastAsia="zh-CN"/>
          <w14:textFill>
            <w14:solidFill>
              <w14:schemeClr w14:val="tx1"/>
            </w14:solidFill>
          </w14:textFill>
        </w:rPr>
        <w:t>份，乙方</w:t>
      </w:r>
      <w:r>
        <w:rPr>
          <w:rFonts w:hint="eastAsia" w:ascii="仿宋" w:hAnsi="仿宋" w:eastAsia="仿宋" w:cs="仿宋"/>
          <w:color w:val="000000" w:themeColor="text1"/>
          <w:sz w:val="24"/>
          <w:szCs w:val="24"/>
          <w:highlight w:val="none"/>
          <w:lang w:val="en-US" w:eastAsia="zh-CN"/>
          <w14:textFill>
            <w14:solidFill>
              <w14:schemeClr w14:val="tx1"/>
            </w14:solidFill>
          </w14:textFill>
        </w:rPr>
        <w:t>贰</w:t>
      </w:r>
      <w:r>
        <w:rPr>
          <w:rFonts w:hint="eastAsia" w:ascii="仿宋" w:hAnsi="仿宋" w:eastAsia="仿宋" w:cs="仿宋"/>
          <w:color w:val="000000" w:themeColor="text1"/>
          <w:sz w:val="24"/>
          <w:szCs w:val="24"/>
          <w:highlight w:val="none"/>
          <w:lang w:eastAsia="zh-CN"/>
          <w14:textFill>
            <w14:solidFill>
              <w14:schemeClr w14:val="tx1"/>
            </w14:solidFill>
          </w14:textFill>
        </w:rPr>
        <w:t>份；</w:t>
      </w:r>
    </w:p>
    <w:p w14:paraId="1B522DE4">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7.4</w:t>
      </w:r>
      <w:r>
        <w:rPr>
          <w:rFonts w:hint="eastAsia" w:ascii="仿宋" w:hAnsi="仿宋" w:eastAsia="仿宋" w:cs="仿宋"/>
          <w:color w:val="000000" w:themeColor="text1"/>
          <w:sz w:val="24"/>
          <w:szCs w:val="24"/>
          <w:highlight w:val="none"/>
          <w:lang w:eastAsia="zh-CN"/>
          <w14:textFill>
            <w14:solidFill>
              <w14:schemeClr w14:val="tx1"/>
            </w14:solidFill>
          </w14:textFill>
        </w:rPr>
        <w:t>本合同自甲、乙双方签字/盖章之日起生效。</w:t>
      </w:r>
    </w:p>
    <w:p w14:paraId="77F82273">
      <w:pPr>
        <w:pStyle w:val="6"/>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以下无正文！</w:t>
      </w:r>
    </w:p>
    <w:p w14:paraId="49905EA7">
      <w:pPr>
        <w:pStyle w:val="2"/>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   </w:t>
      </w:r>
    </w:p>
    <w:p w14:paraId="088D223C">
      <w:pPr>
        <w:pStyle w:val="2"/>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p>
    <w:p w14:paraId="4C1A81AB">
      <w:pPr>
        <w:pStyle w:val="2"/>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p>
    <w:p w14:paraId="4E22ED08">
      <w:pPr>
        <w:pStyle w:val="7"/>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甲方（盖章）：______（单位全称）</w:t>
      </w: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乙方（盖章）：______（单位全称）</w:t>
      </w:r>
      <w:r>
        <w:rPr>
          <w:rFonts w:hint="eastAsia" w:ascii="仿宋" w:hAnsi="仿宋" w:eastAsia="仿宋" w:cs="仿宋"/>
          <w:color w:val="000000" w:themeColor="text1"/>
          <w:sz w:val="24"/>
          <w:szCs w:val="24"/>
          <w:highlight w:val="none"/>
          <w14:textFill>
            <w14:solidFill>
              <w14:schemeClr w14:val="tx1"/>
            </w14:solidFill>
          </w14:textFill>
        </w:rPr>
        <w:br w:type="textWrapping"/>
      </w:r>
      <w:r>
        <w:rPr>
          <w:rFonts w:hint="eastAsia" w:ascii="仿宋" w:hAnsi="仿宋" w:eastAsia="仿宋" w:cs="仿宋"/>
          <w:color w:val="000000" w:themeColor="text1"/>
          <w:sz w:val="24"/>
          <w:szCs w:val="24"/>
          <w:highlight w:val="none"/>
          <w14:textFill>
            <w14:solidFill>
              <w14:schemeClr w14:val="tx1"/>
            </w14:solidFill>
          </w14:textFill>
        </w:rPr>
        <w:t>法定代表人/授权代表签字：_________</w:t>
      </w: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法定代表人/授权代表签字：________</w:t>
      </w:r>
      <w:r>
        <w:rPr>
          <w:rFonts w:hint="eastAsia" w:ascii="仿宋" w:hAnsi="仿宋" w:eastAsia="仿宋" w:cs="仿宋"/>
          <w:color w:val="000000" w:themeColor="text1"/>
          <w:sz w:val="24"/>
          <w:szCs w:val="24"/>
          <w:highlight w:val="none"/>
          <w14:textFill>
            <w14:solidFill>
              <w14:schemeClr w14:val="tx1"/>
            </w14:solidFill>
          </w14:textFill>
        </w:rPr>
        <w:br w:type="textWrapping"/>
      </w:r>
      <w:r>
        <w:rPr>
          <w:rFonts w:hint="eastAsia" w:ascii="仿宋" w:hAnsi="仿宋" w:eastAsia="仿宋" w:cs="仿宋"/>
          <w:color w:val="000000" w:themeColor="text1"/>
          <w:sz w:val="24"/>
          <w:szCs w:val="24"/>
          <w:highlight w:val="none"/>
          <w14:textFill>
            <w14:solidFill>
              <w14:schemeClr w14:val="tx1"/>
            </w14:solidFill>
          </w14:textFill>
        </w:rPr>
        <w:t>日期：_________</w:t>
      </w: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日期：_________</w:t>
      </w:r>
    </w:p>
    <w:p w14:paraId="62E0CFE9">
      <w:pPr>
        <w:rPr>
          <w:rFonts w:hint="eastAsia" w:ascii="仿宋" w:hAnsi="仿宋" w:eastAsia="仿宋" w:cs="仿宋"/>
          <w:sz w:val="24"/>
          <w:szCs w:val="24"/>
          <w:highlight w:val="none"/>
        </w:rPr>
      </w:pPr>
    </w:p>
    <w:p w14:paraId="4CCA5554">
      <w:pPr>
        <w:pStyle w:val="5"/>
        <w:rPr>
          <w:rFonts w:hint="eastAsia" w:ascii="仿宋" w:hAnsi="仿宋" w:eastAsia="仿宋" w:cs="仿宋"/>
          <w:lang w:val="en-US" w:eastAsia="zh-Hans"/>
        </w:rPr>
      </w:pPr>
      <w:r>
        <w:rPr>
          <w:rFonts w:hint="eastAsia" w:ascii="仿宋" w:hAnsi="仿宋" w:eastAsia="仿宋" w:cs="仿宋"/>
        </w:rPr>
        <w:br w:type="textWrapping"/>
      </w:r>
    </w:p>
    <w:p w14:paraId="50FF8A06"/>
    <w:p w14:paraId="21F9C69F">
      <w:r>
        <w:br w:type="page"/>
      </w:r>
    </w:p>
    <w:p w14:paraId="46DFFD8B">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p>
    <w:p w14:paraId="78C3D6E7">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p>
    <w:p w14:paraId="74A01328">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r>
        <w:rPr>
          <w:rFonts w:hint="eastAsia" w:ascii="仿宋" w:hAnsi="仿宋" w:eastAsia="仿宋" w:cs="仿宋"/>
          <w:b/>
          <w:bCs/>
          <w:color w:val="auto"/>
          <w:kern w:val="0"/>
          <w:sz w:val="44"/>
          <w:szCs w:val="44"/>
          <w:highlight w:val="none"/>
          <w:lang w:val="en-US" w:eastAsia="zh-CN"/>
        </w:rPr>
        <w:t>西安市雁塔区住房和城乡建设局</w:t>
      </w:r>
    </w:p>
    <w:p w14:paraId="1A30B8A0">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r>
        <w:rPr>
          <w:rFonts w:hint="eastAsia" w:ascii="仿宋" w:hAnsi="仿宋" w:eastAsia="仿宋" w:cs="仿宋"/>
          <w:b/>
          <w:bCs/>
          <w:color w:val="auto"/>
          <w:kern w:val="0"/>
          <w:sz w:val="44"/>
          <w:szCs w:val="44"/>
          <w:highlight w:val="none"/>
          <w:lang w:val="en-US" w:eastAsia="zh-CN"/>
        </w:rPr>
        <w:t>2026年度消防技术服务机构采购项目</w:t>
      </w:r>
    </w:p>
    <w:p w14:paraId="03548246">
      <w:pPr>
        <w:autoSpaceDE w:val="0"/>
        <w:autoSpaceDN w:val="0"/>
        <w:adjustRightInd w:val="0"/>
        <w:snapToGrid w:val="0"/>
        <w:spacing w:line="360" w:lineRule="auto"/>
        <w:jc w:val="center"/>
        <w:rPr>
          <w:rFonts w:hint="eastAsia" w:ascii="仿宋" w:hAnsi="仿宋" w:eastAsia="仿宋" w:cs="仿宋"/>
          <w:b/>
          <w:bCs/>
          <w:color w:val="auto"/>
          <w:kern w:val="0"/>
          <w:sz w:val="44"/>
          <w:szCs w:val="44"/>
          <w:highlight w:val="none"/>
          <w:lang w:val="en-US" w:eastAsia="zh-CN"/>
        </w:rPr>
      </w:pPr>
      <w:r>
        <w:rPr>
          <w:rFonts w:hint="eastAsia" w:ascii="仿宋" w:hAnsi="仿宋" w:eastAsia="仿宋" w:cs="仿宋"/>
          <w:b/>
          <w:bCs/>
          <w:color w:val="auto"/>
          <w:kern w:val="0"/>
          <w:sz w:val="44"/>
          <w:szCs w:val="44"/>
          <w:highlight w:val="none"/>
          <w:lang w:val="en-US" w:eastAsia="zh-CN"/>
        </w:rPr>
        <w:t>（三标段）</w:t>
      </w:r>
    </w:p>
    <w:p w14:paraId="1FB2CC90">
      <w:pPr>
        <w:autoSpaceDE w:val="0"/>
        <w:autoSpaceDN w:val="0"/>
        <w:adjustRightInd w:val="0"/>
        <w:snapToGrid w:val="0"/>
        <w:spacing w:line="360" w:lineRule="auto"/>
        <w:jc w:val="both"/>
        <w:rPr>
          <w:rFonts w:hint="eastAsia" w:ascii="仿宋" w:hAnsi="仿宋" w:eastAsia="仿宋" w:cs="仿宋"/>
          <w:b/>
          <w:bCs/>
          <w:color w:val="auto"/>
          <w:kern w:val="0"/>
          <w:sz w:val="72"/>
          <w:szCs w:val="72"/>
          <w:highlight w:val="none"/>
          <w:lang w:val="en-US" w:eastAsia="zh-CN"/>
        </w:rPr>
      </w:pPr>
    </w:p>
    <w:p w14:paraId="4E2E7AA2">
      <w:pPr>
        <w:pStyle w:val="2"/>
        <w:rPr>
          <w:rFonts w:hint="eastAsia"/>
          <w:lang w:val="en-US" w:eastAsia="zh-CN"/>
        </w:rPr>
      </w:pPr>
    </w:p>
    <w:p w14:paraId="5825CF2F">
      <w:pPr>
        <w:rPr>
          <w:rFonts w:hint="eastAsia"/>
          <w:lang w:val="en-US" w:eastAsia="zh-CN"/>
        </w:rPr>
      </w:pPr>
    </w:p>
    <w:p w14:paraId="5A3C80CD">
      <w:pPr>
        <w:pStyle w:val="2"/>
        <w:rPr>
          <w:rFonts w:hint="eastAsia" w:ascii="仿宋" w:hAnsi="仿宋" w:eastAsia="仿宋" w:cs="仿宋"/>
          <w:lang w:val="en-US" w:eastAsia="zh-CN"/>
        </w:rPr>
      </w:pPr>
    </w:p>
    <w:p w14:paraId="29353654">
      <w:pPr>
        <w:autoSpaceDE w:val="0"/>
        <w:autoSpaceDN w:val="0"/>
        <w:adjustRightInd w:val="0"/>
        <w:snapToGrid w:val="0"/>
        <w:spacing w:line="360" w:lineRule="auto"/>
        <w:jc w:val="center"/>
        <w:rPr>
          <w:rFonts w:hint="eastAsia" w:ascii="仿宋" w:hAnsi="仿宋" w:eastAsia="仿宋" w:cs="仿宋"/>
        </w:rPr>
      </w:pPr>
      <w:r>
        <w:rPr>
          <w:rFonts w:hint="eastAsia" w:ascii="仿宋" w:hAnsi="仿宋" w:eastAsia="仿宋" w:cs="仿宋"/>
          <w:b/>
          <w:bCs/>
          <w:color w:val="auto"/>
          <w:kern w:val="0"/>
          <w:sz w:val="72"/>
          <w:szCs w:val="72"/>
          <w:highlight w:val="none"/>
          <w:lang w:val="en-US" w:eastAsia="zh-CN"/>
        </w:rPr>
        <w:t>合 同 文 件</w:t>
      </w:r>
    </w:p>
    <w:p w14:paraId="4365151C">
      <w:pPr>
        <w:spacing w:before="101" w:line="622" w:lineRule="exact"/>
        <w:ind w:left="1939"/>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pPr>
    </w:p>
    <w:p w14:paraId="6724D9FB">
      <w:pPr>
        <w:spacing w:before="101" w:line="622" w:lineRule="exact"/>
        <w:ind w:left="1939"/>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pPr>
    </w:p>
    <w:p w14:paraId="064109F0">
      <w:pPr>
        <w:pStyle w:val="2"/>
        <w:rPr>
          <w:rFonts w:hint="eastAsia"/>
        </w:rPr>
      </w:pPr>
    </w:p>
    <w:p w14:paraId="57D0FE19">
      <w:pPr>
        <w:spacing w:before="101" w:line="622" w:lineRule="exact"/>
        <w:ind w:left="1939"/>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pPr>
    </w:p>
    <w:p w14:paraId="41A12E85">
      <w:pPr>
        <w:spacing w:before="101" w:line="622" w:lineRule="exact"/>
        <w:ind w:left="1939"/>
        <w:rPr>
          <w:rFonts w:hint="eastAsia" w:ascii="仿宋" w:hAnsi="仿宋" w:eastAsia="仿宋" w:cs="仿宋"/>
          <w:sz w:val="31"/>
          <w:szCs w:val="31"/>
        </w:rPr>
      </w:pPr>
      <w:r>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t>委托方：西安市雁塔区住房和城乡建设局</w:t>
      </w:r>
    </w:p>
    <w:p w14:paraId="3F8EF699">
      <w:pPr>
        <w:spacing w:before="101" w:line="622" w:lineRule="exact"/>
        <w:ind w:left="1939"/>
        <w:rPr>
          <w:rFonts w:hint="eastAsia" w:ascii="仿宋" w:hAnsi="仿宋" w:eastAsia="仿宋" w:cs="仿宋"/>
          <w:spacing w:val="9"/>
          <w:position w:val="22"/>
          <w:sz w:val="31"/>
          <w:szCs w:val="31"/>
          <w:lang w:val="en-US" w:eastAsia="zh-CN"/>
          <w14:textOutline w14:w="5793" w14:cap="sq" w14:cmpd="sng">
            <w14:solidFill>
              <w14:srgbClr w14:val="000000"/>
            </w14:solidFill>
            <w14:prstDash w14:val="solid"/>
            <w14:bevel/>
          </w14:textOutline>
        </w:rPr>
      </w:pPr>
      <w:r>
        <w:rPr>
          <w:rFonts w:hint="eastAsia" w:ascii="仿宋" w:hAnsi="仿宋" w:eastAsia="仿宋" w:cs="仿宋"/>
          <w:spacing w:val="9"/>
          <w:position w:val="22"/>
          <w:sz w:val="31"/>
          <w:szCs w:val="31"/>
          <w14:textOutline w14:w="5793" w14:cap="sq" w14:cmpd="sng">
            <w14:solidFill>
              <w14:srgbClr w14:val="000000"/>
            </w14:solidFill>
            <w14:prstDash w14:val="solid"/>
            <w14:bevel/>
          </w14:textOutline>
        </w:rPr>
        <w:t>受托方：</w:t>
      </w:r>
    </w:p>
    <w:p w14:paraId="5B119D31">
      <w:pPr>
        <w:adjustRightInd w:val="0"/>
        <w:snapToGrid w:val="0"/>
        <w:spacing w:line="360" w:lineRule="auto"/>
        <w:jc w:val="center"/>
        <w:rPr>
          <w:rFonts w:hint="eastAsia" w:ascii="仿宋" w:hAnsi="仿宋" w:eastAsia="仿宋" w:cs="仿宋"/>
          <w:spacing w:val="3"/>
          <w:sz w:val="31"/>
          <w:szCs w:val="31"/>
          <w14:textOutline w14:w="5793" w14:cap="sq" w14:cmpd="sng">
            <w14:solidFill>
              <w14:srgbClr w14:val="000000"/>
            </w14:solidFill>
            <w14:prstDash w14:val="solid"/>
            <w14:bevel/>
          </w14:textOutline>
        </w:rPr>
      </w:pPr>
      <w:r>
        <w:rPr>
          <w:rFonts w:hint="eastAsia" w:ascii="仿宋" w:hAnsi="仿宋" w:eastAsia="仿宋" w:cs="仿宋"/>
          <w:spacing w:val="3"/>
          <w:sz w:val="31"/>
          <w:szCs w:val="31"/>
          <w14:textOutline w14:w="5793" w14:cap="sq" w14:cmpd="sng">
            <w14:solidFill>
              <w14:srgbClr w14:val="000000"/>
            </w14:solidFill>
            <w14:prstDash w14:val="solid"/>
            <w14:bevel/>
          </w14:textOutline>
        </w:rPr>
        <w:t>二〇二</w:t>
      </w:r>
      <w:r>
        <w:rPr>
          <w:rFonts w:hint="eastAsia" w:ascii="仿宋" w:hAnsi="仿宋" w:eastAsia="仿宋" w:cs="仿宋"/>
          <w:spacing w:val="3"/>
          <w:sz w:val="31"/>
          <w:szCs w:val="31"/>
          <w:lang w:val="en-US" w:eastAsia="zh-CN"/>
          <w14:textOutline w14:w="5793" w14:cap="sq" w14:cmpd="sng">
            <w14:solidFill>
              <w14:srgbClr w14:val="000000"/>
            </w14:solidFill>
            <w14:prstDash w14:val="solid"/>
            <w14:bevel/>
          </w14:textOutline>
        </w:rPr>
        <w:t>六</w:t>
      </w:r>
      <w:r>
        <w:rPr>
          <w:rFonts w:hint="eastAsia" w:ascii="仿宋" w:hAnsi="仿宋" w:eastAsia="仿宋" w:cs="仿宋"/>
          <w:spacing w:val="3"/>
          <w:sz w:val="31"/>
          <w:szCs w:val="31"/>
          <w14:textOutline w14:w="5793" w14:cap="sq" w14:cmpd="sng">
            <w14:solidFill>
              <w14:srgbClr w14:val="000000"/>
            </w14:solidFill>
            <w14:prstDash w14:val="solid"/>
            <w14:bevel/>
          </w14:textOutline>
        </w:rPr>
        <w:t>年</w:t>
      </w:r>
      <w:r>
        <w:rPr>
          <w:rFonts w:hint="eastAsia" w:ascii="仿宋" w:hAnsi="仿宋" w:eastAsia="仿宋" w:cs="仿宋"/>
          <w:spacing w:val="-150"/>
          <w:sz w:val="31"/>
          <w:szCs w:val="31"/>
        </w:rPr>
        <w:t xml:space="preserve"> </w:t>
      </w:r>
      <w:r>
        <w:rPr>
          <w:rFonts w:hint="eastAsia" w:ascii="仿宋" w:hAnsi="仿宋" w:eastAsia="仿宋" w:cs="仿宋"/>
          <w:spacing w:val="5"/>
          <w:sz w:val="31"/>
          <w:szCs w:val="31"/>
          <w:u w:val="single" w:color="auto"/>
        </w:rPr>
        <w:t xml:space="preserve">   </w:t>
      </w:r>
      <w:r>
        <w:rPr>
          <w:rFonts w:hint="eastAsia" w:ascii="仿宋" w:hAnsi="仿宋" w:eastAsia="仿宋" w:cs="仿宋"/>
          <w:spacing w:val="-117"/>
          <w:sz w:val="31"/>
          <w:szCs w:val="31"/>
        </w:rPr>
        <w:t xml:space="preserve"> </w:t>
      </w:r>
      <w:r>
        <w:rPr>
          <w:rFonts w:hint="eastAsia" w:ascii="仿宋" w:hAnsi="仿宋" w:eastAsia="仿宋" w:cs="仿宋"/>
          <w:spacing w:val="3"/>
          <w:sz w:val="31"/>
          <w:szCs w:val="31"/>
          <w14:textOutline w14:w="5793" w14:cap="sq" w14:cmpd="sng">
            <w14:solidFill>
              <w14:srgbClr w14:val="000000"/>
            </w14:solidFill>
            <w14:prstDash w14:val="solid"/>
            <w14:bevel/>
          </w14:textOutline>
        </w:rPr>
        <w:t>月</w:t>
      </w:r>
    </w:p>
    <w:p w14:paraId="185C27A6">
      <w:pPr>
        <w:rPr>
          <w:rFonts w:hint="eastAsia" w:ascii="仿宋" w:hAnsi="仿宋" w:eastAsia="仿宋" w:cs="仿宋"/>
          <w:b/>
          <w:bCs/>
          <w:color w:val="000000" w:themeColor="text1"/>
          <w:sz w:val="24"/>
          <w:szCs w:val="24"/>
          <w:highlight w:val="none"/>
          <w14:textFill>
            <w14:solidFill>
              <w14:schemeClr w14:val="tx1"/>
            </w14:solidFill>
          </w14:textFill>
        </w:rPr>
      </w:pPr>
    </w:p>
    <w:p w14:paraId="1A3E9F97">
      <w:pPr>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br w:type="page"/>
      </w:r>
    </w:p>
    <w:p w14:paraId="24745BC4">
      <w:pPr>
        <w:spacing w:line="360" w:lineRule="auto"/>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甲方（采购方）：</w:t>
      </w:r>
      <w:r>
        <w:rPr>
          <w:rFonts w:hint="eastAsia" w:ascii="仿宋" w:hAnsi="仿宋" w:eastAsia="仿宋" w:cs="仿宋"/>
          <w:b/>
          <w:bCs/>
          <w:color w:val="000000" w:themeColor="text1"/>
          <w:sz w:val="24"/>
          <w:szCs w:val="24"/>
          <w:highlight w:val="none"/>
          <w:lang w:eastAsia="zh-CN"/>
          <w14:textFill>
            <w14:solidFill>
              <w14:schemeClr w14:val="tx1"/>
            </w14:solidFill>
          </w14:textFill>
        </w:rPr>
        <w:t>西安市雁塔区住房和城乡建设局</w:t>
      </w:r>
    </w:p>
    <w:p w14:paraId="44BF67C3">
      <w:pPr>
        <w:spacing w:line="360" w:lineRule="auto"/>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地    址：西安市雁塔区翠华南路146号</w:t>
      </w:r>
    </w:p>
    <w:p w14:paraId="00864B27">
      <w:pPr>
        <w:spacing w:line="360" w:lineRule="auto"/>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联系电话：029-85264904</w:t>
      </w:r>
    </w:p>
    <w:p w14:paraId="14188B74">
      <w:pPr>
        <w:pStyle w:val="2"/>
        <w:spacing w:before="0" w:after="0" w:line="360" w:lineRule="auto"/>
        <w:ind w:firstLine="0" w:firstLineChars="0"/>
        <w:rPr>
          <w:rFonts w:hint="eastAsia" w:ascii="仿宋" w:hAnsi="仿宋" w:eastAsia="仿宋" w:cs="仿宋"/>
          <w:b/>
          <w:bCs/>
          <w:color w:val="000000" w:themeColor="text1"/>
          <w:kern w:val="2"/>
          <w:sz w:val="24"/>
          <w:szCs w:val="24"/>
          <w:highlight w:val="none"/>
          <w:lang w:eastAsia="zh-CN"/>
          <w14:textFill>
            <w14:solidFill>
              <w14:schemeClr w14:val="tx1"/>
            </w14:solidFill>
          </w14:textFill>
        </w:rPr>
      </w:pPr>
    </w:p>
    <w:p w14:paraId="2777B8A4">
      <w:pPr>
        <w:pStyle w:val="2"/>
        <w:spacing w:before="0" w:after="0" w:line="360" w:lineRule="auto"/>
        <w:ind w:firstLine="0" w:firstLineChars="0"/>
        <w:rPr>
          <w:rFonts w:hint="eastAsia" w:ascii="仿宋" w:hAnsi="仿宋" w:eastAsia="仿宋" w:cs="仿宋"/>
          <w:b/>
          <w:bCs/>
          <w:color w:val="000000" w:themeColor="text1"/>
          <w:kern w:val="2"/>
          <w:sz w:val="24"/>
          <w:szCs w:val="24"/>
          <w:highlight w:val="none"/>
          <w:lang w:eastAsia="zh-CN"/>
          <w14:textFill>
            <w14:solidFill>
              <w14:schemeClr w14:val="tx1"/>
            </w14:solidFill>
          </w14:textFill>
        </w:rPr>
      </w:pP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t>乙方（服务方）：_________</w:t>
      </w: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br w:type="textWrapping"/>
      </w: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t>法定代表人：_________</w:t>
      </w: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br w:type="textWrapping"/>
      </w: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t>地    址：_________</w:t>
      </w:r>
    </w:p>
    <w:p w14:paraId="53085672">
      <w:pPr>
        <w:pStyle w:val="2"/>
        <w:spacing w:before="0" w:after="0" w:line="360" w:lineRule="auto"/>
        <w:ind w:firstLine="0" w:firstLineChars="0"/>
        <w:rPr>
          <w:rFonts w:hint="eastAsia" w:ascii="仿宋" w:hAnsi="仿宋" w:eastAsia="仿宋" w:cs="仿宋"/>
          <w:b/>
          <w:bCs/>
          <w:color w:val="000000" w:themeColor="text1"/>
          <w:kern w:val="2"/>
          <w:sz w:val="24"/>
          <w:szCs w:val="24"/>
          <w:highlight w:val="none"/>
          <w:lang w:eastAsia="zh-CN"/>
          <w14:textFill>
            <w14:solidFill>
              <w14:schemeClr w14:val="tx1"/>
            </w14:solidFill>
          </w14:textFill>
        </w:rPr>
      </w:pPr>
      <w:r>
        <w:rPr>
          <w:rFonts w:hint="eastAsia" w:ascii="仿宋" w:hAnsi="仿宋" w:eastAsia="仿宋" w:cs="仿宋"/>
          <w:b/>
          <w:bCs/>
          <w:color w:val="000000" w:themeColor="text1"/>
          <w:kern w:val="2"/>
          <w:sz w:val="24"/>
          <w:szCs w:val="24"/>
          <w:highlight w:val="none"/>
          <w:lang w:eastAsia="zh-CN"/>
          <w14:textFill>
            <w14:solidFill>
              <w14:schemeClr w14:val="tx1"/>
            </w14:solidFill>
          </w14:textFill>
        </w:rPr>
        <w:t>联系电话：_________</w:t>
      </w:r>
    </w:p>
    <w:p w14:paraId="52548EB1">
      <w:pPr>
        <w:pStyle w:val="2"/>
        <w:spacing w:before="0" w:after="0" w:line="520" w:lineRule="exact"/>
        <w:ind w:firstLine="0" w:firstLineChars="0"/>
        <w:rPr>
          <w:rFonts w:hint="eastAsia" w:ascii="仿宋" w:hAnsi="仿宋" w:eastAsia="仿宋" w:cs="仿宋"/>
          <w:b/>
          <w:bCs/>
          <w:color w:val="000000" w:themeColor="text1"/>
          <w:kern w:val="2"/>
          <w:sz w:val="24"/>
          <w:szCs w:val="24"/>
          <w:highlight w:val="none"/>
          <w:lang w:eastAsia="zh-CN"/>
          <w14:textFill>
            <w14:solidFill>
              <w14:schemeClr w14:val="tx1"/>
            </w14:solidFill>
          </w14:textFill>
        </w:rPr>
      </w:pPr>
    </w:p>
    <w:p w14:paraId="66322E9C">
      <w:pPr>
        <w:pStyle w:val="2"/>
        <w:spacing w:before="0" w:after="0" w:line="520" w:lineRule="exact"/>
        <w:ind w:firstLine="64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序言：</w:t>
      </w:r>
      <w:r>
        <w:rPr>
          <w:rFonts w:hint="eastAsia" w:ascii="仿宋" w:hAnsi="仿宋" w:eastAsia="仿宋" w:cs="仿宋"/>
          <w:color w:val="000000" w:themeColor="text1"/>
          <w:sz w:val="24"/>
          <w:szCs w:val="24"/>
          <w:highlight w:val="none"/>
          <w14:textFill>
            <w14:solidFill>
              <w14:schemeClr w14:val="tx1"/>
            </w14:solidFill>
          </w14:textFill>
        </w:rPr>
        <w:t>根据《中华人民共和国政府采购法》</w:t>
      </w:r>
      <w:r>
        <w:rPr>
          <w:rFonts w:hint="eastAsia" w:ascii="仿宋" w:hAnsi="仿宋" w:eastAsia="仿宋" w:cs="仿宋"/>
          <w:color w:val="000000" w:themeColor="text1"/>
          <w:sz w:val="24"/>
          <w:szCs w:val="24"/>
          <w:highlight w:val="none"/>
          <w:lang w:eastAsia="zh-CN"/>
          <w14:textFill>
            <w14:solidFill>
              <w14:schemeClr w14:val="tx1"/>
            </w14:solidFill>
          </w14:textFill>
        </w:rPr>
        <w:t>及</w:t>
      </w:r>
      <w:r>
        <w:rPr>
          <w:rFonts w:hint="eastAsia" w:ascii="仿宋" w:hAnsi="仿宋" w:eastAsia="仿宋" w:cs="仿宋"/>
          <w:color w:val="000000" w:themeColor="text1"/>
          <w:sz w:val="24"/>
          <w:szCs w:val="24"/>
          <w:highlight w:val="none"/>
          <w14:textFill>
            <w14:solidFill>
              <w14:schemeClr w14:val="tx1"/>
            </w14:solidFill>
          </w14:textFill>
        </w:rPr>
        <w:t>《中华人民共和国民法典》</w:t>
      </w:r>
      <w:r>
        <w:rPr>
          <w:rFonts w:hint="eastAsia" w:ascii="仿宋" w:hAnsi="仿宋" w:eastAsia="仿宋" w:cs="仿宋"/>
          <w:color w:val="000000" w:themeColor="text1"/>
          <w:sz w:val="24"/>
          <w:szCs w:val="24"/>
          <w:highlight w:val="none"/>
          <w:lang w:eastAsia="zh-CN"/>
          <w14:textFill>
            <w14:solidFill>
              <w14:schemeClr w14:val="tx1"/>
            </w14:solidFill>
          </w14:textFill>
        </w:rPr>
        <w:t>等相关法律、法规要求</w:t>
      </w:r>
      <w:r>
        <w:rPr>
          <w:rFonts w:hint="eastAsia" w:ascii="仿宋" w:hAnsi="仿宋" w:eastAsia="仿宋" w:cs="仿宋"/>
          <w:color w:val="000000" w:themeColor="text1"/>
          <w:sz w:val="24"/>
          <w:szCs w:val="24"/>
          <w:highlight w:val="none"/>
          <w14:textFill>
            <w14:solidFill>
              <w14:schemeClr w14:val="tx1"/>
            </w14:solidFill>
          </w14:textFill>
        </w:rPr>
        <w:t>，甲</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乙双方就</w:t>
      </w:r>
      <w:r>
        <w:rPr>
          <w:rFonts w:hint="eastAsia" w:ascii="仿宋" w:hAnsi="仿宋" w:eastAsia="仿宋" w:cs="仿宋"/>
          <w:color w:val="000000" w:themeColor="text1"/>
          <w:sz w:val="24"/>
          <w:szCs w:val="24"/>
          <w:highlight w:val="none"/>
          <w:u w:val="thick"/>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达成一致，签订本合同。</w:t>
      </w:r>
    </w:p>
    <w:p w14:paraId="3B3440A5">
      <w:pPr>
        <w:pStyle w:val="2"/>
        <w:numPr>
          <w:ilvl w:val="0"/>
          <w:numId w:val="0"/>
        </w:numPr>
        <w:spacing w:before="0" w:after="0" w:line="520" w:lineRule="exact"/>
        <w:rPr>
          <w:rFonts w:hint="eastAsia" w:ascii="仿宋" w:hAnsi="仿宋" w:eastAsia="仿宋" w:cs="仿宋"/>
          <w:b/>
          <w:bCs/>
          <w:color w:val="000000" w:themeColor="text1"/>
          <w:sz w:val="24"/>
          <w:szCs w:val="24"/>
          <w:highlight w:val="none"/>
          <w:lang w:eastAsia="zh-CN"/>
          <w14:textFill>
            <w14:solidFill>
              <w14:schemeClr w14:val="tx1"/>
            </w14:solidFill>
          </w14:textFill>
        </w:rPr>
      </w:pPr>
    </w:p>
    <w:p w14:paraId="2EB84814">
      <w:pPr>
        <w:pStyle w:val="2"/>
        <w:numPr>
          <w:ilvl w:val="0"/>
          <w:numId w:val="1"/>
        </w:numPr>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乙方的工作范围和职责</w:t>
      </w:r>
    </w:p>
    <w:p w14:paraId="7B0497D3">
      <w:pPr>
        <w:pStyle w:val="2"/>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p>
    <w:p w14:paraId="04D629B2">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1.1</w:t>
      </w:r>
      <w:r>
        <w:rPr>
          <w:rFonts w:hint="eastAsia" w:ascii="仿宋" w:hAnsi="仿宋" w:eastAsia="仿宋" w:cs="仿宋"/>
          <w:color w:val="000000" w:themeColor="text1"/>
          <w:sz w:val="24"/>
          <w:szCs w:val="24"/>
          <w:highlight w:val="none"/>
          <w:lang w:eastAsia="zh-CN"/>
          <w14:textFill>
            <w14:solidFill>
              <w14:schemeClr w14:val="tx1"/>
            </w14:solidFill>
          </w14:textFill>
        </w:rPr>
        <w:t>消防技术顾问服务。依据《建筑设计防火规范》和《建设工程消防验收评定规则》等消防相关法律法规，</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对雁塔区内的建设工程项目提供消防技术顾问服务，对技术规范进行答疑指导。服务形式包括但不限于电话、微信、邮件，会议讨论等。出具符合国家相关消防法律法规及技术规范的《消防技术服务报告》、专家意见等，报告和专家意见需经甲方确认；</w:t>
      </w:r>
    </w:p>
    <w:p w14:paraId="59E3BF12">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1.2</w:t>
      </w:r>
      <w:r>
        <w:rPr>
          <w:rFonts w:hint="eastAsia" w:ascii="仿宋" w:hAnsi="仿宋" w:eastAsia="仿宋" w:cs="仿宋"/>
          <w:color w:val="000000" w:themeColor="text1"/>
          <w:sz w:val="24"/>
          <w:szCs w:val="24"/>
          <w:highlight w:val="none"/>
          <w:lang w:eastAsia="zh-CN"/>
          <w14:textFill>
            <w14:solidFill>
              <w14:schemeClr w14:val="tx1"/>
            </w14:solidFill>
          </w14:textFill>
        </w:rPr>
        <w:t>专家论证会服务。关于新、老规范适用性问题，由住建部门邀请相关专业专家，由</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进行组织技术论证。如需上会论证的，由住建部门邀请陕西省住建厅消防专家库专家，由投标单位进行组织进行专题讨论，对项目的消防设计合规性、安全性等进行评审，形成相关会议纪要及专家论证意见，为后续相关审验工作提供技术依据；</w:t>
      </w:r>
    </w:p>
    <w:p w14:paraId="3EDE0BE3">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1.3</w:t>
      </w:r>
      <w:r>
        <w:rPr>
          <w:rFonts w:hint="eastAsia" w:ascii="仿宋" w:hAnsi="仿宋" w:eastAsia="仿宋" w:cs="仿宋"/>
          <w:color w:val="000000" w:themeColor="text1"/>
          <w:sz w:val="24"/>
          <w:szCs w:val="24"/>
          <w:highlight w:val="none"/>
          <w:lang w:eastAsia="zh-CN"/>
          <w14:textFill>
            <w14:solidFill>
              <w14:schemeClr w14:val="tx1"/>
            </w14:solidFill>
          </w14:textFill>
        </w:rPr>
        <w:t>模拟实验等技术服务。针对疑点、难点专项技术问题，由</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eastAsia="zh-CN"/>
          <w14:textFill>
            <w14:solidFill>
              <w14:schemeClr w14:val="tx1"/>
            </w14:solidFill>
          </w14:textFill>
        </w:rPr>
        <w:t>组织开展相关模拟实验。通过现场实操等技术手段，提取相关技术数据，为专家判定疑难点问题提供技术支持；（模拟实验包含但不限于火灾烟气模拟、人员安全疏散模拟、热辐射数据模拟等）；</w:t>
      </w:r>
    </w:p>
    <w:p w14:paraId="7A766BA5">
      <w:pPr>
        <w:pStyle w:val="6"/>
        <w:spacing w:before="0" w:after="0" w:line="520" w:lineRule="exact"/>
        <w:ind w:left="0" w:leftChars="0"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p>
    <w:p w14:paraId="0BF30357">
      <w:pPr>
        <w:numPr>
          <w:ilvl w:val="2"/>
          <w:numId w:val="0"/>
        </w:numPr>
        <w:tabs>
          <w:tab w:val="left" w:pos="0"/>
        </w:tabs>
        <w:spacing w:after="0" w:line="520" w:lineRule="exact"/>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 xml:space="preserve">第2条 </w:t>
      </w:r>
      <w:r>
        <w:rPr>
          <w:rFonts w:hint="eastAsia" w:ascii="仿宋" w:hAnsi="仿宋" w:eastAsia="仿宋" w:cs="仿宋"/>
          <w:b/>
          <w:bCs/>
          <w:color w:val="000000" w:themeColor="text1"/>
          <w:sz w:val="24"/>
          <w:szCs w:val="24"/>
          <w:highlight w:val="none"/>
          <w14:textFill>
            <w14:solidFill>
              <w14:schemeClr w14:val="tx1"/>
            </w14:solidFill>
          </w14:textFill>
        </w:rPr>
        <w:t>服务质量保证</w:t>
      </w:r>
    </w:p>
    <w:p w14:paraId="0F44ADB8">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2.1</w:t>
      </w:r>
      <w:r>
        <w:rPr>
          <w:rFonts w:hint="eastAsia" w:ascii="仿宋" w:hAnsi="仿宋" w:eastAsia="仿宋" w:cs="仿宋"/>
          <w:color w:val="000000" w:themeColor="text1"/>
          <w:sz w:val="24"/>
          <w:szCs w:val="24"/>
          <w:highlight w:val="none"/>
          <w14:textFill>
            <w14:solidFill>
              <w14:schemeClr w14:val="tx1"/>
            </w14:solidFill>
          </w14:textFill>
        </w:rPr>
        <w:t>质量承诺：严格按照国家标准执行</w:t>
      </w:r>
      <w:r>
        <w:rPr>
          <w:rFonts w:hint="eastAsia" w:ascii="仿宋" w:hAnsi="仿宋" w:eastAsia="仿宋" w:cs="仿宋"/>
          <w:color w:val="000000" w:themeColor="text1"/>
          <w:sz w:val="24"/>
          <w:szCs w:val="24"/>
          <w:highlight w:val="none"/>
          <w:lang w:eastAsia="zh-CN"/>
          <w14:textFill>
            <w14:solidFill>
              <w14:schemeClr w14:val="tx1"/>
            </w14:solidFill>
          </w14:textFill>
        </w:rPr>
        <w:t>消防技术服务</w:t>
      </w:r>
      <w:r>
        <w:rPr>
          <w:rFonts w:hint="eastAsia" w:ascii="仿宋" w:hAnsi="仿宋" w:eastAsia="仿宋" w:cs="仿宋"/>
          <w:color w:val="000000" w:themeColor="text1"/>
          <w:sz w:val="24"/>
          <w:szCs w:val="24"/>
          <w:highlight w:val="none"/>
          <w14:textFill>
            <w14:solidFill>
              <w14:schemeClr w14:val="tx1"/>
            </w14:solidFill>
          </w14:textFill>
        </w:rPr>
        <w:t>，确保</w:t>
      </w:r>
      <w:r>
        <w:rPr>
          <w:rFonts w:hint="eastAsia" w:ascii="仿宋" w:hAnsi="仿宋" w:eastAsia="仿宋" w:cs="仿宋"/>
          <w:color w:val="000000" w:themeColor="text1"/>
          <w:sz w:val="24"/>
          <w:szCs w:val="24"/>
          <w:highlight w:val="none"/>
          <w:lang w:eastAsia="zh-CN"/>
          <w14:textFill>
            <w14:solidFill>
              <w14:schemeClr w14:val="tx1"/>
            </w14:solidFill>
          </w14:textFill>
        </w:rPr>
        <w:t>技术结论满足相关消防法律法规的规定，</w:t>
      </w:r>
      <w:r>
        <w:rPr>
          <w:rFonts w:hint="eastAsia" w:ascii="仿宋" w:hAnsi="仿宋" w:eastAsia="仿宋" w:cs="仿宋"/>
          <w:color w:val="000000" w:themeColor="text1"/>
          <w:sz w:val="24"/>
          <w:szCs w:val="24"/>
          <w:highlight w:val="none"/>
          <w14:textFill>
            <w14:solidFill>
              <w14:schemeClr w14:val="tx1"/>
            </w14:solidFill>
          </w14:textFill>
        </w:rPr>
        <w:t>结论客观、准确。每季度接受甲方考核（考核指标包括响应速度、服务质量、客户满意度等），考核不合格的，甲方有权终止合同</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3AD21B99">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2.</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违约责任：因乙方过失导致损失的，乙方需承担赔偿责任。</w:t>
      </w:r>
      <w:r>
        <w:rPr>
          <w:rFonts w:hint="eastAsia" w:ascii="仿宋" w:hAnsi="仿宋" w:eastAsia="仿宋" w:cs="仿宋"/>
          <w:color w:val="000000" w:themeColor="text1"/>
          <w:sz w:val="24"/>
          <w:szCs w:val="24"/>
          <w:highlight w:val="none"/>
          <w:lang w:eastAsia="zh-CN"/>
          <w14:textFill>
            <w14:solidFill>
              <w14:schemeClr w14:val="tx1"/>
            </w14:solidFill>
          </w14:textFill>
        </w:rPr>
        <w:t>乙方消防技术服务存在重大失误，</w:t>
      </w:r>
      <w:r>
        <w:rPr>
          <w:rFonts w:hint="eastAsia" w:ascii="仿宋" w:hAnsi="仿宋" w:eastAsia="仿宋" w:cs="仿宋"/>
          <w:color w:val="000000" w:themeColor="text1"/>
          <w:sz w:val="24"/>
          <w:szCs w:val="24"/>
          <w:highlight w:val="none"/>
          <w14:textFill>
            <w14:solidFill>
              <w14:schemeClr w14:val="tx1"/>
            </w14:solidFill>
          </w14:textFill>
        </w:rPr>
        <w:t>甲方有权终止合同。</w:t>
      </w:r>
      <w:r>
        <w:rPr>
          <w:rFonts w:hint="eastAsia" w:ascii="仿宋" w:hAnsi="仿宋" w:eastAsia="仿宋" w:cs="仿宋"/>
          <w:color w:val="000000" w:themeColor="text1"/>
          <w:sz w:val="24"/>
          <w:szCs w:val="24"/>
          <w:highlight w:val="none"/>
          <w:lang w:eastAsia="zh-CN"/>
          <w14:textFill>
            <w14:solidFill>
              <w14:schemeClr w14:val="tx1"/>
            </w14:solidFill>
          </w14:textFill>
        </w:rPr>
        <w:t>如造成严重后果，乙方应承担相应赔偿责任。</w:t>
      </w:r>
    </w:p>
    <w:p w14:paraId="667A363D">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p>
    <w:p w14:paraId="6FD0E35B">
      <w:pPr>
        <w:numPr>
          <w:ilvl w:val="2"/>
          <w:numId w:val="0"/>
        </w:numPr>
        <w:tabs>
          <w:tab w:val="left" w:pos="0"/>
        </w:tabs>
        <w:spacing w:after="0" w:line="520" w:lineRule="exact"/>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第3条 考核机制</w:t>
      </w:r>
    </w:p>
    <w:p w14:paraId="6795D3DA">
      <w:pPr>
        <w:pStyle w:val="6"/>
        <w:spacing w:before="0" w:after="0" w:line="520" w:lineRule="exact"/>
        <w:ind w:firstLine="64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bidi="ar-SA"/>
          <w14:textFill>
            <w14:solidFill>
              <w14:schemeClr w14:val="tx1"/>
            </w14:solidFill>
          </w14:textFill>
        </w:rPr>
        <w:t>3.1</w:t>
      </w:r>
      <w:r>
        <w:rPr>
          <w:rFonts w:hint="eastAsia" w:ascii="仿宋" w:hAnsi="仿宋" w:eastAsia="仿宋" w:cs="仿宋"/>
          <w:color w:val="000000" w:themeColor="text1"/>
          <w:sz w:val="24"/>
          <w:szCs w:val="24"/>
          <w:highlight w:val="none"/>
          <w14:textFill>
            <w14:solidFill>
              <w14:schemeClr w14:val="tx1"/>
            </w14:solidFill>
          </w14:textFill>
        </w:rPr>
        <w:t>每季度对供应商的服务质量进行考核，考核内容包括服务响应速度、服务质量、客户满意度等</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01B554D6">
      <w:pPr>
        <w:pStyle w:val="6"/>
        <w:spacing w:before="0" w:after="0" w:line="520" w:lineRule="exact"/>
        <w:ind w:firstLine="64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bidi="ar-SA"/>
          <w14:textFill>
            <w14:solidFill>
              <w14:schemeClr w14:val="tx1"/>
            </w14:solidFill>
          </w14:textFill>
        </w:rPr>
        <w:t>3.2</w:t>
      </w:r>
      <w:r>
        <w:rPr>
          <w:rFonts w:hint="eastAsia" w:ascii="仿宋" w:hAnsi="仿宋" w:eastAsia="仿宋" w:cs="仿宋"/>
          <w:color w:val="000000" w:themeColor="text1"/>
          <w:sz w:val="24"/>
          <w:szCs w:val="24"/>
          <w:highlight w:val="none"/>
          <w14:textFill>
            <w14:solidFill>
              <w14:schemeClr w14:val="tx1"/>
            </w14:solidFill>
          </w14:textFill>
        </w:rPr>
        <w:t>考核不合格的供应商，采购方有权终止合同并追究相关责任。</w:t>
      </w:r>
    </w:p>
    <w:p w14:paraId="2C808AC7">
      <w:pPr>
        <w:pStyle w:val="6"/>
        <w:spacing w:before="0" w:after="0" w:line="520" w:lineRule="exact"/>
        <w:ind w:firstLine="640"/>
        <w:rPr>
          <w:rFonts w:hint="eastAsia" w:ascii="仿宋" w:hAnsi="仿宋" w:eastAsia="仿宋" w:cs="仿宋"/>
          <w:color w:val="000000" w:themeColor="text1"/>
          <w:sz w:val="24"/>
          <w:szCs w:val="24"/>
          <w:highlight w:val="none"/>
          <w:lang w:eastAsia="zh-CN"/>
          <w14:textFill>
            <w14:solidFill>
              <w14:schemeClr w14:val="tx1"/>
            </w14:solidFill>
          </w14:textFill>
        </w:rPr>
      </w:pPr>
    </w:p>
    <w:p w14:paraId="538D4B8A">
      <w:pPr>
        <w:numPr>
          <w:ilvl w:val="2"/>
          <w:numId w:val="0"/>
        </w:numPr>
        <w:tabs>
          <w:tab w:val="left" w:pos="0"/>
        </w:tabs>
        <w:spacing w:after="0" w:line="520" w:lineRule="exact"/>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第4条 服务费用标准及支付</w:t>
      </w:r>
    </w:p>
    <w:p w14:paraId="593FD1E9">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①常规技术服务费：其他建设工程(参照《建设工程消防设计审查验收管理暂行规定》第二条)1000元/次;特殊建设工程(参照《建设工程消防设计审查验收管理暂行规定》第十四条)≤10000m2，2000元/次;特殊建设工程&gt;10000m2，3000元/次;</w:t>
      </w:r>
    </w:p>
    <w:p w14:paraId="2EC4B06D">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②涉及消防定性，新、老规范适用性等问题的消防技术服务费：30000元/次；</w:t>
      </w:r>
    </w:p>
    <w:p w14:paraId="47ECBB70">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③不含模拟的消防技术论证费：40000元/次；</w:t>
      </w:r>
    </w:p>
    <w:p w14:paraId="2696554C">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④含模拟的消防技术论证费：60000元/次；</w:t>
      </w:r>
    </w:p>
    <w:p w14:paraId="56B21A90">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⑤自合同签订之日起每季度据实结算，其余费用于服务期满后30日内，根据实际服务次数及考核结果结算，但以上总费用不超过300000元/年；</w:t>
      </w:r>
    </w:p>
    <w:p w14:paraId="1CBF39D6">
      <w:pPr>
        <w:pStyle w:val="5"/>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⑥付款依据：乙方提供等额发票。</w:t>
      </w:r>
    </w:p>
    <w:p w14:paraId="2721FA40">
      <w:pPr>
        <w:numPr>
          <w:ilvl w:val="2"/>
          <w:numId w:val="0"/>
        </w:numPr>
        <w:tabs>
          <w:tab w:val="left" w:pos="0"/>
        </w:tabs>
        <w:spacing w:after="0" w:line="520" w:lineRule="exact"/>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第4条 廉洁说明</w:t>
      </w:r>
    </w:p>
    <w:p w14:paraId="0226B8F6">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4.1</w:t>
      </w:r>
      <w:r>
        <w:rPr>
          <w:rFonts w:hint="eastAsia" w:ascii="仿宋" w:hAnsi="仿宋" w:eastAsia="仿宋" w:cs="仿宋"/>
          <w:color w:val="000000" w:themeColor="text1"/>
          <w:sz w:val="24"/>
          <w:szCs w:val="24"/>
          <w:highlight w:val="none"/>
          <w14:textFill>
            <w14:solidFill>
              <w14:schemeClr w14:val="tx1"/>
            </w14:solidFill>
          </w14:textFill>
        </w:rPr>
        <w:t>甲</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乙双方须严格遵守国家廉政规定，禁止以任何形式索取或收受回扣、礼品、宴请等不正当利益</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56B0235D">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4.2</w:t>
      </w:r>
      <w:r>
        <w:rPr>
          <w:rFonts w:hint="eastAsia" w:ascii="仿宋" w:hAnsi="仿宋" w:eastAsia="仿宋" w:cs="仿宋"/>
          <w:color w:val="000000" w:themeColor="text1"/>
          <w:sz w:val="24"/>
          <w:szCs w:val="24"/>
          <w:highlight w:val="none"/>
          <w14:textFill>
            <w14:solidFill>
              <w14:schemeClr w14:val="tx1"/>
            </w14:solidFill>
          </w14:textFill>
        </w:rPr>
        <w:t>乙方不得与甲方工作人员私下接触或干预</w:t>
      </w:r>
      <w:r>
        <w:rPr>
          <w:rFonts w:hint="eastAsia" w:ascii="仿宋" w:hAnsi="仿宋" w:eastAsia="仿宋" w:cs="仿宋"/>
          <w:color w:val="000000" w:themeColor="text1"/>
          <w:sz w:val="24"/>
          <w:szCs w:val="24"/>
          <w:highlight w:val="none"/>
          <w:lang w:eastAsia="zh-CN"/>
          <w14:textFill>
            <w14:solidFill>
              <w14:schemeClr w14:val="tx1"/>
            </w14:solidFill>
          </w14:textFill>
        </w:rPr>
        <w:t>消防技术服务</w:t>
      </w:r>
      <w:r>
        <w:rPr>
          <w:rFonts w:hint="eastAsia" w:ascii="仿宋" w:hAnsi="仿宋" w:eastAsia="仿宋" w:cs="仿宋"/>
          <w:color w:val="000000" w:themeColor="text1"/>
          <w:sz w:val="24"/>
          <w:szCs w:val="24"/>
          <w:highlight w:val="none"/>
          <w14:textFill>
            <w14:solidFill>
              <w14:schemeClr w14:val="tx1"/>
            </w14:solidFill>
          </w14:textFill>
        </w:rPr>
        <w:t>公正性</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390C4B62">
      <w:pPr>
        <w:pStyle w:val="6"/>
        <w:spacing w:before="0" w:after="0" w:line="520" w:lineRule="exact"/>
        <w:ind w:firstLine="641"/>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4.3</w:t>
      </w:r>
      <w:r>
        <w:rPr>
          <w:rFonts w:hint="eastAsia" w:ascii="仿宋" w:hAnsi="仿宋" w:eastAsia="仿宋" w:cs="仿宋"/>
          <w:color w:val="000000" w:themeColor="text1"/>
          <w:sz w:val="24"/>
          <w:szCs w:val="24"/>
          <w:highlight w:val="none"/>
          <w:lang w:eastAsia="zh-CN"/>
          <w14:textFill>
            <w14:solidFill>
              <w14:schemeClr w14:val="tx1"/>
            </w14:solidFill>
          </w14:textFill>
        </w:rPr>
        <w:t>乙方必须按照国家相关消防法律法规及规范和标准进行消防技术服务，不得违反相关消防法律、法规及规范，不得提高或者降低相关技术标准；</w:t>
      </w:r>
    </w:p>
    <w:p w14:paraId="4DE8B6C9">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4.4</w:t>
      </w:r>
      <w:r>
        <w:rPr>
          <w:rFonts w:hint="eastAsia" w:ascii="仿宋" w:hAnsi="仿宋" w:eastAsia="仿宋" w:cs="仿宋"/>
          <w:color w:val="000000" w:themeColor="text1"/>
          <w:sz w:val="24"/>
          <w:szCs w:val="24"/>
          <w:highlight w:val="none"/>
          <w:lang w:eastAsia="zh-CN"/>
          <w14:textFill>
            <w14:solidFill>
              <w14:schemeClr w14:val="tx1"/>
            </w14:solidFill>
          </w14:textFill>
        </w:rPr>
        <w:t>乙方在技术服务过程中，不得向被服务单位收取任何费用，不得向被服务单位推荐消防施工单位和消防产品；</w:t>
      </w:r>
    </w:p>
    <w:p w14:paraId="5F538E18">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4.5</w:t>
      </w:r>
      <w:r>
        <w:rPr>
          <w:rFonts w:hint="eastAsia" w:ascii="仿宋" w:hAnsi="仿宋" w:eastAsia="仿宋" w:cs="仿宋"/>
          <w:color w:val="000000" w:themeColor="text1"/>
          <w:sz w:val="24"/>
          <w:szCs w:val="24"/>
          <w:highlight w:val="none"/>
          <w:lang w:eastAsia="zh-CN"/>
          <w14:textFill>
            <w14:solidFill>
              <w14:schemeClr w14:val="tx1"/>
            </w14:solidFill>
          </w14:textFill>
        </w:rPr>
        <w:t>乙方不得将服务转包或分包，未经甲方书面同意，不得更换项目机构核心人员；</w:t>
      </w:r>
    </w:p>
    <w:p w14:paraId="3A52BFFD">
      <w:pPr>
        <w:pStyle w:val="6"/>
        <w:spacing w:before="0" w:after="0" w:line="520" w:lineRule="exact"/>
        <w:ind w:firstLine="641"/>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4.6</w:t>
      </w:r>
      <w:r>
        <w:rPr>
          <w:rFonts w:hint="eastAsia" w:ascii="仿宋" w:hAnsi="仿宋" w:eastAsia="仿宋" w:cs="仿宋"/>
          <w:color w:val="000000" w:themeColor="text1"/>
          <w:sz w:val="24"/>
          <w:szCs w:val="24"/>
          <w:highlight w:val="none"/>
          <w:lang w:eastAsia="zh-CN"/>
          <w14:textFill>
            <w14:solidFill>
              <w14:schemeClr w14:val="tx1"/>
            </w14:solidFill>
          </w14:textFill>
        </w:rPr>
        <w:t>违约处理：一方违</w:t>
      </w:r>
      <w:r>
        <w:rPr>
          <w:rFonts w:hint="eastAsia" w:ascii="仿宋" w:hAnsi="仿宋" w:eastAsia="仿宋" w:cs="仿宋"/>
          <w:color w:val="000000" w:themeColor="text1"/>
          <w:sz w:val="24"/>
          <w:szCs w:val="24"/>
          <w:highlight w:val="none"/>
          <w14:textFill>
            <w14:solidFill>
              <w14:schemeClr w14:val="tx1"/>
            </w14:solidFill>
          </w14:textFill>
        </w:rPr>
        <w:t>反廉洁条款，守约方有权终止合同并追偿损失；涉嫌违法的，移交司法机关处理。</w:t>
      </w:r>
    </w:p>
    <w:p w14:paraId="59257F46">
      <w:pPr>
        <w:pStyle w:val="2"/>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第5条 合同期限</w:t>
      </w:r>
    </w:p>
    <w:p w14:paraId="17A7DE3F">
      <w:pPr>
        <w:pStyle w:val="2"/>
        <w:spacing w:before="0" w:after="0" w:line="520" w:lineRule="exact"/>
        <w:ind w:firstLine="64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本合同有效期自合同签订之日起至一年内。</w:t>
      </w:r>
    </w:p>
    <w:p w14:paraId="4E961135">
      <w:pPr>
        <w:pStyle w:val="2"/>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p>
    <w:p w14:paraId="1D1AD8F4">
      <w:pPr>
        <w:pStyle w:val="2"/>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第6条 合同的变更</w:t>
      </w:r>
    </w:p>
    <w:p w14:paraId="084858C6">
      <w:pPr>
        <w:pStyle w:val="2"/>
        <w:spacing w:before="0" w:after="0" w:line="520" w:lineRule="exact"/>
        <w:ind w:firstLine="64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任何一方要求变更本合同条款，需双方再行协商，签订变更协议，未经书面变更的任何内容，不对甲、乙双方产生法律效力。</w:t>
      </w:r>
    </w:p>
    <w:p w14:paraId="5EA3E00B">
      <w:pPr>
        <w:pStyle w:val="2"/>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p>
    <w:p w14:paraId="6DD34DCE">
      <w:pPr>
        <w:pStyle w:val="2"/>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第7条 其 他</w:t>
      </w:r>
    </w:p>
    <w:p w14:paraId="0A48A0B0">
      <w:pPr>
        <w:pStyle w:val="6"/>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    </w:t>
      </w:r>
      <w:r>
        <w:rPr>
          <w:rFonts w:hint="eastAsia" w:ascii="仿宋" w:hAnsi="仿宋" w:eastAsia="仿宋" w:cs="仿宋"/>
          <w:b/>
          <w:bCs/>
          <w:color w:val="000000" w:themeColor="text1"/>
          <w:sz w:val="24"/>
          <w:szCs w:val="24"/>
          <w:highlight w:val="none"/>
          <w:lang w:eastAsia="zh-CN"/>
          <w14:textFill>
            <w14:solidFill>
              <w14:schemeClr w14:val="tx1"/>
            </w14:solidFill>
          </w14:textFill>
        </w:rPr>
        <w:t>7.1</w:t>
      </w:r>
      <w:r>
        <w:rPr>
          <w:rFonts w:hint="eastAsia" w:ascii="仿宋" w:hAnsi="仿宋" w:eastAsia="仿宋" w:cs="仿宋"/>
          <w:color w:val="000000" w:themeColor="text1"/>
          <w:sz w:val="24"/>
          <w:szCs w:val="24"/>
          <w:highlight w:val="none"/>
          <w14:textFill>
            <w14:solidFill>
              <w14:schemeClr w14:val="tx1"/>
            </w14:solidFill>
          </w14:textFill>
        </w:rPr>
        <w:t>保密义务：双方对获知的</w:t>
      </w:r>
      <w:r>
        <w:rPr>
          <w:rFonts w:hint="eastAsia" w:ascii="仿宋" w:hAnsi="仿宋" w:eastAsia="仿宋" w:cs="仿宋"/>
          <w:color w:val="000000" w:themeColor="text1"/>
          <w:sz w:val="24"/>
          <w:szCs w:val="24"/>
          <w:highlight w:val="none"/>
          <w:lang w:eastAsia="zh-CN"/>
          <w14:textFill>
            <w14:solidFill>
              <w14:schemeClr w14:val="tx1"/>
            </w14:solidFill>
          </w14:textFill>
        </w:rPr>
        <w:t>文档资料</w:t>
      </w:r>
      <w:r>
        <w:rPr>
          <w:rFonts w:hint="eastAsia" w:ascii="仿宋" w:hAnsi="仿宋" w:eastAsia="仿宋" w:cs="仿宋"/>
          <w:color w:val="000000" w:themeColor="text1"/>
          <w:sz w:val="24"/>
          <w:szCs w:val="24"/>
          <w:highlight w:val="none"/>
          <w14:textFill>
            <w14:solidFill>
              <w14:schemeClr w14:val="tx1"/>
            </w14:solidFill>
          </w14:textFill>
        </w:rPr>
        <w:t>、技术资料等保密，未经同意不得向第三方泄露</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20BABBAA">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7.2</w:t>
      </w:r>
      <w:r>
        <w:rPr>
          <w:rFonts w:hint="eastAsia" w:ascii="仿宋" w:hAnsi="仿宋" w:eastAsia="仿宋" w:cs="仿宋"/>
          <w:color w:val="000000" w:themeColor="text1"/>
          <w:sz w:val="24"/>
          <w:szCs w:val="24"/>
          <w:highlight w:val="none"/>
          <w:lang w:eastAsia="zh-CN"/>
          <w14:textFill>
            <w14:solidFill>
              <w14:schemeClr w14:val="tx1"/>
            </w14:solidFill>
          </w14:textFill>
        </w:rPr>
        <w:t>本合同未尽事宜，双方另行协商解决。双方因履行本合同发生争议，亦应协商解决，协商不能解决时，依法提交雁塔区人民法院诉讼解决；</w:t>
      </w:r>
    </w:p>
    <w:p w14:paraId="69F97C1A">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7.3</w:t>
      </w:r>
      <w:r>
        <w:rPr>
          <w:rFonts w:hint="eastAsia" w:ascii="仿宋" w:hAnsi="仿宋" w:eastAsia="仿宋" w:cs="仿宋"/>
          <w:color w:val="000000" w:themeColor="text1"/>
          <w:sz w:val="24"/>
          <w:szCs w:val="24"/>
          <w:highlight w:val="none"/>
          <w:lang w:eastAsia="zh-CN"/>
          <w14:textFill>
            <w14:solidFill>
              <w14:schemeClr w14:val="tx1"/>
            </w14:solidFill>
          </w14:textFill>
        </w:rPr>
        <w:t>本合同一式</w:t>
      </w:r>
      <w:r>
        <w:rPr>
          <w:rFonts w:hint="eastAsia" w:ascii="仿宋" w:hAnsi="仿宋" w:eastAsia="仿宋" w:cs="仿宋"/>
          <w:color w:val="000000" w:themeColor="text1"/>
          <w:sz w:val="24"/>
          <w:szCs w:val="24"/>
          <w:highlight w:val="none"/>
          <w:lang w:val="en-US" w:eastAsia="zh-CN"/>
          <w14:textFill>
            <w14:solidFill>
              <w14:schemeClr w14:val="tx1"/>
            </w14:solidFill>
          </w14:textFill>
        </w:rPr>
        <w:t>肆</w:t>
      </w:r>
      <w:r>
        <w:rPr>
          <w:rFonts w:hint="eastAsia" w:ascii="仿宋" w:hAnsi="仿宋" w:eastAsia="仿宋" w:cs="仿宋"/>
          <w:color w:val="000000" w:themeColor="text1"/>
          <w:sz w:val="24"/>
          <w:szCs w:val="24"/>
          <w:highlight w:val="none"/>
          <w:lang w:eastAsia="zh-CN"/>
          <w14:textFill>
            <w14:solidFill>
              <w14:schemeClr w14:val="tx1"/>
            </w14:solidFill>
          </w14:textFill>
        </w:rPr>
        <w:t>份，甲方</w:t>
      </w:r>
      <w:r>
        <w:rPr>
          <w:rFonts w:hint="eastAsia" w:ascii="仿宋" w:hAnsi="仿宋" w:eastAsia="仿宋" w:cs="仿宋"/>
          <w:color w:val="000000" w:themeColor="text1"/>
          <w:sz w:val="24"/>
          <w:szCs w:val="24"/>
          <w:highlight w:val="none"/>
          <w:lang w:val="en-US" w:eastAsia="zh-CN"/>
          <w14:textFill>
            <w14:solidFill>
              <w14:schemeClr w14:val="tx1"/>
            </w14:solidFill>
          </w14:textFill>
        </w:rPr>
        <w:t>贰</w:t>
      </w:r>
      <w:r>
        <w:rPr>
          <w:rFonts w:hint="eastAsia" w:ascii="仿宋" w:hAnsi="仿宋" w:eastAsia="仿宋" w:cs="仿宋"/>
          <w:color w:val="000000" w:themeColor="text1"/>
          <w:sz w:val="24"/>
          <w:szCs w:val="24"/>
          <w:highlight w:val="none"/>
          <w:lang w:eastAsia="zh-CN"/>
          <w14:textFill>
            <w14:solidFill>
              <w14:schemeClr w14:val="tx1"/>
            </w14:solidFill>
          </w14:textFill>
        </w:rPr>
        <w:t>份，乙方</w:t>
      </w:r>
      <w:r>
        <w:rPr>
          <w:rFonts w:hint="eastAsia" w:ascii="仿宋" w:hAnsi="仿宋" w:eastAsia="仿宋" w:cs="仿宋"/>
          <w:color w:val="000000" w:themeColor="text1"/>
          <w:sz w:val="24"/>
          <w:szCs w:val="24"/>
          <w:highlight w:val="none"/>
          <w:lang w:val="en-US" w:eastAsia="zh-CN"/>
          <w14:textFill>
            <w14:solidFill>
              <w14:schemeClr w14:val="tx1"/>
            </w14:solidFill>
          </w14:textFill>
        </w:rPr>
        <w:t>贰</w:t>
      </w:r>
      <w:r>
        <w:rPr>
          <w:rFonts w:hint="eastAsia" w:ascii="仿宋" w:hAnsi="仿宋" w:eastAsia="仿宋" w:cs="仿宋"/>
          <w:color w:val="000000" w:themeColor="text1"/>
          <w:sz w:val="24"/>
          <w:szCs w:val="24"/>
          <w:highlight w:val="none"/>
          <w:lang w:eastAsia="zh-CN"/>
          <w14:textFill>
            <w14:solidFill>
              <w14:schemeClr w14:val="tx1"/>
            </w14:solidFill>
          </w14:textFill>
        </w:rPr>
        <w:t>份；</w:t>
      </w:r>
    </w:p>
    <w:p w14:paraId="51B7B860">
      <w:pPr>
        <w:pStyle w:val="6"/>
        <w:spacing w:before="0" w:after="0" w:line="520" w:lineRule="exact"/>
        <w:ind w:firstLine="641"/>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7.4</w:t>
      </w:r>
      <w:r>
        <w:rPr>
          <w:rFonts w:hint="eastAsia" w:ascii="仿宋" w:hAnsi="仿宋" w:eastAsia="仿宋" w:cs="仿宋"/>
          <w:color w:val="000000" w:themeColor="text1"/>
          <w:sz w:val="24"/>
          <w:szCs w:val="24"/>
          <w:highlight w:val="none"/>
          <w:lang w:eastAsia="zh-CN"/>
          <w14:textFill>
            <w14:solidFill>
              <w14:schemeClr w14:val="tx1"/>
            </w14:solidFill>
          </w14:textFill>
        </w:rPr>
        <w:t>本合同自甲、乙双方签字/盖章之日起生效。</w:t>
      </w:r>
    </w:p>
    <w:p w14:paraId="0C346A3A">
      <w:pPr>
        <w:pStyle w:val="6"/>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以下无正文！</w:t>
      </w:r>
    </w:p>
    <w:p w14:paraId="57A6EB57">
      <w:pPr>
        <w:pStyle w:val="2"/>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   </w:t>
      </w:r>
    </w:p>
    <w:p w14:paraId="57085985">
      <w:pPr>
        <w:pStyle w:val="2"/>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p>
    <w:p w14:paraId="3221FF57">
      <w:pPr>
        <w:pStyle w:val="2"/>
        <w:spacing w:before="0" w:after="0" w:line="520" w:lineRule="exact"/>
        <w:ind w:firstLine="0" w:firstLineChars="0"/>
        <w:rPr>
          <w:rFonts w:hint="eastAsia" w:ascii="仿宋" w:hAnsi="仿宋" w:eastAsia="仿宋" w:cs="仿宋"/>
          <w:color w:val="000000" w:themeColor="text1"/>
          <w:sz w:val="24"/>
          <w:szCs w:val="24"/>
          <w:highlight w:val="none"/>
          <w:lang w:eastAsia="zh-CN"/>
          <w14:textFill>
            <w14:solidFill>
              <w14:schemeClr w14:val="tx1"/>
            </w14:solidFill>
          </w14:textFill>
        </w:rPr>
      </w:pPr>
    </w:p>
    <w:p w14:paraId="4D1C6EC9">
      <w:pPr>
        <w:pStyle w:val="7"/>
        <w:spacing w:before="0" w:after="0" w:line="520" w:lineRule="exact"/>
        <w:ind w:firstLine="0" w:firstLineChars="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甲方（盖章）：______（单位全称）</w:t>
      </w: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乙方（盖章）：______（单位全称）</w:t>
      </w:r>
      <w:r>
        <w:rPr>
          <w:rFonts w:hint="eastAsia" w:ascii="仿宋" w:hAnsi="仿宋" w:eastAsia="仿宋" w:cs="仿宋"/>
          <w:color w:val="000000" w:themeColor="text1"/>
          <w:sz w:val="24"/>
          <w:szCs w:val="24"/>
          <w:highlight w:val="none"/>
          <w14:textFill>
            <w14:solidFill>
              <w14:schemeClr w14:val="tx1"/>
            </w14:solidFill>
          </w14:textFill>
        </w:rPr>
        <w:br w:type="textWrapping"/>
      </w:r>
      <w:r>
        <w:rPr>
          <w:rFonts w:hint="eastAsia" w:ascii="仿宋" w:hAnsi="仿宋" w:eastAsia="仿宋" w:cs="仿宋"/>
          <w:color w:val="000000" w:themeColor="text1"/>
          <w:sz w:val="24"/>
          <w:szCs w:val="24"/>
          <w:highlight w:val="none"/>
          <w14:textFill>
            <w14:solidFill>
              <w14:schemeClr w14:val="tx1"/>
            </w14:solidFill>
          </w14:textFill>
        </w:rPr>
        <w:t>法定代表人/授权代表签字：_________</w:t>
      </w: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法定代表人/授权代表签字：________</w:t>
      </w:r>
      <w:r>
        <w:rPr>
          <w:rFonts w:hint="eastAsia" w:ascii="仿宋" w:hAnsi="仿宋" w:eastAsia="仿宋" w:cs="仿宋"/>
          <w:color w:val="000000" w:themeColor="text1"/>
          <w:sz w:val="24"/>
          <w:szCs w:val="24"/>
          <w:highlight w:val="none"/>
          <w14:textFill>
            <w14:solidFill>
              <w14:schemeClr w14:val="tx1"/>
            </w14:solidFill>
          </w14:textFill>
        </w:rPr>
        <w:br w:type="textWrapping"/>
      </w:r>
      <w:r>
        <w:rPr>
          <w:rFonts w:hint="eastAsia" w:ascii="仿宋" w:hAnsi="仿宋" w:eastAsia="仿宋" w:cs="仿宋"/>
          <w:color w:val="000000" w:themeColor="text1"/>
          <w:sz w:val="24"/>
          <w:szCs w:val="24"/>
          <w:highlight w:val="none"/>
          <w14:textFill>
            <w14:solidFill>
              <w14:schemeClr w14:val="tx1"/>
            </w14:solidFill>
          </w14:textFill>
        </w:rPr>
        <w:t>日期：_________</w:t>
      </w: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日期：_________</w:t>
      </w:r>
    </w:p>
    <w:p w14:paraId="03D6F863">
      <w:pPr>
        <w:rPr>
          <w:rFonts w:hint="eastAsia" w:ascii="仿宋" w:hAnsi="仿宋" w:eastAsia="仿宋" w:cs="仿宋"/>
          <w:sz w:val="24"/>
          <w:szCs w:val="24"/>
          <w:highlight w:val="none"/>
        </w:rPr>
      </w:pPr>
    </w:p>
    <w:p w14:paraId="27603D00">
      <w:pPr>
        <w:pStyle w:val="5"/>
        <w:rPr>
          <w:rFonts w:hint="eastAsia" w:ascii="仿宋" w:hAnsi="仿宋" w:eastAsia="仿宋" w:cs="仿宋"/>
          <w:lang w:val="en-US" w:eastAsia="zh-Hans"/>
        </w:rPr>
      </w:pPr>
      <w:r>
        <w:rPr>
          <w:rFonts w:hint="eastAsia" w:ascii="仿宋" w:hAnsi="仿宋" w:eastAsia="仿宋" w:cs="仿宋"/>
        </w:rPr>
        <w:br w:type="textWrapping"/>
      </w:r>
    </w:p>
    <w:p w14:paraId="7E470B5D"/>
    <w:p w14:paraId="03CEA660">
      <w:pPr>
        <w:pStyle w:val="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8E5D2E"/>
    <w:multiLevelType w:val="singleLevel"/>
    <w:tmpl w:val="BF8E5D2E"/>
    <w:lvl w:ilvl="0" w:tentative="0">
      <w:start w:val="1"/>
      <w:numFmt w:val="decimal"/>
      <w:suff w:val="space"/>
      <w:lvlText w:val="第%1条"/>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2321B4"/>
    <w:rsid w:val="1980184D"/>
    <w:rsid w:val="2341675B"/>
    <w:rsid w:val="29C73429"/>
    <w:rsid w:val="2A232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Compact"/>
    <w:basedOn w:val="2"/>
    <w:qFormat/>
    <w:uiPriority w:val="0"/>
    <w:pPr>
      <w:spacing w:before="36" w:after="36"/>
    </w:pPr>
  </w:style>
  <w:style w:type="paragraph" w:customStyle="1" w:styleId="7">
    <w:name w:val="First Paragraph"/>
    <w:basedOn w:val="2"/>
    <w:next w:val="2"/>
    <w:qFormat/>
    <w:uiPriority w:val="0"/>
    <w:pPr>
      <w:ind w:firstLine="7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2048</Words>
  <Characters>2163</Characters>
  <Lines>0</Lines>
  <Paragraphs>0</Paragraphs>
  <TotalTime>0</TotalTime>
  <ScaleCrop>false</ScaleCrop>
  <LinksUpToDate>false</LinksUpToDate>
  <CharactersWithSpaces>2421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2026-07-16T03:56:00Z</dcterms:created>
  <dc:creator>WPS_434316288</dc:creator>
  <cp:lastModifiedBy>柔眸</cp:lastModifiedBy>
  <dcterms:modified xsi:type="dcterms:W3CDTF">2026-07-16T11:38:45Z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B84C448448854C54959AEFBC56125A68_11</vt:lpwstr>
  </property>
  <property fmtid="{D5CDD505-2E9C-101B-9397-08002B2CF9AE}" pid="4" name="KSOTemplateDocerSaveRecord">
    <vt:lpwstr>eyJoZGlkIjoiYzI5Zjg5NmEyNTUwODA0NzRmNmE0MTk5YmNkYWM2ZmIiLCJ1c2VySWQiOiIxODY2NTE1OTY0In0=</vt:lpwstr>
  </property>
</Properties>
</file>