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版本号：SHZB2026018-220260513001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漳浒寨街道机关食堂食材配送服务采购项目(二次)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SHZB2026018-2</w:t>
      </w:r>
      <w:r>
        <w:br/>
      </w:r>
      <w:r>
        <w:br/>
      </w:r>
      <w:r>
        <w:br/>
      </w:r>
    </w:p>
    <w:p>
      <w:pPr>
        <w:pStyle w:val="null3"/>
        <w:jc w:val="center"/>
        <w:outlineLvl w:val="2"/>
      </w:pPr>
      <w:r>
        <w:rPr>
          <w:rFonts w:ascii="仿宋_GB2312" w:hAnsi="仿宋_GB2312" w:cs="仿宋_GB2312" w:eastAsia="仿宋_GB2312"/>
          <w:sz w:val="28"/>
          <w:b/>
        </w:rPr>
        <w:t>漳浒寨街道办事处</w:t>
      </w:r>
    </w:p>
    <w:p>
      <w:pPr>
        <w:pStyle w:val="null3"/>
        <w:jc w:val="center"/>
        <w:outlineLvl w:val="2"/>
      </w:pPr>
      <w:r>
        <w:rPr>
          <w:rFonts w:ascii="仿宋_GB2312" w:hAnsi="仿宋_GB2312" w:cs="仿宋_GB2312" w:eastAsia="仿宋_GB2312"/>
          <w:sz w:val="28"/>
          <w:b/>
        </w:rPr>
        <w:t>陕西世豪项目管理有限公司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陕西世豪项目管理有限公司</w:t>
      </w:r>
      <w:r>
        <w:rPr>
          <w:rFonts w:ascii="仿宋_GB2312" w:hAnsi="仿宋_GB2312" w:cs="仿宋_GB2312" w:eastAsia="仿宋_GB2312"/>
        </w:rPr>
        <w:t>（以下简称“代理机构”）受</w:t>
      </w:r>
      <w:r>
        <w:rPr>
          <w:rFonts w:ascii="仿宋_GB2312" w:hAnsi="仿宋_GB2312" w:cs="仿宋_GB2312" w:eastAsia="仿宋_GB2312"/>
        </w:rPr>
        <w:t>漳浒寨街道办事处</w:t>
      </w:r>
      <w:r>
        <w:rPr>
          <w:rFonts w:ascii="仿宋_GB2312" w:hAnsi="仿宋_GB2312" w:cs="仿宋_GB2312" w:eastAsia="仿宋_GB2312"/>
        </w:rPr>
        <w:t>委托，拟对</w:t>
      </w:r>
      <w:r>
        <w:rPr>
          <w:rFonts w:ascii="仿宋_GB2312" w:hAnsi="仿宋_GB2312" w:cs="仿宋_GB2312" w:eastAsia="仿宋_GB2312"/>
        </w:rPr>
        <w:t>漳浒寨街道机关食堂食材配送服务采购项目(二次)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SHZB2026018-2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漳浒寨街道机关食堂食材配送服务采购项目(二次)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漳浒寨街道机关食堂食材配送服务采购项目，主要包括米、面、油、蔬菜、瓜果、肉类、乳制品、调料等原材料的供应采购，具体详见磋商文件。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采购包1（漳浒寨街道机关食堂食材配送服务采购项目）：属于专门面向中小企业采购。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2024年度或2025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3、税收缴纳证明：提供2025年1月至今已缴纳的任意1个月的纳税证明或完税证明，依法免税的单位应提供相关证明材料。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2025年1月至今已缴纳的任意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7、授权书被授权人身份证：法定代表人参加磋商的，须提供法定代表人身份证；法定代表人授权本单位他人参加磋商的，须提供法定代表人授权委托书及被授权代表开标截止前三个月内任意一个月在本单位的社会保险缴纳证明。供应商需在项目电子化交易系统中按要求上传相应证明文件并进行电子签章。</w:t>
      </w:r>
    </w:p>
    <w:p>
      <w:pPr>
        <w:pStyle w:val="null3"/>
      </w:pPr>
      <w:r>
        <w:rPr>
          <w:rFonts w:ascii="仿宋_GB2312" w:hAnsi="仿宋_GB2312" w:cs="仿宋_GB2312" w:eastAsia="仿宋_GB2312"/>
        </w:rPr>
        <w:t>8、企业资质：供应商是生产厂家的须提供有效的食品生产许可证，或食品安全监督管理部门备案凭证。供应商为经销商的须提供有效的食品经营许可证，或食品安全监督管理部门备案凭证。供应商需在项目电子化交易系统中按要求上传相应证明文件并进行电子签章。</w:t>
      </w:r>
    </w:p>
    <w:p>
      <w:pPr>
        <w:pStyle w:val="null3"/>
      </w:pPr>
      <w:r>
        <w:rPr>
          <w:rFonts w:ascii="仿宋_GB2312" w:hAnsi="仿宋_GB2312" w:cs="仿宋_GB2312" w:eastAsia="仿宋_GB2312"/>
        </w:rPr>
        <w:t>9、是否接受联合体投标：本合同包不接受联合体投标，提供非联合体投标声明。供应商需在项目电子化交易系统中按要求上传相应证明文件并进行电子签章。</w:t>
      </w:r>
    </w:p>
    <w:p>
      <w:pPr>
        <w:pStyle w:val="null3"/>
      </w:pPr>
      <w:r>
        <w:rPr>
          <w:rFonts w:ascii="仿宋_GB2312" w:hAnsi="仿宋_GB2312" w:cs="仿宋_GB2312" w:eastAsia="仿宋_GB2312"/>
        </w:rPr>
        <w:t>10、中小企业：本合同包为专门面向中小企业采购（提供中小企业声明函或监狱企业的证明文件或残疾人福利性单位声明函）。供应商需在项目电子化交易系统中按要求上传相应证明文件并进行电子签章。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漳浒寨街道办事处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鱼跃路与富源四路十字西北角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漳浒寨街道办事处经办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15686246691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陕西世豪项目管理有限公司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陕西省西安市高新区锦业路绿地中心A座1208室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孙思雨、邹建强、王芳妮、石拓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15691903320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采购包1：887,800.00元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以采购预算为基数，参照国家计委颁布《招标代理服务收费管理暂行办法》（计价格[2002]1980号）和《关于招标代理服务收费有关问题的通知》（发改办价格[2003]857号）文件按照10000.00元计取。 采购代理服务费缴纳账户： 开户名称：陕西世豪项目管理有限公司 开户银行：西安银行股份有限公司高新四路支行 账 号：611011580000043137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漳浒寨街道办事处</w:t>
      </w:r>
      <w:r>
        <w:rPr>
          <w:rFonts w:ascii="仿宋_GB2312" w:hAnsi="仿宋_GB2312" w:cs="仿宋_GB2312" w:eastAsia="仿宋_GB2312"/>
        </w:rPr>
        <w:t>和</w:t>
      </w:r>
      <w:r>
        <w:rPr>
          <w:rFonts w:ascii="仿宋_GB2312" w:hAnsi="仿宋_GB2312" w:cs="仿宋_GB2312" w:eastAsia="仿宋_GB2312"/>
        </w:rPr>
        <w:t>陕西世豪项目管理有限公司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漳浒寨街道办事处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陕西世豪项目管理有限公司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漳浒寨街道办事处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陕西世豪项目管理有限公司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陕西世豪项目管理有限公司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陕西世豪项目管理有限公司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陕西世豪项目管理有限公司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联系人：孙思雨、邹建强、王芳妮、石拓</w:t>
      </w:r>
    </w:p>
    <w:p>
      <w:pPr>
        <w:pStyle w:val="null3"/>
      </w:pPr>
      <w:r>
        <w:rPr>
          <w:rFonts w:ascii="仿宋_GB2312" w:hAnsi="仿宋_GB2312" w:cs="仿宋_GB2312" w:eastAsia="仿宋_GB2312"/>
        </w:rPr>
        <w:t>联系电话：15691903320</w:t>
      </w:r>
    </w:p>
    <w:p>
      <w:pPr>
        <w:pStyle w:val="null3"/>
      </w:pPr>
      <w:r>
        <w:rPr>
          <w:rFonts w:ascii="仿宋_GB2312" w:hAnsi="仿宋_GB2312" w:cs="仿宋_GB2312" w:eastAsia="仿宋_GB2312"/>
        </w:rPr>
        <w:t>地址：陕西省西安市高新区锦业路绿地中心A座1208室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漳浒寨街道机关食堂食材配送服务采购项目，主要包括米、面、油、蔬菜、瓜果、肉类、乳制品、调料等原材料的供应采购，具体详见磋商文件。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887,800.00</w:t>
      </w:r>
    </w:p>
    <w:p>
      <w:pPr>
        <w:pStyle w:val="null3"/>
      </w:pPr>
      <w:r>
        <w:rPr>
          <w:rFonts w:ascii="仿宋_GB2312" w:hAnsi="仿宋_GB2312" w:cs="仿宋_GB2312" w:eastAsia="仿宋_GB2312"/>
        </w:rPr>
        <w:t>采购包最高限价（元）: 887,800.00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米 面 油 蔬菜 瓜果 肉类 乳制品 调料等原材料</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887,800.00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标的名称：米 面 油 蔬菜 瓜果 肉类 乳制品 调料等原材料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tbl>
            <w:tblPr>
              <w:tblInd w:type="dxa" w:w="120"/>
              <w:tblBorders>
                <w:top w:val="none" w:color="000000" w:sz="4"/>
                <w:left w:val="none" w:color="000000" w:sz="4"/>
                <w:bottom w:val="none" w:color="000000" w:sz="4"/>
                <w:right w:val="none" w:color="000000" w:sz="4"/>
                <w:insideH w:val="none"/>
                <w:insideV w:val="none"/>
              </w:tblBorders>
            </w:tblPr>
            <w:tblGrid>
              <w:gridCol w:w="1442"/>
              <w:gridCol w:w="1111"/>
            </w:tblGrid>
            <w:tr>
              <w:tc>
                <w:tcPr>
                  <w:tcW w:type="dxa" w:w="1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采购内容</w:t>
                  </w:r>
                </w:p>
              </w:tc>
              <w:tc>
                <w:tcPr>
                  <w:tcW w:type="dxa" w:w="1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采购金额</w:t>
                  </w:r>
                  <w:r>
                    <w:rPr>
                      <w:rFonts w:ascii="仿宋_GB2312" w:hAnsi="仿宋_GB2312" w:cs="仿宋_GB2312" w:eastAsia="仿宋_GB2312"/>
                      <w:sz w:val="24"/>
                      <w:b/>
                    </w:rPr>
                    <w:t>(元）</w:t>
                  </w:r>
                </w:p>
              </w:tc>
            </w:tr>
            <w:tr>
              <w:tc>
                <w:tcPr>
                  <w:tcW w:type="dxa" w:w="1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漳浒寨街道机关食堂食材配送服务采购项目</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887800.00</w:t>
                  </w:r>
                </w:p>
              </w:tc>
            </w:tr>
          </w:tbl>
          <w:p>
            <w:pPr>
              <w:pStyle w:val="null3"/>
              <w:jc w:val="both"/>
            </w:pPr>
            <w:r>
              <w:rPr>
                <w:rFonts w:ascii="仿宋_GB2312" w:hAnsi="仿宋_GB2312" w:cs="仿宋_GB2312" w:eastAsia="仿宋_GB2312"/>
                <w:sz w:val="24"/>
                <w:b/>
              </w:rPr>
              <w:t>二、商务要求</w:t>
            </w:r>
          </w:p>
          <w:p>
            <w:pPr>
              <w:pStyle w:val="null3"/>
              <w:ind w:firstLine="482"/>
              <w:jc w:val="both"/>
            </w:pPr>
            <w:r>
              <w:rPr>
                <w:rFonts w:ascii="仿宋_GB2312" w:hAnsi="仿宋_GB2312" w:cs="仿宋_GB2312" w:eastAsia="仿宋_GB2312"/>
                <w:sz w:val="24"/>
                <w:b/>
              </w:rPr>
              <w:t>1、服务范围：</w:t>
            </w:r>
            <w:r>
              <w:rPr>
                <w:rFonts w:ascii="仿宋_GB2312" w:hAnsi="仿宋_GB2312" w:cs="仿宋_GB2312" w:eastAsia="仿宋_GB2312"/>
                <w:sz w:val="24"/>
              </w:rPr>
              <w:t>本项目涉及的米、面、油、蔬菜、瓜果、肉类、乳制品、调料等原材料配送服务。</w:t>
            </w:r>
          </w:p>
          <w:p>
            <w:pPr>
              <w:pStyle w:val="null3"/>
              <w:ind w:firstLine="482"/>
              <w:jc w:val="both"/>
            </w:pPr>
            <w:r>
              <w:rPr>
                <w:rFonts w:ascii="仿宋_GB2312" w:hAnsi="仿宋_GB2312" w:cs="仿宋_GB2312" w:eastAsia="仿宋_GB2312"/>
                <w:sz w:val="24"/>
                <w:b/>
              </w:rPr>
              <w:t>2、服务期限：</w:t>
            </w:r>
            <w:r>
              <w:rPr>
                <w:rFonts w:ascii="仿宋_GB2312" w:hAnsi="仿宋_GB2312" w:cs="仿宋_GB2312" w:eastAsia="仿宋_GB2312"/>
                <w:sz w:val="24"/>
              </w:rPr>
              <w:t>自合同签订之日起</w:t>
            </w:r>
            <w:r>
              <w:rPr>
                <w:rFonts w:ascii="仿宋_GB2312" w:hAnsi="仿宋_GB2312" w:cs="仿宋_GB2312" w:eastAsia="仿宋_GB2312"/>
                <w:sz w:val="24"/>
              </w:rPr>
              <w:t>1年。</w:t>
            </w:r>
          </w:p>
          <w:p>
            <w:pPr>
              <w:pStyle w:val="null3"/>
              <w:ind w:firstLine="482"/>
              <w:jc w:val="both"/>
            </w:pPr>
            <w:r>
              <w:rPr>
                <w:rFonts w:ascii="仿宋_GB2312" w:hAnsi="仿宋_GB2312" w:cs="仿宋_GB2312" w:eastAsia="仿宋_GB2312"/>
                <w:sz w:val="24"/>
                <w:b/>
              </w:rPr>
              <w:t>3、服务地点：</w:t>
            </w:r>
            <w:r>
              <w:rPr>
                <w:rFonts w:ascii="仿宋_GB2312" w:hAnsi="仿宋_GB2312" w:cs="仿宋_GB2312" w:eastAsia="仿宋_GB2312"/>
                <w:sz w:val="24"/>
              </w:rPr>
              <w:t>采购人指定地点。</w:t>
            </w:r>
          </w:p>
          <w:p>
            <w:pPr>
              <w:pStyle w:val="null3"/>
              <w:ind w:firstLine="420"/>
              <w:jc w:val="both"/>
            </w:pPr>
            <w:r>
              <w:rPr>
                <w:rFonts w:ascii="仿宋_GB2312" w:hAnsi="仿宋_GB2312" w:cs="仿宋_GB2312" w:eastAsia="仿宋_GB2312"/>
                <w:sz w:val="24"/>
                <w:b/>
              </w:rPr>
              <w:t>4、付款方式：</w:t>
            </w:r>
          </w:p>
          <w:p>
            <w:pPr>
              <w:pStyle w:val="null3"/>
              <w:ind w:firstLine="482"/>
              <w:jc w:val="both"/>
            </w:pPr>
            <w:r>
              <w:rPr>
                <w:rFonts w:ascii="仿宋_GB2312" w:hAnsi="仿宋_GB2312" w:cs="仿宋_GB2312" w:eastAsia="仿宋_GB2312"/>
                <w:sz w:val="24"/>
              </w:rPr>
              <w:t>付款条件说明：每月</w:t>
            </w:r>
            <w:r>
              <w:rPr>
                <w:rFonts w:ascii="仿宋_GB2312" w:hAnsi="仿宋_GB2312" w:cs="仿宋_GB2312" w:eastAsia="仿宋_GB2312"/>
                <w:sz w:val="24"/>
              </w:rPr>
              <w:t>1日至5日递交上月结算数据，结算价格以采购人和成交供应商双方共同在本区域内“农贸批发市场”和“大型生活超市”两方询价的平均值作为价格基数*成交供应商食材费率*供货数量。双方签字确认、公示3日，若有异议期内处理。若无异议按月据实结算，付款周期为验收合格后30日内。若增加紧急配送、临时增量按同费率执行，超时、短缺按次扣款。</w:t>
            </w:r>
          </w:p>
          <w:p>
            <w:pPr>
              <w:pStyle w:val="null3"/>
              <w:ind w:firstLine="482"/>
              <w:jc w:val="both"/>
            </w:pPr>
            <w:r>
              <w:rPr>
                <w:rFonts w:ascii="仿宋_GB2312" w:hAnsi="仿宋_GB2312" w:cs="仿宋_GB2312" w:eastAsia="仿宋_GB2312"/>
                <w:sz w:val="24"/>
              </w:rPr>
              <w:t>成交供应商应当在每月结算后</w:t>
            </w:r>
            <w:r>
              <w:rPr>
                <w:rFonts w:ascii="仿宋_GB2312" w:hAnsi="仿宋_GB2312" w:cs="仿宋_GB2312" w:eastAsia="仿宋_GB2312"/>
                <w:sz w:val="24"/>
              </w:rPr>
              <w:t>5日内开具向采购人方开具相应金额的增值税普通/专用发票，由采购人办理完相关财政支付手续后支付该笔款项。</w:t>
            </w:r>
          </w:p>
          <w:p>
            <w:pPr>
              <w:pStyle w:val="null3"/>
              <w:ind w:firstLine="482"/>
              <w:jc w:val="both"/>
            </w:pPr>
            <w:r>
              <w:rPr>
                <w:rFonts w:ascii="仿宋_GB2312" w:hAnsi="仿宋_GB2312" w:cs="仿宋_GB2312" w:eastAsia="仿宋_GB2312"/>
                <w:sz w:val="24"/>
                <w:b/>
              </w:rPr>
              <w:t>5、服务要求：</w:t>
            </w:r>
            <w:r>
              <w:rPr>
                <w:rFonts w:ascii="仿宋_GB2312" w:hAnsi="仿宋_GB2312" w:cs="仿宋_GB2312" w:eastAsia="仿宋_GB2312"/>
                <w:sz w:val="24"/>
              </w:rPr>
              <w:t>供应商应按照食堂要求的配送清单按照规定时间将所需产品送至采购人指定地点，如采购人遇到紧急情况需要加班的，供应商应保证加班期间食材的供应。</w:t>
            </w:r>
          </w:p>
          <w:p>
            <w:pPr>
              <w:pStyle w:val="null3"/>
              <w:ind w:firstLine="482"/>
              <w:jc w:val="both"/>
            </w:pPr>
            <w:r>
              <w:rPr>
                <w:rFonts w:ascii="仿宋_GB2312" w:hAnsi="仿宋_GB2312" w:cs="仿宋_GB2312" w:eastAsia="仿宋_GB2312"/>
                <w:sz w:val="24"/>
                <w:b/>
              </w:rPr>
              <w:t>6、其他要求：</w:t>
            </w:r>
            <w:r>
              <w:rPr>
                <w:rFonts w:ascii="仿宋_GB2312" w:hAnsi="仿宋_GB2312" w:cs="仿宋_GB2312" w:eastAsia="仿宋_GB2312"/>
                <w:sz w:val="24"/>
              </w:rPr>
              <w:t>配合甲方完成扶贫网采购任务。</w:t>
            </w:r>
          </w:p>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、服务要求及内容</w:t>
            </w:r>
          </w:p>
          <w:tbl>
            <w:tblPr>
              <w:tblInd w:type="dxa" w:w="120"/>
              <w:tblBorders>
                <w:top w:val="none" w:color="000000" w:sz="4"/>
                <w:left w:val="none" w:color="000000" w:sz="4"/>
                <w:bottom w:val="none" w:color="000000" w:sz="4"/>
                <w:right w:val="none" w:color="000000" w:sz="4"/>
                <w:insideH w:val="none"/>
                <w:insideV w:val="none"/>
              </w:tblBorders>
            </w:tblPr>
            <w:tblGrid>
              <w:gridCol w:w="423"/>
              <w:gridCol w:w="634"/>
              <w:gridCol w:w="1496"/>
            </w:tblGrid>
            <w:tr>
              <w:tc>
                <w:tcPr>
                  <w:tcW w:type="dxa" w:w="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6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品名</w:t>
                  </w:r>
                </w:p>
              </w:tc>
              <w:tc>
                <w:tcPr>
                  <w:tcW w:type="dxa" w:w="14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食材要求</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大米</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必须符合</w:t>
                  </w:r>
                  <w:r>
                    <w:rPr>
                      <w:rFonts w:ascii="仿宋_GB2312" w:hAnsi="仿宋_GB2312" w:cs="仿宋_GB2312" w:eastAsia="仿宋_GB2312"/>
                      <w:sz w:val="21"/>
                    </w:rPr>
                    <w:t>GB1354标准，拥有食品生产许可证，水分含量在12°以下，无掺杂、无沙石，碎米少，无黄粒米</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食用油</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必须符合</w:t>
                  </w:r>
                  <w:r>
                    <w:rPr>
                      <w:rFonts w:ascii="仿宋_GB2312" w:hAnsi="仿宋_GB2312" w:cs="仿宋_GB2312" w:eastAsia="仿宋_GB2312"/>
                      <w:sz w:val="21"/>
                    </w:rPr>
                    <w:t>GB1536标准，拥有食品生产许可证，质量等级一级；有合格检疫报告，外观的色泽、透明度、气味滋味等无异常；定型包装</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面粉</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高筋面粉达</w:t>
                  </w:r>
                  <w:r>
                    <w:rPr>
                      <w:rFonts w:ascii="仿宋_GB2312" w:hAnsi="仿宋_GB2312" w:cs="仿宋_GB2312" w:eastAsia="仿宋_GB2312"/>
                      <w:sz w:val="21"/>
                    </w:rPr>
                    <w:t>GB8607国家标准，质量等级一级；低筋面粉达Q/JHMF01标准，质量等级一级；色泽正常，干爽无异味；包装袋上有注册商标及QS标注，有检验合格证、生产日期和保质期</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蔬菜类</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必须符合食品中农药最大残留限量标准并具有农药残留检验记录，当季各类新鲜蔬菜以及大棚种植蔬菜，蔬菜类必须保证无黄叶、枯死叶、无虫、无杂质，须</w:t>
                  </w:r>
                  <w:r>
                    <w:rPr>
                      <w:rFonts w:ascii="仿宋_GB2312" w:hAnsi="仿宋_GB2312" w:cs="仿宋_GB2312" w:eastAsia="仿宋_GB2312"/>
                      <w:sz w:val="21"/>
                    </w:rPr>
                    <w:t>48小时内采摘供应，原菜须保证菜面干净、无明显泥土、码放整齐、无破损、大小基本统一、不得过熟或欠熟；净菜须保证菜面完全干净、无泥土、按统一标准加工、码放整齐、无须二次处理可以直接进行熟加工</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肉类</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应具有相关动物检验检疫合格证明，供应商应设有固定的经营场所，并具有符合卫生防疫监督部门要求的肉类食材屠宰厂的经营授权书，含水（冰）率符合标准，肉品须表皮洁净、膘厚适中、色泽鲜亮、纹理清晰、肉质细腻、无异味、去骨、无毛、按压无水迹。符合国家绿色批发市场标准，应具备满足交易需要的冷冻贮藏设施</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瓜果</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时令各类水果，无虫、无杂质，须</w:t>
                  </w:r>
                  <w:r>
                    <w:rPr>
                      <w:rFonts w:ascii="仿宋_GB2312" w:hAnsi="仿宋_GB2312" w:cs="仿宋_GB2312" w:eastAsia="仿宋_GB2312"/>
                      <w:sz w:val="21"/>
                    </w:rPr>
                    <w:t>48小时内采摘供应，原水果须保证果面干净、无明显泥土、码放整齐、无破损、大小基本统一、不得过熟或欠熟</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调味品</w:t>
                  </w:r>
                </w:p>
              </w:tc>
              <w:tc>
                <w:tcPr>
                  <w:tcW w:type="dxa" w:w="1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品质好，无霉变、无杂质，定型包装调味品必须具有食品生产许可证，色泽正常，具有该品种固有的香味，滋味无异味，油酱均匀的酱体或无结块的粉状固体，封口平整，外包装无污物、无泄漏，无胀袋或胖听或鼓盖现象，无变质发霉现象。</w:t>
                  </w:r>
                </w:p>
              </w:tc>
            </w:tr>
          </w:tbl>
          <w:p>
            <w:pPr>
              <w:pStyle w:val="null3"/>
              <w:ind w:firstLine="482"/>
            </w:pPr>
            <w:r>
              <w:rPr>
                <w:rFonts w:ascii="仿宋_GB2312" w:hAnsi="仿宋_GB2312" w:cs="仿宋_GB2312" w:eastAsia="仿宋_GB2312"/>
                <w:sz w:val="24"/>
                <w:b/>
              </w:rPr>
              <w:t>注：供应商应按照满足人体均衡营养摄入的食材配送标准来制定详细、具体、合理的食材配送计划。</w:t>
            </w:r>
          </w:p>
          <w:p>
            <w:pPr>
              <w:pStyle w:val="null3"/>
              <w:ind w:firstLine="482"/>
              <w:jc w:val="both"/>
            </w:pPr>
            <w:r>
              <w:rPr>
                <w:rFonts w:ascii="仿宋_GB2312" w:hAnsi="仿宋_GB2312" w:cs="仿宋_GB2312" w:eastAsia="仿宋_GB2312"/>
                <w:sz w:val="24"/>
                <w:b/>
              </w:rPr>
              <w:t>（一）配送要求：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1）供应商须根据食堂要求提供的所有食材的具体品类、规格来供应产品，保质保量，准时准点满足食堂需求；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2）供应商自备送货车（冷藏或恒温），安排专人及时供货，装卸费、送货费用及运输安全由供应商承担；</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3）米、面、油主食类、调味品、杂粮等食材根据食堂需求用量及库存条件，原则上每周送货1次或2次；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4）特殊情况下，食堂需要的小批量的急用物资，供应商应予以满足解决；</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5）所有食材供应商必须按照采购人要求的种类、规格进行供货，满足采购人使用需求。所有食材配送服务均以采购人通知为准，采购人有权根据实际需求量随时调整采购计划及供货时间段。</w:t>
            </w:r>
          </w:p>
          <w:p>
            <w:pPr>
              <w:pStyle w:val="null3"/>
              <w:ind w:firstLine="482"/>
              <w:jc w:val="both"/>
            </w:pPr>
            <w:r>
              <w:rPr>
                <w:rFonts w:ascii="仿宋_GB2312" w:hAnsi="仿宋_GB2312" w:cs="仿宋_GB2312" w:eastAsia="仿宋_GB2312"/>
                <w:sz w:val="24"/>
                <w:b/>
              </w:rPr>
              <w:t>（二）验收标准：</w:t>
            </w:r>
          </w:p>
          <w:p>
            <w:pPr>
              <w:pStyle w:val="null3"/>
              <w:ind w:firstLine="480"/>
              <w:jc w:val="both"/>
            </w:pPr>
            <w:r>
              <w:rPr>
                <w:rFonts w:ascii="仿宋_GB2312" w:hAnsi="仿宋_GB2312" w:cs="仿宋_GB2312" w:eastAsia="仿宋_GB2312"/>
                <w:sz w:val="24"/>
              </w:rPr>
              <w:t>保管员、采购员负责入库食品检验，当班厨师长配合质量验收，验收标准如下：</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定型包装食品，应检验包装标识或者产品说明书是否标出品名、产地、厂名、生产日期、批号或者代号、规格、配方或者主要成份、保质期限、食用或者使用方法等，防止购进假冒伪劣产品，禁止“三无”产品进入食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2）主要食材中的定型包装食品，如米面油类应提供批次产品卫生主管部门的检验报告；</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3）包装污秽不洁、严重破损、运输工具不洁等造成污染的产品不得验收入库；</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非定型包装的食品（或原材料）需进行感官检查：若发现腐败变质、油脂酸度、霉变、生虫、不洁，混有异物或者其他感官性状异常现象，不得入库；未经卫生检验部门或者检验不合格的肉类及其制品不得入库；掺假、掺杂、伪造的食品不得入库；每批次随货附检疫/检测报告、溯源码、农残记录，不合格当场退回并记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食堂采购员、库管员和当班厨师共同对所购食品原辅料的质量、数量进行核对验收，验收合格的及时入库，不合格产品应及时退回供应商，同时做好验收记录。当日出具结果、不合格24小时内退换。食堂管理员不定时抽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6）食材购回后，保管员和厨师共同验收，并在《原料购进验收单》上签字确认；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7）入库时，保管员要清点入库物品的数量、规格，做到数量、规格、品种准确无误，入库时按不同的材质、规格、功能和要求，分类、分别储存，做到账物相符。</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8）配送人员提供健康证、配送车辆需为冷藏/恒温车辆、每日消毒、48小时留样、台账保存不少于6个月。</w:t>
            </w:r>
          </w:p>
          <w:p>
            <w:pPr>
              <w:pStyle w:val="null3"/>
              <w:ind w:firstLine="480"/>
              <w:jc w:val="both"/>
            </w:pPr>
            <w:r>
              <w:rPr>
                <w:rFonts w:ascii="仿宋_GB2312" w:hAnsi="仿宋_GB2312" w:cs="仿宋_GB2312" w:eastAsia="仿宋_GB2312"/>
                <w:sz w:val="24"/>
                <w:b/>
              </w:rPr>
              <w:t>（三）服务标准：</w:t>
            </w:r>
          </w:p>
          <w:p>
            <w:pPr>
              <w:pStyle w:val="null3"/>
            </w:pPr>
            <w:r>
              <w:rPr>
                <w:rFonts w:ascii="仿宋_GB2312" w:hAnsi="仿宋_GB2312" w:cs="仿宋_GB2312" w:eastAsia="仿宋_GB2312"/>
                <w:sz w:val="24"/>
                <w:color w:val="000000"/>
              </w:rPr>
              <w:t>经甲方验收合格，满足采购人实际需求。</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rPr>
              <w:t>★四、报价要求</w:t>
            </w:r>
          </w:p>
          <w:p>
            <w:pPr>
              <w:pStyle w:val="null3"/>
            </w:pPr>
            <w:r>
              <w:rPr>
                <w:rFonts w:ascii="仿宋_GB2312" w:hAnsi="仿宋_GB2312" w:cs="仿宋_GB2312" w:eastAsia="仿宋_GB2312"/>
                <w:sz w:val="24"/>
                <w:color w:val="333333"/>
              </w:rPr>
              <w:t>供应商报价为费率报价，最高不得高于</w:t>
            </w:r>
            <w:r>
              <w:rPr>
                <w:rFonts w:ascii="仿宋_GB2312" w:hAnsi="仿宋_GB2312" w:cs="仿宋_GB2312" w:eastAsia="仿宋_GB2312"/>
                <w:sz w:val="24"/>
                <w:color w:val="333333"/>
              </w:rPr>
              <w:t>100%。如：供应商报价为98%，即结算价格以采购人和成交供应商双方共同在本区域内“农贸批发市场”和“大</w:t>
            </w:r>
            <w:r>
              <w:rPr>
                <w:rFonts w:ascii="仿宋_GB2312" w:hAnsi="仿宋_GB2312" w:cs="仿宋_GB2312" w:eastAsia="仿宋_GB2312"/>
                <w:sz w:val="24"/>
                <w:color w:val="333333"/>
              </w:rPr>
              <w:t>型生活超市</w:t>
            </w:r>
            <w:r>
              <w:rPr>
                <w:rFonts w:ascii="仿宋_GB2312" w:hAnsi="仿宋_GB2312" w:cs="仿宋_GB2312" w:eastAsia="仿宋_GB2312"/>
                <w:sz w:val="24"/>
                <w:color w:val="333333"/>
              </w:rPr>
              <w:t>”两处询价的平均值作为价格基数*98%*供货数量。所有食材报价费率均需相同，不得出现不同食材不同报价费率的情况。</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鱼跃路与富源四路十字西北角</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付款条件说明：每月1日至5日递交上月结算数据，结算价格以采购人和成交供应商双方共同在本区域内“农贸批发市场”和“大型生活超市”两方询价的平均值作为价格基数*成交供应商食材费率*供货数量。双方签字确认、公示3日，若有异议期内处理。若无异议按月据实结算，付款周期为验收合格后30日内。若增加紧急配送、临时增量按同费率执行，超时、短缺按次扣款。 成交供应商应当在每月结算后5日内开具向采购人方开具相应金额的增值税普通/专用发票，由采购人办理完相关财政支付手续后支付该笔款项。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提供2025年1月至今已缴纳的任意1个月的纳税证明或完税证明，依法免税的单位应提供相关证明材料。此项可提供基本资格条件承诺函。供应商需在项目电子化交易系统中按要求上传相应证明文件并进行电子签章。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纳的任意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授权书被授权人身份证</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及被授权代表开标截止前三个月内任意一个月在本单位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是生产厂家的须提供有效的食品生产许可证，或食品安全监督管理部门备案凭证。供应商为经销商的须提供有效的食品经营许可证，或食品安全监督管理部门备案凭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本合同包不接受联合体投标，提供非联合体投标声明。供应商需在项目电子化交易系统中按要求上传相应证明文件并进行电子签章。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一、政府采购评审中出现下列情形之一的，评标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标委员会基于专业判断，认为供应商报价过低，有可能影响产品质量或者不能诚信履约的其他情形。二、评标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标委员会应当将其作为无效投标（响应）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至少以下三处的项目名称、项目编号、标段与本项目一致： （1）竞争性磋商响应文件封面 （2）响应函 （3）法定代表人（主要负责人）委托授权书\身份证明</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响应文件封面 中小企业声明函 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签章或盖章符合竞争性磋商文件要求，实质性内容无遗漏</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（1）货币单位符合竞争性磋商文件要求 （2）未超出采购预算或最高限价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响应文件封面 服务内容及服务邀请应答表 中小企业声明函 商务应答表 服务方案 供应商应提交的相关资格证明材料 标的清单 报价表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食材配送方案</w:t>
            </w:r>
          </w:p>
        </w:tc>
        <w:tc>
          <w:tcPr>
            <w:tcW w:type="dxa" w:w="2492"/>
          </w:tcPr>
          <w:p>
            <w:pPr>
              <w:pStyle w:val="null3"/>
            </w:pPr>
            <w:r>
              <w:rPr>
                <w:rFonts w:ascii="仿宋_GB2312" w:hAnsi="仿宋_GB2312" w:cs="仿宋_GB2312" w:eastAsia="仿宋_GB2312"/>
              </w:rPr>
              <w:t>评审内容：①整体服务方案；②整体服务流程；③食品配送方案。 评审依据：每一项内容描述详细，切实可行符合项目实际内容得3分，①～③项合计得9分。内容①～③项任意一项缺项扣3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食材安全管理方案</w:t>
            </w:r>
          </w:p>
        </w:tc>
        <w:tc>
          <w:tcPr>
            <w:tcW w:type="dxa" w:w="2492"/>
          </w:tcPr>
          <w:p>
            <w:pPr>
              <w:pStyle w:val="null3"/>
            </w:pPr>
            <w:r>
              <w:rPr>
                <w:rFonts w:ascii="仿宋_GB2312" w:hAnsi="仿宋_GB2312" w:cs="仿宋_GB2312" w:eastAsia="仿宋_GB2312"/>
              </w:rPr>
              <w:t>评审内容：①安全责任划分标准；②安全事故的应对措施；③食材安全预防措施。 评审依据：每一项内容描述详细，切实可行符合项目实际内容得3分，①～③项合计得9分。内容①～③项任意一项缺项扣3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岗位及人员配置</w:t>
            </w:r>
          </w:p>
        </w:tc>
        <w:tc>
          <w:tcPr>
            <w:tcW w:type="dxa" w:w="2492"/>
          </w:tcPr>
          <w:p>
            <w:pPr>
              <w:pStyle w:val="null3"/>
            </w:pPr>
            <w:r>
              <w:rPr>
                <w:rFonts w:ascii="仿宋_GB2312" w:hAnsi="仿宋_GB2312" w:cs="仿宋_GB2312" w:eastAsia="仿宋_GB2312"/>
              </w:rPr>
              <w:t>评审内容：①项目组成人员；②项目组织计划；③项目岗位职责。 评审依据：每一项内容描述详细，切实可行符合项目实际内容得3分，①～③项合计得9分。内容①～③项任意一项缺项扣3分；内容①～③项里有一项内容缺陷（缺陷是指：内容不详细具体、条理不清晰、描述过于简单、与项目特点不匹配、凭空编造、出现常识性错误、不可能实现的夸大情形、存在不适用项目实际情况的情形等）扣0.5分，扣完为止。（注：项目组人员需提供有效期内的健康证，配送人员还需提供有效期内的驾驶证等资料）</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供应商质量保证方案</w:t>
            </w:r>
          </w:p>
        </w:tc>
        <w:tc>
          <w:tcPr>
            <w:tcW w:type="dxa" w:w="2492"/>
          </w:tcPr>
          <w:p>
            <w:pPr>
              <w:pStyle w:val="null3"/>
            </w:pPr>
            <w:r>
              <w:rPr>
                <w:rFonts w:ascii="仿宋_GB2312" w:hAnsi="仿宋_GB2312" w:cs="仿宋_GB2312" w:eastAsia="仿宋_GB2312"/>
              </w:rPr>
              <w:t>评审内容：①食品质量；②食品卫生；③安全执行标准；④抽样检验检查；⑤日常检查。⑥自有食材检测室以及检测设备，提供购置放票。⑦提供体系认证证书：⑴质量管理体系、⑵环境管理体系、⑶职业健康、⑷食品安全管理体系、⑸危害与分析关键控制点体系认证等证书 评审依据：每一项内容描述详细，切实可行符合项目实际内容得2分，①～⑦项合计得14分。内容①～⑦项任意一项缺项扣2分；内容①～⑦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评审内容：①市场供求变化；②恶劣天气；③车辆故障等突发事件；④配送或使用过程出现问题。 评审依据：每一项内容描述详细，切实可行符合项目实际内容得3分，①～④项合计得12分。内容①～④项任意一项缺项扣3分；内容①～④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时效保障措施</w:t>
            </w:r>
          </w:p>
        </w:tc>
        <w:tc>
          <w:tcPr>
            <w:tcW w:type="dxa" w:w="2492"/>
          </w:tcPr>
          <w:p>
            <w:pPr>
              <w:pStyle w:val="null3"/>
            </w:pPr>
            <w:r>
              <w:rPr>
                <w:rFonts w:ascii="仿宋_GB2312" w:hAnsi="仿宋_GB2312" w:cs="仿宋_GB2312" w:eastAsia="仿宋_GB2312"/>
              </w:rPr>
              <w:t>评审内容：①采买时间计划；②运输路线规划。评审依据：每一项内容描述详细，切实可行符合项目实际内容得4分，①～②项合计得8分。内容①～②项任意一项缺项扣4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①产品食品安全售后服务保障措施；②产品食品质量售后服务保障措施。评审依据：每一项内容描述详细，切实可行符合项目实际内容得4.5分，①～②项合计得9分。内容①～②项任意一项缺项扣4.5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以最后磋商报价最低的报价为评审基准价，其价格分为满分。其他供应商的价格分统一按照下列公式计算：磋商报价得分=（磋商基准价/磋商评审价）×30%*100。 注：供应商报价为费率报价，最高不得高于100%。如：供应商报价为98%，即结算价格以采购人和成交供应商双方共同在本区域内“农贸批发市场”和“大型生活超市”两处询价的平均值作为价格基数*98%*供货数量。所有食材报价费率均需相同，不得出现不同食材不同报价费率的情况。</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