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09B16">
      <w:pPr>
        <w:pStyle w:val="16"/>
        <w:spacing w:line="360" w:lineRule="auto"/>
        <w:ind w:firstLine="960"/>
        <w:jc w:val="center"/>
        <w:rPr>
          <w:rFonts w:hint="eastAsia" w:ascii="仿宋_GB2312" w:hAnsi="仿宋_GB2312" w:eastAsia="仿宋_GB2312" w:cs="仿宋_GB2312"/>
          <w:b/>
          <w:bCs/>
          <w:sz w:val="52"/>
          <w:szCs w:val="52"/>
          <w:highlight w:val="none"/>
        </w:rPr>
      </w:pPr>
      <w:bookmarkStart w:id="1" w:name="_GoBack"/>
      <w:r>
        <w:rPr>
          <w:rFonts w:hint="eastAsia" w:ascii="仿宋_GB2312" w:hAnsi="仿宋_GB2312" w:eastAsia="仿宋_GB2312" w:cs="仿宋_GB2312"/>
          <w:b/>
          <w:bCs/>
          <w:sz w:val="52"/>
          <w:szCs w:val="52"/>
          <w:highlight w:val="none"/>
        </w:rPr>
        <w:t>合同格式</w:t>
      </w:r>
    </w:p>
    <w:p w14:paraId="1704581D">
      <w:pPr>
        <w:pStyle w:val="8"/>
        <w:spacing w:line="245" w:lineRule="auto"/>
        <w:rPr>
          <w:rFonts w:hint="eastAsia" w:ascii="宋体" w:hAnsi="宋体" w:eastAsia="宋体" w:cs="宋体"/>
          <w:b/>
          <w:bCs/>
          <w:highlight w:val="none"/>
        </w:rPr>
      </w:pPr>
    </w:p>
    <w:p w14:paraId="042EEC1D">
      <w:pPr>
        <w:pStyle w:val="8"/>
        <w:spacing w:line="245" w:lineRule="auto"/>
        <w:rPr>
          <w:rFonts w:hint="eastAsia" w:ascii="宋体" w:hAnsi="宋体" w:eastAsia="宋体" w:cs="宋体"/>
          <w:b/>
          <w:bCs/>
          <w:highlight w:val="none"/>
        </w:rPr>
      </w:pPr>
    </w:p>
    <w:p w14:paraId="71B0922B">
      <w:pPr>
        <w:pStyle w:val="8"/>
        <w:spacing w:line="245" w:lineRule="auto"/>
        <w:rPr>
          <w:rFonts w:hint="eastAsia" w:ascii="宋体" w:hAnsi="宋体" w:eastAsia="宋体" w:cs="宋体"/>
          <w:b/>
          <w:bCs/>
          <w:highlight w:val="none"/>
        </w:rPr>
      </w:pPr>
    </w:p>
    <w:p w14:paraId="1C41B707">
      <w:pPr>
        <w:pStyle w:val="8"/>
        <w:spacing w:line="245" w:lineRule="auto"/>
        <w:rPr>
          <w:rFonts w:hint="eastAsia" w:ascii="宋体" w:hAnsi="宋体" w:eastAsia="宋体" w:cs="宋体"/>
          <w:b/>
          <w:bCs/>
          <w:highlight w:val="none"/>
        </w:rPr>
      </w:pPr>
    </w:p>
    <w:p w14:paraId="3CF0ED5A">
      <w:pPr>
        <w:pStyle w:val="8"/>
        <w:spacing w:line="246" w:lineRule="auto"/>
        <w:rPr>
          <w:rFonts w:hint="eastAsia" w:ascii="宋体" w:hAnsi="宋体" w:eastAsia="宋体" w:cs="宋体"/>
          <w:b/>
          <w:bCs/>
          <w:highlight w:val="none"/>
        </w:rPr>
      </w:pPr>
    </w:p>
    <w:p w14:paraId="73BDD558">
      <w:pPr>
        <w:pStyle w:val="16"/>
        <w:spacing w:line="360" w:lineRule="auto"/>
        <w:ind w:firstLine="960"/>
        <w:jc w:val="center"/>
        <w:rPr>
          <w:rFonts w:hint="eastAsia" w:ascii="仿宋_GB2312" w:hAnsi="仿宋_GB2312" w:eastAsia="仿宋_GB2312" w:cs="仿宋_GB2312"/>
          <w:b/>
          <w:bCs/>
          <w:sz w:val="32"/>
          <w:szCs w:val="32"/>
          <w:highlight w:val="none"/>
        </w:rPr>
      </w:pPr>
    </w:p>
    <w:p w14:paraId="74A99FDE">
      <w:pPr>
        <w:pStyle w:val="16"/>
        <w:spacing w:line="360" w:lineRule="auto"/>
        <w:ind w:firstLine="960"/>
        <w:jc w:val="center"/>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政 府 采 购 合 同</w:t>
      </w:r>
    </w:p>
    <w:p w14:paraId="129C84BB">
      <w:pPr>
        <w:pStyle w:val="16"/>
        <w:spacing w:line="360" w:lineRule="auto"/>
        <w:ind w:firstLine="960"/>
        <w:jc w:val="center"/>
        <w:rPr>
          <w:rFonts w:hint="eastAsia" w:ascii="仿宋_GB2312" w:hAnsi="仿宋_GB2312" w:eastAsia="仿宋_GB2312" w:cs="仿宋_GB2312"/>
          <w:b/>
          <w:bCs/>
          <w:sz w:val="32"/>
          <w:szCs w:val="32"/>
          <w:highlight w:val="none"/>
        </w:rPr>
      </w:pPr>
    </w:p>
    <w:p w14:paraId="35E31D8B">
      <w:pPr>
        <w:pStyle w:val="16"/>
        <w:spacing w:line="360" w:lineRule="auto"/>
        <w:ind w:firstLine="960"/>
        <w:jc w:val="center"/>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合同编号：</w:t>
      </w:r>
    </w:p>
    <w:p w14:paraId="2E078E6E">
      <w:pPr>
        <w:pStyle w:val="8"/>
        <w:spacing w:line="252" w:lineRule="auto"/>
        <w:rPr>
          <w:rFonts w:hint="eastAsia" w:ascii="宋体" w:hAnsi="宋体" w:eastAsia="宋体" w:cs="宋体"/>
          <w:b/>
          <w:bCs/>
          <w:highlight w:val="none"/>
        </w:rPr>
      </w:pPr>
    </w:p>
    <w:p w14:paraId="7E5EDE41">
      <w:pPr>
        <w:pStyle w:val="8"/>
        <w:spacing w:line="252" w:lineRule="auto"/>
        <w:rPr>
          <w:rFonts w:hint="eastAsia" w:ascii="宋体" w:hAnsi="宋体" w:eastAsia="宋体" w:cs="宋体"/>
          <w:b/>
          <w:bCs/>
          <w:highlight w:val="none"/>
        </w:rPr>
      </w:pPr>
    </w:p>
    <w:p w14:paraId="301D5F55">
      <w:pPr>
        <w:pStyle w:val="8"/>
        <w:spacing w:line="252" w:lineRule="auto"/>
        <w:rPr>
          <w:rFonts w:hint="eastAsia" w:ascii="宋体" w:hAnsi="宋体" w:eastAsia="宋体" w:cs="宋体"/>
          <w:b/>
          <w:bCs/>
          <w:highlight w:val="none"/>
        </w:rPr>
      </w:pPr>
    </w:p>
    <w:p w14:paraId="2DF0A6B4">
      <w:pPr>
        <w:pStyle w:val="8"/>
        <w:spacing w:line="252" w:lineRule="auto"/>
        <w:rPr>
          <w:rFonts w:hint="eastAsia" w:ascii="宋体" w:hAnsi="宋体" w:eastAsia="宋体" w:cs="宋体"/>
          <w:b/>
          <w:bCs/>
          <w:highlight w:val="none"/>
        </w:rPr>
      </w:pPr>
    </w:p>
    <w:p w14:paraId="17B88E4A">
      <w:pPr>
        <w:pStyle w:val="8"/>
        <w:spacing w:line="252" w:lineRule="auto"/>
        <w:rPr>
          <w:rFonts w:hint="eastAsia" w:ascii="宋体" w:hAnsi="宋体" w:eastAsia="宋体" w:cs="宋体"/>
          <w:b/>
          <w:bCs/>
          <w:highlight w:val="none"/>
        </w:rPr>
      </w:pPr>
    </w:p>
    <w:p w14:paraId="0C890A70">
      <w:pPr>
        <w:pStyle w:val="8"/>
        <w:spacing w:line="252" w:lineRule="auto"/>
        <w:rPr>
          <w:rFonts w:hint="eastAsia" w:ascii="宋体" w:hAnsi="宋体" w:eastAsia="宋体" w:cs="宋体"/>
          <w:b/>
          <w:bCs/>
          <w:highlight w:val="none"/>
        </w:rPr>
      </w:pPr>
    </w:p>
    <w:p w14:paraId="435AD627">
      <w:pPr>
        <w:spacing w:before="40" w:line="426" w:lineRule="auto"/>
        <w:ind w:left="601" w:right="4998" w:firstLine="2"/>
        <w:rPr>
          <w:rFonts w:hint="eastAsia" w:ascii="宋体" w:hAnsi="宋体" w:eastAsia="宋体" w:cs="宋体"/>
          <w:b/>
          <w:bCs/>
          <w:spacing w:val="-4"/>
          <w:sz w:val="28"/>
          <w:szCs w:val="28"/>
          <w:highlight w:val="none"/>
        </w:rPr>
      </w:pPr>
    </w:p>
    <w:p w14:paraId="28EE280A">
      <w:pPr>
        <w:pStyle w:val="16"/>
        <w:spacing w:line="360" w:lineRule="auto"/>
        <w:ind w:firstLine="96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采购项目名称：</w:t>
      </w:r>
    </w:p>
    <w:p w14:paraId="0FFFD237">
      <w:pPr>
        <w:pStyle w:val="16"/>
        <w:spacing w:line="360" w:lineRule="auto"/>
        <w:ind w:firstLine="96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采购人（甲方</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bCs/>
          <w:sz w:val="32"/>
          <w:szCs w:val="32"/>
          <w:highlight w:val="none"/>
        </w:rPr>
        <w:t>：</w:t>
      </w:r>
    </w:p>
    <w:p w14:paraId="24264513">
      <w:pPr>
        <w:pStyle w:val="16"/>
        <w:spacing w:line="360" w:lineRule="auto"/>
        <w:ind w:firstLine="960"/>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成交供应商（乙方</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bCs/>
          <w:sz w:val="32"/>
          <w:szCs w:val="32"/>
          <w:highlight w:val="none"/>
        </w:rPr>
        <w:t>：</w:t>
      </w:r>
    </w:p>
    <w:p w14:paraId="5430B91D">
      <w:pPr>
        <w:pStyle w:val="16"/>
        <w:spacing w:line="360" w:lineRule="auto"/>
        <w:ind w:firstLine="96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签署地点：</w:t>
      </w:r>
    </w:p>
    <w:p w14:paraId="68D1BD0A">
      <w:pPr>
        <w:pStyle w:val="16"/>
        <w:spacing w:line="360" w:lineRule="auto"/>
        <w:ind w:firstLine="96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签署日期：</w:t>
      </w:r>
    </w:p>
    <w:p w14:paraId="4BAF0213">
      <w:pPr>
        <w:pStyle w:val="16"/>
        <w:spacing w:line="360" w:lineRule="auto"/>
        <w:ind w:firstLine="960"/>
        <w:rPr>
          <w:rFonts w:hint="eastAsia" w:ascii="仿宋_GB2312" w:hAnsi="仿宋_GB2312" w:eastAsia="仿宋_GB2312" w:cs="仿宋_GB2312"/>
          <w:b/>
          <w:bCs/>
          <w:sz w:val="32"/>
          <w:szCs w:val="32"/>
          <w:highlight w:val="none"/>
          <w:lang w:eastAsia="zh-CN"/>
        </w:rPr>
      </w:pPr>
    </w:p>
    <w:p w14:paraId="46FAA79E">
      <w:pPr>
        <w:spacing w:line="221" w:lineRule="auto"/>
        <w:rPr>
          <w:rFonts w:hint="eastAsia" w:ascii="宋体" w:hAnsi="宋体" w:eastAsia="宋体" w:cs="宋体"/>
          <w:sz w:val="28"/>
          <w:szCs w:val="28"/>
          <w:highlight w:val="none"/>
          <w:lang w:eastAsia="zh-CN"/>
        </w:rPr>
        <w:sectPr>
          <w:headerReference r:id="rId5" w:type="default"/>
          <w:footerReference r:id="rId6" w:type="default"/>
          <w:pgSz w:w="11906" w:h="16839"/>
          <w:pgMar w:top="1440" w:right="1757" w:bottom="1440" w:left="1757" w:header="0" w:footer="850" w:gutter="0"/>
          <w:cols w:space="720" w:num="1"/>
          <w:rtlGutter w:val="0"/>
        </w:sectPr>
      </w:pPr>
    </w:p>
    <w:p w14:paraId="5CDFD116">
      <w:pPr>
        <w:keepNext w:val="0"/>
        <w:keepLines w:val="0"/>
        <w:pageBreakBefore w:val="0"/>
        <w:widowControl/>
        <w:kinsoku w:val="0"/>
        <w:wordWrap/>
        <w:overflowPunct/>
        <w:topLinePunct w:val="0"/>
        <w:autoSpaceDE w:val="0"/>
        <w:autoSpaceDN w:val="0"/>
        <w:bidi w:val="0"/>
        <w:adjustRightInd w:val="0"/>
        <w:snapToGrid w:val="0"/>
        <w:spacing w:line="500" w:lineRule="exact"/>
        <w:ind w:right="0"/>
        <w:jc w:val="both"/>
        <w:textAlignment w:val="baseline"/>
        <w:rPr>
          <w:rFonts w:hint="eastAsia" w:ascii="仿宋" w:hAnsi="仿宋" w:eastAsia="仿宋" w:cs="仿宋"/>
          <w:b/>
          <w:bCs/>
          <w:spacing w:val="-4"/>
          <w:sz w:val="24"/>
          <w:szCs w:val="24"/>
          <w:highlight w:val="none"/>
          <w:lang w:val="en-US" w:eastAsia="zh-CN"/>
        </w:rPr>
      </w:pPr>
      <w:r>
        <w:rPr>
          <w:rFonts w:hint="eastAsia" w:ascii="仿宋" w:hAnsi="仿宋" w:eastAsia="仿宋" w:cs="仿宋"/>
          <w:b/>
          <w:bCs/>
          <w:spacing w:val="-4"/>
          <w:sz w:val="24"/>
          <w:szCs w:val="24"/>
          <w:highlight w:val="none"/>
        </w:rPr>
        <w:t>采购人（甲方）：</w:t>
      </w:r>
      <w:r>
        <w:rPr>
          <w:rFonts w:hint="eastAsia" w:ascii="仿宋" w:hAnsi="仿宋" w:eastAsia="仿宋" w:cs="仿宋"/>
          <w:b/>
          <w:bCs/>
          <w:spacing w:val="-4"/>
          <w:sz w:val="24"/>
          <w:szCs w:val="24"/>
          <w:highlight w:val="none"/>
          <w:u w:val="single"/>
          <w:lang w:eastAsia="zh-CN"/>
        </w:rPr>
        <w:t>漳浒寨街道办事处</w:t>
      </w:r>
    </w:p>
    <w:p w14:paraId="63F774D2">
      <w:pPr>
        <w:keepNext w:val="0"/>
        <w:keepLines w:val="0"/>
        <w:pageBreakBefore w:val="0"/>
        <w:widowControl/>
        <w:kinsoku w:val="0"/>
        <w:wordWrap/>
        <w:overflowPunct/>
        <w:topLinePunct w:val="0"/>
        <w:autoSpaceDE w:val="0"/>
        <w:autoSpaceDN w:val="0"/>
        <w:bidi w:val="0"/>
        <w:adjustRightInd w:val="0"/>
        <w:snapToGrid w:val="0"/>
        <w:spacing w:line="500" w:lineRule="exact"/>
        <w:ind w:right="3772"/>
        <w:jc w:val="both"/>
        <w:textAlignment w:val="baseline"/>
        <w:rPr>
          <w:rFonts w:hint="eastAsia" w:ascii="仿宋" w:hAnsi="仿宋" w:eastAsia="仿宋" w:cs="仿宋"/>
          <w:sz w:val="24"/>
          <w:szCs w:val="24"/>
          <w:highlight w:val="none"/>
          <w:u w:val="single"/>
          <w:lang w:val="en-US" w:eastAsia="zh-CN"/>
        </w:rPr>
      </w:pPr>
      <w:r>
        <w:rPr>
          <w:rFonts w:hint="eastAsia" w:ascii="仿宋" w:hAnsi="仿宋" w:eastAsia="仿宋" w:cs="仿宋"/>
          <w:b/>
          <w:bCs/>
          <w:spacing w:val="-4"/>
          <w:sz w:val="24"/>
          <w:szCs w:val="24"/>
          <w:highlight w:val="none"/>
        </w:rPr>
        <w:t>成交供应商（乙方</w:t>
      </w:r>
      <w:r>
        <w:rPr>
          <w:rFonts w:hint="eastAsia" w:ascii="仿宋" w:hAnsi="仿宋" w:eastAsia="仿宋" w:cs="仿宋"/>
          <w:b/>
          <w:bCs/>
          <w:sz w:val="24"/>
          <w:szCs w:val="24"/>
          <w:highlight w:val="none"/>
        </w:rPr>
        <w:t>）：</w:t>
      </w:r>
    </w:p>
    <w:p w14:paraId="61E4D9AC">
      <w:pPr>
        <w:keepNext w:val="0"/>
        <w:keepLines w:val="0"/>
        <w:pageBreakBefore w:val="0"/>
        <w:widowControl/>
        <w:kinsoku w:val="0"/>
        <w:wordWrap/>
        <w:overflowPunct/>
        <w:topLinePunct w:val="0"/>
        <w:autoSpaceDE w:val="0"/>
        <w:autoSpaceDN w:val="0"/>
        <w:bidi w:val="0"/>
        <w:adjustRightInd w:val="0"/>
        <w:snapToGrid w:val="0"/>
        <w:spacing w:line="500" w:lineRule="exact"/>
        <w:ind w:firstLine="472" w:firstLineChars="200"/>
        <w:jc w:val="both"/>
        <w:textAlignment w:val="baseline"/>
        <w:rPr>
          <w:rFonts w:hint="eastAsia" w:ascii="仿宋" w:hAnsi="仿宋" w:eastAsia="仿宋" w:cs="仿宋"/>
          <w:sz w:val="24"/>
          <w:szCs w:val="24"/>
          <w:highlight w:val="none"/>
          <w:lang w:eastAsia="zh-CN"/>
        </w:rPr>
      </w:pPr>
      <w:r>
        <w:rPr>
          <w:rFonts w:hint="eastAsia" w:ascii="仿宋" w:hAnsi="仿宋" w:eastAsia="仿宋" w:cs="仿宋"/>
          <w:spacing w:val="-2"/>
          <w:sz w:val="24"/>
          <w:szCs w:val="24"/>
          <w:highlight w:val="none"/>
        </w:rPr>
        <w:t>根据《中华人民共和国民法典》、《中华人民共和国政府采购法》、《中华人民共和国政府采购法实施条例》、等法律法规，甲方通过竞争性磋商，选定乙方为成交单位</w:t>
      </w:r>
      <w:r>
        <w:rPr>
          <w:rFonts w:hint="eastAsia" w:ascii="仿宋" w:hAnsi="仿宋" w:eastAsia="仿宋" w:cs="仿宋"/>
          <w:spacing w:val="1"/>
          <w:sz w:val="24"/>
          <w:szCs w:val="24"/>
          <w:highlight w:val="none"/>
        </w:rPr>
        <w:t>。甲、乙双方在平等基础上协商一致，达成如下合同条款</w:t>
      </w:r>
      <w:r>
        <w:rPr>
          <w:rFonts w:hint="eastAsia" w:ascii="仿宋" w:hAnsi="仿宋" w:eastAsia="仿宋" w:cs="仿宋"/>
          <w:spacing w:val="1"/>
          <w:sz w:val="24"/>
          <w:szCs w:val="24"/>
          <w:highlight w:val="none"/>
          <w:lang w:eastAsia="zh-CN"/>
        </w:rPr>
        <w:t>：</w:t>
      </w:r>
    </w:p>
    <w:p w14:paraId="76205829">
      <w:pPr>
        <w:keepNext w:val="0"/>
        <w:keepLines w:val="0"/>
        <w:pageBreakBefore w:val="0"/>
        <w:widowControl/>
        <w:kinsoku w:val="0"/>
        <w:wordWrap/>
        <w:overflowPunct/>
        <w:topLinePunct w:val="0"/>
        <w:autoSpaceDE w:val="0"/>
        <w:autoSpaceDN w:val="0"/>
        <w:bidi w:val="0"/>
        <w:adjustRightInd w:val="0"/>
        <w:snapToGrid w:val="0"/>
        <w:spacing w:line="500" w:lineRule="exact"/>
        <w:ind w:left="3" w:firstLine="479"/>
        <w:jc w:val="both"/>
        <w:textAlignment w:val="baseline"/>
        <w:rPr>
          <w:rFonts w:hint="eastAsia" w:ascii="仿宋" w:hAnsi="仿宋" w:eastAsia="仿宋" w:cs="仿宋"/>
          <w:b/>
          <w:bCs/>
          <w:spacing w:val="-2"/>
          <w:sz w:val="24"/>
          <w:szCs w:val="24"/>
          <w:highlight w:val="none"/>
        </w:rPr>
      </w:pPr>
      <w:r>
        <w:rPr>
          <w:rFonts w:hint="eastAsia" w:ascii="仿宋" w:hAnsi="仿宋" w:eastAsia="仿宋" w:cs="仿宋"/>
          <w:b/>
          <w:bCs/>
          <w:spacing w:val="-2"/>
          <w:sz w:val="24"/>
          <w:szCs w:val="24"/>
          <w:highlight w:val="none"/>
        </w:rPr>
        <w:t>一、服务内容及要求：</w:t>
      </w:r>
    </w:p>
    <w:p w14:paraId="0BAF309E">
      <w:pPr>
        <w:keepNext w:val="0"/>
        <w:keepLines w:val="0"/>
        <w:pageBreakBefore w:val="0"/>
        <w:widowControl/>
        <w:kinsoku w:val="0"/>
        <w:wordWrap/>
        <w:overflowPunct/>
        <w:topLinePunct w:val="0"/>
        <w:autoSpaceDE w:val="0"/>
        <w:autoSpaceDN w:val="0"/>
        <w:bidi w:val="0"/>
        <w:adjustRightInd w:val="0"/>
        <w:snapToGrid w:val="0"/>
        <w:spacing w:line="500" w:lineRule="exact"/>
        <w:ind w:left="3" w:firstLine="479"/>
        <w:jc w:val="both"/>
        <w:textAlignment w:val="baseline"/>
        <w:rPr>
          <w:rFonts w:hint="eastAsia" w:ascii="仿宋" w:hAnsi="仿宋" w:eastAsia="仿宋" w:cs="仿宋"/>
          <w:spacing w:val="-2"/>
          <w:sz w:val="24"/>
          <w:szCs w:val="24"/>
          <w:highlight w:val="none"/>
        </w:rPr>
      </w:pPr>
      <w:r>
        <w:rPr>
          <w:rFonts w:hint="eastAsia" w:ascii="仿宋" w:hAnsi="仿宋" w:eastAsia="仿宋" w:cs="仿宋"/>
          <w:b/>
          <w:bCs/>
          <w:spacing w:val="-2"/>
          <w:sz w:val="24"/>
          <w:szCs w:val="24"/>
          <w:highlight w:val="none"/>
        </w:rPr>
        <w:t>（一）服务内容：</w:t>
      </w:r>
      <w:r>
        <w:rPr>
          <w:rFonts w:hint="eastAsia" w:ascii="仿宋" w:hAnsi="仿宋" w:eastAsia="仿宋" w:cs="仿宋"/>
          <w:spacing w:val="1"/>
          <w:sz w:val="24"/>
          <w:szCs w:val="24"/>
          <w:highlight w:val="none"/>
          <w:lang w:eastAsia="zh-CN"/>
        </w:rPr>
        <w:t>漳浒寨街道机关食堂食材配送服务采购项目</w:t>
      </w:r>
      <w:r>
        <w:rPr>
          <w:rFonts w:hint="eastAsia" w:ascii="仿宋" w:hAnsi="仿宋" w:eastAsia="仿宋" w:cs="仿宋"/>
          <w:spacing w:val="1"/>
          <w:sz w:val="24"/>
          <w:szCs w:val="24"/>
          <w:highlight w:val="none"/>
        </w:rPr>
        <w:t>，主要包括</w:t>
      </w:r>
      <w:r>
        <w:rPr>
          <w:rFonts w:hint="eastAsia" w:ascii="仿宋" w:hAnsi="仿宋" w:eastAsia="仿宋" w:cs="仿宋"/>
          <w:spacing w:val="1"/>
          <w:sz w:val="24"/>
          <w:szCs w:val="24"/>
          <w:highlight w:val="none"/>
          <w:lang w:eastAsia="zh-CN"/>
        </w:rPr>
        <w:t>米、面、油、蔬菜、瓜果、肉类、乳制品、调料等原材料</w:t>
      </w:r>
      <w:r>
        <w:rPr>
          <w:rFonts w:hint="eastAsia" w:ascii="仿宋" w:hAnsi="仿宋" w:eastAsia="仿宋" w:cs="仿宋"/>
          <w:spacing w:val="1"/>
          <w:sz w:val="24"/>
          <w:szCs w:val="24"/>
          <w:highlight w:val="none"/>
        </w:rPr>
        <w:t>的供应采购</w:t>
      </w:r>
    </w:p>
    <w:p w14:paraId="7571C987">
      <w:pPr>
        <w:keepNext w:val="0"/>
        <w:keepLines w:val="0"/>
        <w:pageBreakBefore w:val="0"/>
        <w:wordWrap/>
        <w:overflowPunct/>
        <w:topLinePunct w:val="0"/>
        <w:bidi w:val="0"/>
        <w:spacing w:line="500" w:lineRule="exact"/>
        <w:ind w:left="0" w:leftChars="0" w:firstLine="0" w:firstLineChars="0"/>
        <w:jc w:val="center"/>
        <w:rPr>
          <w:rFonts w:hint="eastAsia" w:ascii="仿宋" w:hAnsi="仿宋" w:eastAsia="仿宋" w:cs="仿宋"/>
          <w:sz w:val="24"/>
          <w:szCs w:val="24"/>
          <w:highlight w:val="none"/>
        </w:rPr>
      </w:pPr>
      <w:r>
        <w:rPr>
          <w:rFonts w:hint="eastAsia" w:ascii="仿宋" w:hAnsi="仿宋" w:eastAsia="仿宋" w:cs="仿宋"/>
          <w:b/>
          <w:bCs/>
          <w:spacing w:val="-6"/>
          <w:sz w:val="24"/>
          <w:szCs w:val="24"/>
          <w:highlight w:val="none"/>
        </w:rPr>
        <w:t>（采买清单）</w:t>
      </w:r>
    </w:p>
    <w:tbl>
      <w:tblPr>
        <w:tblStyle w:val="10"/>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007"/>
        <w:gridCol w:w="6098"/>
      </w:tblGrid>
      <w:tr w14:paraId="4C38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80" w:type="dxa"/>
            <w:noWrap w:val="0"/>
            <w:vAlign w:val="center"/>
          </w:tcPr>
          <w:p w14:paraId="7B846058">
            <w:pPr>
              <w:keepNext w:val="0"/>
              <w:keepLines w:val="0"/>
              <w:pageBreakBefore w:val="0"/>
              <w:wordWrap/>
              <w:overflowPunct/>
              <w:topLinePunct w:val="0"/>
              <w:bidi w:val="0"/>
              <w:spacing w:line="500" w:lineRule="exact"/>
              <w:jc w:val="center"/>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vertAlign w:val="baseline"/>
                <w:lang w:eastAsia="zh-CN"/>
              </w:rPr>
              <w:t>序号</w:t>
            </w:r>
          </w:p>
        </w:tc>
        <w:tc>
          <w:tcPr>
            <w:tcW w:w="2007" w:type="dxa"/>
            <w:noWrap w:val="0"/>
            <w:vAlign w:val="center"/>
          </w:tcPr>
          <w:p w14:paraId="27C8EC39">
            <w:pPr>
              <w:keepNext w:val="0"/>
              <w:keepLines w:val="0"/>
              <w:pageBreakBefore w:val="0"/>
              <w:wordWrap/>
              <w:overflowPunct/>
              <w:topLinePunct w:val="0"/>
              <w:bidi w:val="0"/>
              <w:spacing w:line="500" w:lineRule="exact"/>
              <w:ind w:left="0" w:leftChars="0" w:firstLine="0" w:firstLineChars="0"/>
              <w:jc w:val="center"/>
              <w:rPr>
                <w:rFonts w:hint="eastAsia"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sz w:val="24"/>
                <w:szCs w:val="24"/>
                <w:highlight w:val="none"/>
                <w:vertAlign w:val="baseline"/>
                <w:lang w:eastAsia="zh-CN"/>
              </w:rPr>
              <w:t>品名</w:t>
            </w:r>
          </w:p>
        </w:tc>
        <w:tc>
          <w:tcPr>
            <w:tcW w:w="6098" w:type="dxa"/>
            <w:noWrap w:val="0"/>
            <w:vAlign w:val="center"/>
          </w:tcPr>
          <w:p w14:paraId="35A27D6D">
            <w:pPr>
              <w:keepNext w:val="0"/>
              <w:keepLines w:val="0"/>
              <w:pageBreakBefore w:val="0"/>
              <w:wordWrap/>
              <w:overflowPunct/>
              <w:topLinePunct w:val="0"/>
              <w:bidi w:val="0"/>
              <w:spacing w:line="500" w:lineRule="exact"/>
              <w:jc w:val="center"/>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vertAlign w:val="baseline"/>
                <w:lang w:eastAsia="zh-CN"/>
              </w:rPr>
              <w:t>食材要求</w:t>
            </w:r>
          </w:p>
        </w:tc>
      </w:tr>
      <w:tr w14:paraId="3FF6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780" w:type="dxa"/>
            <w:noWrap w:val="0"/>
            <w:vAlign w:val="center"/>
          </w:tcPr>
          <w:p w14:paraId="797D48B3">
            <w:pPr>
              <w:keepNext w:val="0"/>
              <w:keepLines w:val="0"/>
              <w:pageBreakBefore w:val="0"/>
              <w:wordWrap/>
              <w:overflowPunct/>
              <w:topLinePunct w:val="0"/>
              <w:bidi w:val="0"/>
              <w:spacing w:line="500" w:lineRule="exact"/>
              <w:jc w:val="center"/>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w:t>
            </w:r>
          </w:p>
        </w:tc>
        <w:tc>
          <w:tcPr>
            <w:tcW w:w="2007" w:type="dxa"/>
            <w:noWrap w:val="0"/>
            <w:vAlign w:val="center"/>
          </w:tcPr>
          <w:p w14:paraId="7E238652">
            <w:pPr>
              <w:keepNext w:val="0"/>
              <w:keepLines w:val="0"/>
              <w:pageBreakBefore w:val="0"/>
              <w:wordWrap/>
              <w:overflowPunct/>
              <w:topLinePunct w:val="0"/>
              <w:bidi w:val="0"/>
              <w:spacing w:line="500" w:lineRule="exact"/>
              <w:jc w:val="center"/>
              <w:rPr>
                <w:rFonts w:hint="eastAsia"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sz w:val="24"/>
                <w:szCs w:val="24"/>
                <w:highlight w:val="none"/>
              </w:rPr>
              <w:t>大米</w:t>
            </w:r>
          </w:p>
        </w:tc>
        <w:tc>
          <w:tcPr>
            <w:tcW w:w="6098" w:type="dxa"/>
            <w:noWrap w:val="0"/>
            <w:vAlign w:val="center"/>
          </w:tcPr>
          <w:p w14:paraId="31C9118C">
            <w:pPr>
              <w:keepNext w:val="0"/>
              <w:keepLines w:val="0"/>
              <w:pageBreakBefore w:val="0"/>
              <w:wordWrap/>
              <w:overflowPunct/>
              <w:topLinePunct w:val="0"/>
              <w:bidi w:val="0"/>
              <w:spacing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lang w:val="en-US" w:eastAsia="zh-CN" w:bidi="ar-SA"/>
              </w:rPr>
              <w:t>必须符合GB1354标准，拥有食品生产许可证，水分含量在12°以下，无掺杂、无沙石，碎米少，无黄粒米</w:t>
            </w:r>
          </w:p>
        </w:tc>
      </w:tr>
      <w:tr w14:paraId="7A47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780" w:type="dxa"/>
            <w:noWrap w:val="0"/>
            <w:vAlign w:val="center"/>
          </w:tcPr>
          <w:p w14:paraId="69449467">
            <w:pPr>
              <w:keepNext w:val="0"/>
              <w:keepLines w:val="0"/>
              <w:pageBreakBefore w:val="0"/>
              <w:wordWrap/>
              <w:overflowPunct/>
              <w:topLinePunct w:val="0"/>
              <w:bidi w:val="0"/>
              <w:spacing w:line="500" w:lineRule="exact"/>
              <w:jc w:val="center"/>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2</w:t>
            </w:r>
          </w:p>
        </w:tc>
        <w:tc>
          <w:tcPr>
            <w:tcW w:w="2007" w:type="dxa"/>
            <w:noWrap w:val="0"/>
            <w:vAlign w:val="center"/>
          </w:tcPr>
          <w:p w14:paraId="43019114">
            <w:pPr>
              <w:keepNext w:val="0"/>
              <w:keepLines w:val="0"/>
              <w:pageBreakBefore w:val="0"/>
              <w:wordWrap/>
              <w:overflowPunct/>
              <w:topLinePunct w:val="0"/>
              <w:bidi w:val="0"/>
              <w:spacing w:line="500" w:lineRule="exact"/>
              <w:jc w:val="center"/>
              <w:rPr>
                <w:rFonts w:hint="eastAsia"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sz w:val="24"/>
                <w:szCs w:val="24"/>
                <w:highlight w:val="none"/>
              </w:rPr>
              <w:t>食用油</w:t>
            </w:r>
          </w:p>
        </w:tc>
        <w:tc>
          <w:tcPr>
            <w:tcW w:w="6098" w:type="dxa"/>
            <w:noWrap w:val="0"/>
            <w:vAlign w:val="center"/>
          </w:tcPr>
          <w:p w14:paraId="46D103ED">
            <w:pPr>
              <w:keepNext w:val="0"/>
              <w:keepLines w:val="0"/>
              <w:pageBreakBefore w:val="0"/>
              <w:wordWrap/>
              <w:overflowPunct/>
              <w:topLinePunct w:val="0"/>
              <w:bidi w:val="0"/>
              <w:spacing w:line="50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必须符合GB1536标准，拥有食品生产许可证，质量等级一级；有合格检疫报告，外观的色泽、透明度、气味滋味等无异常；定型包装</w:t>
            </w:r>
          </w:p>
        </w:tc>
      </w:tr>
      <w:tr w14:paraId="23803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780" w:type="dxa"/>
            <w:noWrap w:val="0"/>
            <w:vAlign w:val="center"/>
          </w:tcPr>
          <w:p w14:paraId="2F061AE0">
            <w:pPr>
              <w:keepNext w:val="0"/>
              <w:keepLines w:val="0"/>
              <w:pageBreakBefore w:val="0"/>
              <w:wordWrap/>
              <w:overflowPunct/>
              <w:topLinePunct w:val="0"/>
              <w:bidi w:val="0"/>
              <w:spacing w:line="500" w:lineRule="exact"/>
              <w:jc w:val="center"/>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3</w:t>
            </w:r>
          </w:p>
        </w:tc>
        <w:tc>
          <w:tcPr>
            <w:tcW w:w="2007" w:type="dxa"/>
            <w:noWrap w:val="0"/>
            <w:vAlign w:val="center"/>
          </w:tcPr>
          <w:p w14:paraId="45240E02">
            <w:pPr>
              <w:keepNext w:val="0"/>
              <w:keepLines w:val="0"/>
              <w:pageBreakBefore w:val="0"/>
              <w:wordWrap/>
              <w:overflowPunct/>
              <w:topLinePunct w:val="0"/>
              <w:bidi w:val="0"/>
              <w:spacing w:line="500" w:lineRule="exact"/>
              <w:jc w:val="center"/>
              <w:rPr>
                <w:rFonts w:hint="eastAsia"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sz w:val="24"/>
                <w:szCs w:val="24"/>
                <w:highlight w:val="none"/>
              </w:rPr>
              <w:t>面粉</w:t>
            </w:r>
          </w:p>
        </w:tc>
        <w:tc>
          <w:tcPr>
            <w:tcW w:w="6098" w:type="dxa"/>
            <w:noWrap w:val="0"/>
            <w:vAlign w:val="center"/>
          </w:tcPr>
          <w:p w14:paraId="37ACDD48">
            <w:pPr>
              <w:keepNext w:val="0"/>
              <w:keepLines w:val="0"/>
              <w:pageBreakBefore w:val="0"/>
              <w:wordWrap/>
              <w:overflowPunct/>
              <w:topLinePunct w:val="0"/>
              <w:bidi w:val="0"/>
              <w:spacing w:line="500" w:lineRule="exact"/>
              <w:jc w:val="left"/>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高筋面粉达GB8607国家标准，质量等级一级；低筋面粉达Q/JHMF01标准，质量等级一级；色泽正常，干爽无异味；包装袋上有注册商标及QS标注，有检验合格证、生产日期和保质期</w:t>
            </w:r>
          </w:p>
        </w:tc>
      </w:tr>
      <w:tr w14:paraId="55740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780" w:type="dxa"/>
            <w:noWrap w:val="0"/>
            <w:vAlign w:val="center"/>
          </w:tcPr>
          <w:p w14:paraId="6BE6EBA2">
            <w:pPr>
              <w:keepNext w:val="0"/>
              <w:keepLines w:val="0"/>
              <w:pageBreakBefore w:val="0"/>
              <w:wordWrap/>
              <w:overflowPunct/>
              <w:topLinePunct w:val="0"/>
              <w:bidi w:val="0"/>
              <w:spacing w:line="500" w:lineRule="exact"/>
              <w:jc w:val="center"/>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4</w:t>
            </w:r>
          </w:p>
        </w:tc>
        <w:tc>
          <w:tcPr>
            <w:tcW w:w="2007" w:type="dxa"/>
            <w:noWrap w:val="0"/>
            <w:vAlign w:val="center"/>
          </w:tcPr>
          <w:p w14:paraId="6A7941AA">
            <w:pPr>
              <w:keepNext w:val="0"/>
              <w:keepLines w:val="0"/>
              <w:pageBreakBefore w:val="0"/>
              <w:wordWrap/>
              <w:overflowPunct/>
              <w:topLinePunct w:val="0"/>
              <w:bidi w:val="0"/>
              <w:spacing w:line="500" w:lineRule="exact"/>
              <w:jc w:val="center"/>
              <w:rPr>
                <w:rFonts w:hint="eastAsia"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sz w:val="24"/>
                <w:szCs w:val="24"/>
                <w:highlight w:val="none"/>
              </w:rPr>
              <w:t>蔬菜</w:t>
            </w:r>
            <w:r>
              <w:rPr>
                <w:rFonts w:hint="eastAsia" w:ascii="仿宋" w:hAnsi="仿宋" w:eastAsia="仿宋" w:cs="仿宋"/>
                <w:color w:val="auto"/>
                <w:sz w:val="24"/>
                <w:szCs w:val="24"/>
                <w:highlight w:val="none"/>
                <w:lang w:eastAsia="zh-CN"/>
              </w:rPr>
              <w:t>类</w:t>
            </w:r>
          </w:p>
        </w:tc>
        <w:tc>
          <w:tcPr>
            <w:tcW w:w="6098" w:type="dxa"/>
            <w:noWrap w:val="0"/>
            <w:vAlign w:val="center"/>
          </w:tcPr>
          <w:p w14:paraId="659ED127">
            <w:pPr>
              <w:keepNext w:val="0"/>
              <w:keepLines w:val="0"/>
              <w:pageBreakBefore w:val="0"/>
              <w:wordWrap/>
              <w:overflowPunct/>
              <w:topLinePunct w:val="0"/>
              <w:bidi w:val="0"/>
              <w:spacing w:line="50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必须符合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tc>
      </w:tr>
      <w:tr w14:paraId="65A53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3" w:hRule="atLeast"/>
          <w:jc w:val="center"/>
        </w:trPr>
        <w:tc>
          <w:tcPr>
            <w:tcW w:w="780" w:type="dxa"/>
            <w:noWrap w:val="0"/>
            <w:vAlign w:val="center"/>
          </w:tcPr>
          <w:p w14:paraId="61CC8864">
            <w:pPr>
              <w:keepNext w:val="0"/>
              <w:keepLines w:val="0"/>
              <w:pageBreakBefore w:val="0"/>
              <w:wordWrap/>
              <w:overflowPunct/>
              <w:topLinePunct w:val="0"/>
              <w:bidi w:val="0"/>
              <w:spacing w:line="500" w:lineRule="exact"/>
              <w:jc w:val="center"/>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5</w:t>
            </w:r>
          </w:p>
        </w:tc>
        <w:tc>
          <w:tcPr>
            <w:tcW w:w="2007" w:type="dxa"/>
            <w:noWrap w:val="0"/>
            <w:vAlign w:val="center"/>
          </w:tcPr>
          <w:p w14:paraId="67F291EB">
            <w:pPr>
              <w:keepNext w:val="0"/>
              <w:keepLines w:val="0"/>
              <w:pageBreakBefore w:val="0"/>
              <w:wordWrap/>
              <w:overflowPunct/>
              <w:topLinePunct w:val="0"/>
              <w:bidi w:val="0"/>
              <w:spacing w:line="500" w:lineRule="exact"/>
              <w:jc w:val="center"/>
              <w:rPr>
                <w:rFonts w:hint="eastAsia"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sz w:val="24"/>
                <w:szCs w:val="24"/>
                <w:highlight w:val="none"/>
              </w:rPr>
              <w:t>肉类</w:t>
            </w:r>
          </w:p>
        </w:tc>
        <w:tc>
          <w:tcPr>
            <w:tcW w:w="6098" w:type="dxa"/>
            <w:noWrap w:val="0"/>
            <w:vAlign w:val="center"/>
          </w:tcPr>
          <w:p w14:paraId="77C2DC1B">
            <w:pPr>
              <w:keepNext w:val="0"/>
              <w:keepLines w:val="0"/>
              <w:pageBreakBefore w:val="0"/>
              <w:wordWrap/>
              <w:overflowPunct/>
              <w:topLinePunct w:val="0"/>
              <w:bidi w:val="0"/>
              <w:spacing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vertAlign w:val="baseline"/>
              </w:rPr>
              <w:t>应具有相关动物检验检疫合格证明，供应商应设有固定的经营场所，并具有符合卫生防疫监督部门要求的肉类食材屠宰厂的经营授权书，含水（冰）率符合标准</w:t>
            </w:r>
            <w:r>
              <w:rPr>
                <w:rFonts w:hint="eastAsia" w:ascii="仿宋" w:hAnsi="仿宋" w:eastAsia="仿宋" w:cs="仿宋"/>
                <w:color w:val="auto"/>
                <w:sz w:val="24"/>
                <w:szCs w:val="24"/>
                <w:highlight w:val="none"/>
                <w:vertAlign w:val="baseline"/>
                <w:lang w:eastAsia="zh-CN"/>
              </w:rPr>
              <w:t>，肉品须表皮洁净、膘厚适中、色泽鲜亮、纹理清晰、肉质细腻、无异味、去骨、无毛、有生产日期。符合国家绿色批发市场标准，应具备满足交易需要的冷冻贮藏设施</w:t>
            </w:r>
          </w:p>
        </w:tc>
      </w:tr>
      <w:tr w14:paraId="346D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780" w:type="dxa"/>
            <w:noWrap w:val="0"/>
            <w:vAlign w:val="center"/>
          </w:tcPr>
          <w:p w14:paraId="1FE62FE4">
            <w:pPr>
              <w:keepNext w:val="0"/>
              <w:keepLines w:val="0"/>
              <w:pageBreakBefore w:val="0"/>
              <w:wordWrap/>
              <w:overflowPunct/>
              <w:topLinePunct w:val="0"/>
              <w:bidi w:val="0"/>
              <w:spacing w:line="5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2007" w:type="dxa"/>
            <w:noWrap w:val="0"/>
            <w:vAlign w:val="center"/>
          </w:tcPr>
          <w:p w14:paraId="14DC7AF7">
            <w:pPr>
              <w:keepNext w:val="0"/>
              <w:keepLines w:val="0"/>
              <w:pageBreakBefore w:val="0"/>
              <w:wordWrap/>
              <w:overflowPunct/>
              <w:topLinePunct w:val="0"/>
              <w:bidi w:val="0"/>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瓜果</w:t>
            </w:r>
          </w:p>
        </w:tc>
        <w:tc>
          <w:tcPr>
            <w:tcW w:w="6098" w:type="dxa"/>
            <w:noWrap w:val="0"/>
            <w:vAlign w:val="center"/>
          </w:tcPr>
          <w:p w14:paraId="0CF15E74">
            <w:pPr>
              <w:keepNext w:val="0"/>
              <w:keepLines w:val="0"/>
              <w:pageBreakBefore w:val="0"/>
              <w:wordWrap/>
              <w:overflowPunct/>
              <w:topLinePunct w:val="0"/>
              <w:bidi w:val="0"/>
              <w:spacing w:line="50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vertAlign w:val="baseline"/>
                <w:lang w:eastAsia="zh-CN"/>
              </w:rPr>
              <w:t>时令各类水果，无虫、无杂质，须48小时内采摘供应，原水果须保证果面干净、无明显泥土、码放整齐、无破损、大小基本统一、不得过熟或欠熟</w:t>
            </w:r>
          </w:p>
        </w:tc>
      </w:tr>
      <w:tr w14:paraId="5D4FB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780" w:type="dxa"/>
            <w:noWrap w:val="0"/>
            <w:vAlign w:val="center"/>
          </w:tcPr>
          <w:p w14:paraId="21D9677E">
            <w:pPr>
              <w:keepNext w:val="0"/>
              <w:keepLines w:val="0"/>
              <w:pageBreakBefore w:val="0"/>
              <w:wordWrap/>
              <w:overflowPunct/>
              <w:topLinePunct w:val="0"/>
              <w:bidi w:val="0"/>
              <w:spacing w:line="5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2007" w:type="dxa"/>
            <w:noWrap w:val="0"/>
            <w:vAlign w:val="center"/>
          </w:tcPr>
          <w:p w14:paraId="3C803EE8">
            <w:pPr>
              <w:keepNext w:val="0"/>
              <w:keepLines w:val="0"/>
              <w:pageBreakBefore w:val="0"/>
              <w:wordWrap/>
              <w:overflowPunct/>
              <w:topLinePunct w:val="0"/>
              <w:bidi w:val="0"/>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调味品</w:t>
            </w:r>
          </w:p>
        </w:tc>
        <w:tc>
          <w:tcPr>
            <w:tcW w:w="6098" w:type="dxa"/>
            <w:noWrap w:val="0"/>
            <w:vAlign w:val="center"/>
          </w:tcPr>
          <w:p w14:paraId="5A7FB6CE">
            <w:pPr>
              <w:keepNext w:val="0"/>
              <w:keepLines w:val="0"/>
              <w:pageBreakBefore w:val="0"/>
              <w:wordWrap/>
              <w:overflowPunct/>
              <w:topLinePunct w:val="0"/>
              <w:bidi w:val="0"/>
              <w:spacing w:line="500" w:lineRule="exact"/>
              <w:jc w:val="left"/>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rPr>
              <w:t>品质好，无霉变、无杂质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定型包装调味品必须具有食品生产许可证</w:t>
            </w:r>
            <w:r>
              <w:rPr>
                <w:rFonts w:hint="eastAsia" w:ascii="仿宋" w:hAnsi="仿宋" w:eastAsia="仿宋" w:cs="仿宋"/>
                <w:color w:val="auto"/>
                <w:sz w:val="24"/>
                <w:szCs w:val="24"/>
                <w:highlight w:val="none"/>
                <w:lang w:eastAsia="zh-CN"/>
              </w:rPr>
              <w:t>，色泽正常，具有该品种固有的香味，滋味无异味，油酱均匀的酱体或无结块的粉状固体，封口平整，外包装无污物、无泄漏，无胀袋或胖听或鼓盖现象，无变质发霉现象。</w:t>
            </w:r>
          </w:p>
        </w:tc>
      </w:tr>
    </w:tbl>
    <w:p w14:paraId="76B204BC">
      <w:pPr>
        <w:pStyle w:val="17"/>
        <w:keepNext w:val="0"/>
        <w:keepLines w:val="0"/>
        <w:pageBreakBefore w:val="0"/>
        <w:numPr>
          <w:ilvl w:val="0"/>
          <w:numId w:val="0"/>
        </w:numPr>
        <w:kinsoku/>
        <w:wordWrap/>
        <w:overflowPunct/>
        <w:topLinePunct w:val="0"/>
        <w:autoSpaceDE/>
        <w:autoSpaceDN/>
        <w:bidi w:val="0"/>
        <w:adjustRightInd/>
        <w:snapToGrid/>
        <w:spacing w:before="0" w:beforeLines="0" w:after="0" w:afterLines="0"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注：供应商应按照满足人体均衡营养摄入的食材配送标准来制定详细、具体、合理的食材配送计划。</w:t>
      </w:r>
    </w:p>
    <w:p w14:paraId="560E5612">
      <w:pPr>
        <w:keepNext w:val="0"/>
        <w:keepLines w:val="0"/>
        <w:pageBreakBefore w:val="0"/>
        <w:widowControl/>
        <w:kinsoku w:val="0"/>
        <w:wordWrap/>
        <w:overflowPunct/>
        <w:topLinePunct w:val="0"/>
        <w:autoSpaceDE w:val="0"/>
        <w:autoSpaceDN w:val="0"/>
        <w:bidi w:val="0"/>
        <w:adjustRightInd w:val="0"/>
        <w:snapToGrid w:val="0"/>
        <w:spacing w:line="500" w:lineRule="exact"/>
        <w:ind w:left="2" w:right="61" w:firstLine="431"/>
        <w:jc w:val="both"/>
        <w:textAlignment w:val="baseline"/>
        <w:rPr>
          <w:rFonts w:hint="eastAsia" w:ascii="仿宋" w:hAnsi="仿宋" w:eastAsia="仿宋" w:cs="仿宋"/>
          <w:b/>
          <w:bCs/>
          <w:spacing w:val="-5"/>
          <w:sz w:val="24"/>
          <w:szCs w:val="24"/>
          <w:highlight w:val="none"/>
        </w:rPr>
      </w:pPr>
      <w:r>
        <w:rPr>
          <w:rFonts w:hint="eastAsia" w:ascii="仿宋" w:hAnsi="仿宋" w:eastAsia="仿宋" w:cs="仿宋"/>
          <w:b/>
          <w:bCs/>
          <w:spacing w:val="-5"/>
          <w:sz w:val="24"/>
          <w:szCs w:val="24"/>
          <w:highlight w:val="none"/>
        </w:rPr>
        <w:t>（二）服务要求</w:t>
      </w:r>
    </w:p>
    <w:p w14:paraId="7CA87F3A">
      <w:pPr>
        <w:keepNext w:val="0"/>
        <w:keepLines w:val="0"/>
        <w:pageBreakBefore w:val="0"/>
        <w:widowControl/>
        <w:kinsoku w:val="0"/>
        <w:wordWrap/>
        <w:overflowPunct/>
        <w:topLinePunct w:val="0"/>
        <w:autoSpaceDE w:val="0"/>
        <w:autoSpaceDN w:val="0"/>
        <w:bidi w:val="0"/>
        <w:adjustRightInd w:val="0"/>
        <w:snapToGrid w:val="0"/>
        <w:spacing w:line="500" w:lineRule="exact"/>
        <w:ind w:left="439"/>
        <w:textAlignment w:val="baseline"/>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1、配送要求：</w:t>
      </w:r>
    </w:p>
    <w:p w14:paraId="2AC039C4">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（1）供应商须根据食堂要求提供的所有食材的具体品类、规格来供应产品，保质保量，准时准点满足食堂需求；</w:t>
      </w:r>
    </w:p>
    <w:p w14:paraId="5904EAA0">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（2）供应商自备送货车（冷藏或恒温），安排专人及时供货，装卸费、送货费用及运输安全由供应商承担； </w:t>
      </w:r>
    </w:p>
    <w:p w14:paraId="5F65E536">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（3）米、面、油主食类、调味品、杂粮等食材根据食堂需求用量及库存条件，原则上每周送货1次或2次；</w:t>
      </w:r>
    </w:p>
    <w:p w14:paraId="7FF4D5B5">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（4）特殊情况下，食堂需要的小批量的急用物资，供应商应予以满足解决；</w:t>
      </w:r>
    </w:p>
    <w:p w14:paraId="345F9220">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（5）所有食材供应商必须按照采购人要求的种类、规格进行供货，满足采购人使用需求。所有食材配送服务均以采购人通知为准，采购人有权根据实际需求量随时调整采购计划及供货时间段。</w:t>
      </w:r>
    </w:p>
    <w:p w14:paraId="37F95A7F">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4" w:firstLineChars="200"/>
        <w:textAlignment w:val="baseline"/>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2、验收标准：</w:t>
      </w:r>
    </w:p>
    <w:p w14:paraId="2024E48E">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保管员、采购员负责入库食品检验，当班厨师长配合质量验收，验收标准如下：</w:t>
      </w:r>
    </w:p>
    <w:p w14:paraId="47850CB7">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定型包装食品，应检验包装标识或者产品说明书是否标出品名、产地、厂名、生产日期、批号或者代号、规格、配方或者主要成份、保质期限、食用或者使用方法等，防止购进假冒伪劣产品，禁止“三无”产品进入食堂；</w:t>
      </w:r>
    </w:p>
    <w:p w14:paraId="12722B37">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（2）主要食材中的定型包装食品，如米面油类应提供批次产品卫生主管部门的检验报告；</w:t>
      </w:r>
    </w:p>
    <w:p w14:paraId="3FF11EC9">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（3）包装污秽不洁、严重破损、运输工具不洁等造成污染的产品不得验收入库；</w:t>
      </w:r>
    </w:p>
    <w:p w14:paraId="6341C485">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r>
        <w:rPr>
          <w:rFonts w:hint="eastAsia" w:ascii="仿宋" w:hAnsi="仿宋" w:eastAsia="仿宋" w:cs="仿宋"/>
          <w:b w:val="0"/>
          <w:bCs w:val="0"/>
          <w:color w:val="auto"/>
          <w:sz w:val="24"/>
          <w:szCs w:val="24"/>
          <w:highlight w:val="none"/>
          <w:lang w:val="en-US" w:eastAsia="zh-CN"/>
        </w:rPr>
        <w:t>每批次随货附检疫/检测报告、溯源码、农残记录，不合格当场退回并记录。</w:t>
      </w:r>
    </w:p>
    <w:p w14:paraId="124B0520">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（5）食堂采购员、库管员和当班厨师共同对所购食品原辅料的质量、数量进行核对验收，验收合格的及时入库，不合格产品应及时退回供应商，同时做好验收记录。</w:t>
      </w:r>
      <w:r>
        <w:rPr>
          <w:rFonts w:hint="eastAsia" w:ascii="仿宋" w:hAnsi="仿宋" w:eastAsia="仿宋" w:cs="仿宋"/>
          <w:spacing w:val="2"/>
          <w:sz w:val="24"/>
          <w:szCs w:val="24"/>
          <w:highlight w:val="none"/>
          <w:lang w:val="en-US" w:eastAsia="zh-CN"/>
        </w:rPr>
        <w:t>当日出具结果、不合格24小时内退换。</w:t>
      </w:r>
      <w:r>
        <w:rPr>
          <w:rFonts w:hint="eastAsia" w:ascii="仿宋" w:hAnsi="仿宋" w:eastAsia="仿宋" w:cs="仿宋"/>
          <w:b w:val="0"/>
          <w:bCs w:val="0"/>
          <w:color w:val="auto"/>
          <w:sz w:val="24"/>
          <w:szCs w:val="24"/>
          <w:highlight w:val="none"/>
          <w:lang w:val="en-US" w:eastAsia="zh-CN"/>
        </w:rPr>
        <w:t>食堂管理员不定时抽查；</w:t>
      </w:r>
    </w:p>
    <w:p w14:paraId="7F69EA18">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（6）食材购回后，保管员和厨师共同验收，并在《原料购进验收单》上签字确认；</w:t>
      </w:r>
    </w:p>
    <w:p w14:paraId="255EC078">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（7）入库时，保管员要清点入库物品的数量、规格，做到数量、规格、品种准确无误，入库时按不同的材质、规格、功能和要求，分类、分别储存，做到账物相符。</w:t>
      </w:r>
    </w:p>
    <w:p w14:paraId="5820FF29">
      <w:pPr>
        <w:keepNext w:val="0"/>
        <w:keepLines w:val="0"/>
        <w:pageBreakBefore w:val="0"/>
        <w:widowControl w:val="0"/>
        <w:shd w:val="clear" w:color="auto" w:fill="auto"/>
        <w:kinsoku/>
        <w:wordWrap/>
        <w:overflowPunct/>
        <w:topLinePunct w:val="0"/>
        <w:bidi w:val="0"/>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（8）配送人员提供健康证、配送车辆需为冷藏/恒温车辆、每日消毒、48小时留样、台账保存不少于6个月。</w:t>
      </w:r>
    </w:p>
    <w:p w14:paraId="298791C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6" w:firstLineChars="200"/>
        <w:textAlignment w:val="baseline"/>
        <w:rPr>
          <w:rFonts w:hint="eastAsia" w:ascii="仿宋" w:hAnsi="仿宋" w:eastAsia="仿宋" w:cs="仿宋"/>
          <w:spacing w:val="-12"/>
          <w:sz w:val="24"/>
          <w:szCs w:val="24"/>
          <w:highlight w:val="none"/>
        </w:rPr>
      </w:pPr>
      <w:r>
        <w:rPr>
          <w:rFonts w:hint="eastAsia" w:ascii="仿宋" w:hAnsi="仿宋" w:eastAsia="仿宋" w:cs="仿宋"/>
          <w:b/>
          <w:bCs/>
          <w:spacing w:val="-4"/>
          <w:sz w:val="24"/>
          <w:szCs w:val="24"/>
          <w:highlight w:val="none"/>
        </w:rPr>
        <w:t>（三）服务期</w:t>
      </w:r>
      <w:r>
        <w:rPr>
          <w:rFonts w:hint="eastAsia" w:ascii="仿宋" w:hAnsi="仿宋" w:eastAsia="仿宋" w:cs="仿宋"/>
          <w:b/>
          <w:bCs/>
          <w:spacing w:val="-4"/>
          <w:sz w:val="24"/>
          <w:szCs w:val="24"/>
          <w:highlight w:val="none"/>
          <w:lang w:eastAsia="zh-CN"/>
        </w:rPr>
        <w:t>：</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日至</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w:t>
      </w:r>
    </w:p>
    <w:p w14:paraId="1E5A847A">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textAlignment w:val="baseline"/>
        <w:rPr>
          <w:rFonts w:hint="eastAsia" w:ascii="仿宋" w:hAnsi="仿宋" w:eastAsia="仿宋" w:cs="仿宋"/>
          <w:sz w:val="24"/>
          <w:szCs w:val="24"/>
          <w:highlight w:val="none"/>
        </w:rPr>
      </w:pPr>
      <w:r>
        <w:rPr>
          <w:rFonts w:hint="eastAsia" w:ascii="仿宋" w:hAnsi="仿宋" w:eastAsia="仿宋" w:cs="仿宋"/>
          <w:b/>
          <w:bCs/>
          <w:spacing w:val="-4"/>
          <w:sz w:val="24"/>
          <w:szCs w:val="24"/>
          <w:highlight w:val="none"/>
        </w:rPr>
        <w:t>二、合同价格</w:t>
      </w:r>
    </w:p>
    <w:p w14:paraId="3739FC1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textAlignment w:val="baseline"/>
        <w:rPr>
          <w:rFonts w:hint="eastAsia" w:ascii="仿宋" w:hAnsi="仿宋" w:eastAsia="仿宋" w:cs="仿宋"/>
          <w:b/>
          <w:bCs/>
          <w:snapToGrid w:val="0"/>
          <w:color w:val="000000"/>
          <w:spacing w:val="-3"/>
          <w:kern w:val="0"/>
          <w:sz w:val="24"/>
          <w:szCs w:val="24"/>
          <w:highlight w:val="none"/>
          <w:u w:val="single"/>
          <w:lang w:val="en-US" w:eastAsia="zh-CN" w:bidi="ar-SA"/>
        </w:rPr>
      </w:pPr>
      <w:r>
        <w:rPr>
          <w:rFonts w:hint="eastAsia" w:ascii="仿宋" w:hAnsi="仿宋" w:eastAsia="仿宋" w:cs="仿宋"/>
          <w:spacing w:val="-3"/>
          <w:sz w:val="24"/>
          <w:szCs w:val="24"/>
          <w:highlight w:val="none"/>
        </w:rPr>
        <w:t>合同总价：人民币大写：</w:t>
      </w:r>
      <w:r>
        <w:rPr>
          <w:rFonts w:hint="eastAsia" w:ascii="仿宋" w:hAnsi="仿宋" w:eastAsia="仿宋" w:cs="仿宋"/>
          <w:spacing w:val="-3"/>
          <w:sz w:val="24"/>
          <w:szCs w:val="24"/>
          <w:highlight w:val="none"/>
          <w:u w:val="single" w:color="auto"/>
        </w:rPr>
        <w:t xml:space="preserve">         </w:t>
      </w:r>
      <w:r>
        <w:rPr>
          <w:rFonts w:hint="eastAsia" w:ascii="仿宋" w:hAnsi="仿宋" w:eastAsia="仿宋" w:cs="仿宋"/>
          <w:b w:val="0"/>
          <w:bCs w:val="0"/>
          <w:spacing w:val="-3"/>
          <w:sz w:val="24"/>
          <w:szCs w:val="24"/>
          <w:highlight w:val="none"/>
          <w:u w:val="single" w:color="auto"/>
        </w:rPr>
        <w:t xml:space="preserve"> </w:t>
      </w:r>
      <w:r>
        <w:rPr>
          <w:rFonts w:hint="eastAsia" w:ascii="仿宋" w:hAnsi="仿宋" w:eastAsia="仿宋" w:cs="仿宋"/>
          <w:b w:val="0"/>
          <w:bCs w:val="0"/>
          <w:spacing w:val="-3"/>
          <w:sz w:val="24"/>
          <w:szCs w:val="24"/>
          <w:highlight w:val="none"/>
        </w:rPr>
        <w:t>元整；</w:t>
      </w:r>
      <w:r>
        <w:rPr>
          <w:rFonts w:hint="eastAsia" w:ascii="仿宋" w:hAnsi="仿宋" w:eastAsia="仿宋" w:cs="仿宋"/>
          <w:spacing w:val="-3"/>
          <w:sz w:val="24"/>
          <w:szCs w:val="24"/>
          <w:highlight w:val="none"/>
        </w:rPr>
        <w:t>￥</w:t>
      </w:r>
      <w:r>
        <w:rPr>
          <w:rFonts w:hint="eastAsia" w:ascii="仿宋" w:hAnsi="仿宋" w:eastAsia="仿宋" w:cs="仿宋"/>
          <w:spacing w:val="-95"/>
          <w:sz w:val="24"/>
          <w:szCs w:val="24"/>
          <w:highlight w:val="none"/>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3"/>
          <w:sz w:val="24"/>
          <w:szCs w:val="24"/>
          <w:highlight w:val="none"/>
        </w:rPr>
        <w:t>元。</w:t>
      </w:r>
      <w:r>
        <w:rPr>
          <w:rFonts w:hint="eastAsia" w:ascii="仿宋" w:hAnsi="仿宋" w:eastAsia="仿宋" w:cs="仿宋"/>
          <w:spacing w:val="-3"/>
          <w:sz w:val="24"/>
          <w:szCs w:val="24"/>
          <w:highlight w:val="none"/>
          <w:lang w:val="en-US" w:eastAsia="zh-CN"/>
        </w:rPr>
        <w:t>费率</w:t>
      </w:r>
      <w:r>
        <w:rPr>
          <w:rFonts w:hint="eastAsia" w:ascii="仿宋" w:hAnsi="仿宋" w:eastAsia="仿宋" w:cs="仿宋"/>
          <w:spacing w:val="-3"/>
          <w:sz w:val="24"/>
          <w:szCs w:val="24"/>
          <w:highlight w:val="none"/>
          <w:u w:val="single"/>
          <w:lang w:val="en-US" w:eastAsia="zh-CN"/>
        </w:rPr>
        <w:t xml:space="preserve">      %</w:t>
      </w:r>
    </w:p>
    <w:p w14:paraId="4589D7A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left="0" w:right="0" w:rightChars="0"/>
        <w:jc w:val="both"/>
        <w:textAlignment w:val="baseline"/>
        <w:rPr>
          <w:rFonts w:hint="eastAsia" w:ascii="仿宋" w:hAnsi="仿宋" w:eastAsia="仿宋" w:cs="仿宋"/>
          <w:b/>
          <w:bCs/>
          <w:spacing w:val="-3"/>
          <w:sz w:val="24"/>
          <w:szCs w:val="24"/>
          <w:highlight w:val="none"/>
          <w:lang w:eastAsia="zh-CN"/>
        </w:rPr>
      </w:pPr>
      <w:r>
        <w:rPr>
          <w:rFonts w:hint="eastAsia" w:ascii="仿宋" w:hAnsi="仿宋" w:eastAsia="仿宋" w:cs="仿宋"/>
          <w:b/>
          <w:bCs/>
          <w:snapToGrid w:val="0"/>
          <w:color w:val="000000"/>
          <w:spacing w:val="-3"/>
          <w:kern w:val="0"/>
          <w:sz w:val="24"/>
          <w:szCs w:val="24"/>
          <w:highlight w:val="none"/>
          <w:lang w:val="en-US" w:eastAsia="en-US" w:bidi="ar-SA"/>
        </w:rPr>
        <w:t>三、</w:t>
      </w:r>
      <w:r>
        <w:rPr>
          <w:rFonts w:hint="eastAsia" w:ascii="仿宋" w:hAnsi="仿宋" w:eastAsia="仿宋" w:cs="仿宋"/>
          <w:b/>
          <w:bCs/>
          <w:spacing w:val="-3"/>
          <w:sz w:val="24"/>
          <w:szCs w:val="24"/>
          <w:highlight w:val="none"/>
        </w:rPr>
        <w:t>付款方式</w:t>
      </w:r>
      <w:r>
        <w:rPr>
          <w:rFonts w:hint="eastAsia" w:ascii="仿宋" w:hAnsi="仿宋" w:eastAsia="仿宋" w:cs="仿宋"/>
          <w:b/>
          <w:bCs/>
          <w:spacing w:val="-3"/>
          <w:sz w:val="24"/>
          <w:szCs w:val="24"/>
          <w:highlight w:val="none"/>
          <w:lang w:eastAsia="zh-CN"/>
        </w:rPr>
        <w:t>：</w:t>
      </w:r>
    </w:p>
    <w:p w14:paraId="301CEAEA">
      <w:pPr>
        <w:pStyle w:val="16"/>
        <w:keepNext w:val="0"/>
        <w:keepLines w:val="0"/>
        <w:pageBreakBefore w:val="0"/>
        <w:kinsoku/>
        <w:wordWrap/>
        <w:overflowPunct/>
        <w:topLinePunct w:val="0"/>
        <w:autoSpaceDE/>
        <w:autoSpaceDN/>
        <w:bidi w:val="0"/>
        <w:adjustRightInd/>
        <w:snapToGrid/>
        <w:spacing w:line="360" w:lineRule="auto"/>
        <w:ind w:firstLine="420"/>
        <w:jc w:val="both"/>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付款条件说明：每月1日至5日递交上月结算数据，结算价格以采购人和成交供应商双方共同在本区域内“农贸批发市场”和“大型生活超市”两方询价的平均值作为价格基数*成交供应商食材费率*供货数量。双方签字确认、公示3日，若有异议期内处理。若无异议按月据实结算，付款周期为验收合格后30日内。若增加紧急配送、临时增量按同费率执行，超时、短缺按次扣款。</w:t>
      </w:r>
    </w:p>
    <w:p w14:paraId="55F55742">
      <w:pPr>
        <w:pStyle w:val="7"/>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成交供应商应当在</w:t>
      </w:r>
      <w:r>
        <w:rPr>
          <w:rFonts w:hint="eastAsia" w:ascii="仿宋" w:hAnsi="仿宋" w:eastAsia="仿宋" w:cs="仿宋"/>
          <w:spacing w:val="2"/>
          <w:sz w:val="24"/>
          <w:szCs w:val="24"/>
          <w:highlight w:val="none"/>
          <w:lang w:val="en-US" w:eastAsia="zh-CN"/>
        </w:rPr>
        <w:t>每月结算后5日内开具</w:t>
      </w:r>
      <w:r>
        <w:rPr>
          <w:rFonts w:hint="eastAsia" w:ascii="仿宋" w:hAnsi="仿宋" w:eastAsia="仿宋" w:cs="仿宋"/>
          <w:color w:val="auto"/>
          <w:sz w:val="24"/>
          <w:szCs w:val="24"/>
          <w:highlight w:val="none"/>
          <w:lang w:val="en-US" w:eastAsia="zh-CN"/>
        </w:rPr>
        <w:t>向采购人方开具相应金额的</w:t>
      </w:r>
      <w:r>
        <w:rPr>
          <w:rFonts w:hint="eastAsia" w:ascii="仿宋" w:hAnsi="仿宋" w:eastAsia="仿宋" w:cs="仿宋"/>
          <w:spacing w:val="2"/>
          <w:sz w:val="24"/>
          <w:szCs w:val="24"/>
          <w:highlight w:val="none"/>
          <w:lang w:val="en-US" w:eastAsia="zh-CN"/>
        </w:rPr>
        <w:t>增值税普通/专用发票</w:t>
      </w:r>
      <w:r>
        <w:rPr>
          <w:rFonts w:hint="eastAsia" w:ascii="仿宋" w:hAnsi="仿宋" w:eastAsia="仿宋" w:cs="仿宋"/>
          <w:color w:val="auto"/>
          <w:sz w:val="24"/>
          <w:szCs w:val="24"/>
          <w:highlight w:val="none"/>
          <w:lang w:val="en-US" w:eastAsia="zh-CN"/>
        </w:rPr>
        <w:t>，由采购人办理完相关财政支付手续后支付该笔款项。</w:t>
      </w:r>
    </w:p>
    <w:p w14:paraId="372C77D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仿宋" w:hAnsi="仿宋" w:eastAsia="仿宋" w:cs="仿宋"/>
          <w:sz w:val="24"/>
          <w:szCs w:val="24"/>
          <w:highlight w:val="none"/>
        </w:rPr>
      </w:pPr>
      <w:r>
        <w:rPr>
          <w:rFonts w:hint="eastAsia" w:ascii="仿宋" w:hAnsi="仿宋" w:eastAsia="仿宋" w:cs="仿宋"/>
          <w:b/>
          <w:bCs/>
          <w:spacing w:val="-8"/>
          <w:sz w:val="24"/>
          <w:szCs w:val="24"/>
          <w:highlight w:val="none"/>
        </w:rPr>
        <w:t>四、保密条款</w:t>
      </w:r>
    </w:p>
    <w:p w14:paraId="2641E086">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4" w:firstLineChars="200"/>
        <w:textAlignment w:val="baseline"/>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1、乙方人员在甲方工作期间获得及接触的甲方的任何形式的保密信息，乙方人员</w:t>
      </w:r>
      <w:r>
        <w:rPr>
          <w:rFonts w:hint="eastAsia" w:ascii="仿宋" w:hAnsi="仿宋" w:eastAsia="仿宋" w:cs="仿宋"/>
          <w:spacing w:val="5"/>
          <w:sz w:val="24"/>
          <w:szCs w:val="24"/>
          <w:highlight w:val="none"/>
        </w:rPr>
        <w:t>不得在本协议目的之外使用，也不得向任何第三方提供这些信息和</w:t>
      </w:r>
      <w:r>
        <w:rPr>
          <w:rFonts w:hint="eastAsia" w:ascii="仿宋" w:hAnsi="仿宋" w:eastAsia="仿宋" w:cs="仿宋"/>
          <w:spacing w:val="4"/>
          <w:sz w:val="24"/>
          <w:szCs w:val="24"/>
          <w:highlight w:val="none"/>
        </w:rPr>
        <w:t>接触这些信息的手</w:t>
      </w:r>
      <w:r>
        <w:rPr>
          <w:rFonts w:hint="eastAsia" w:ascii="仿宋" w:hAnsi="仿宋" w:eastAsia="仿宋" w:cs="仿宋"/>
          <w:spacing w:val="-6"/>
          <w:sz w:val="24"/>
          <w:szCs w:val="24"/>
          <w:highlight w:val="none"/>
        </w:rPr>
        <w:t>段。</w:t>
      </w:r>
    </w:p>
    <w:p w14:paraId="696AC38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1"/>
        <w:textAlignment w:val="baseline"/>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2、乙方应管理和教育好拟派人员遵守甲方的保密</w:t>
      </w:r>
      <w:r>
        <w:rPr>
          <w:rFonts w:hint="eastAsia" w:ascii="仿宋" w:hAnsi="仿宋" w:eastAsia="仿宋" w:cs="仿宋"/>
          <w:spacing w:val="1"/>
          <w:sz w:val="24"/>
          <w:szCs w:val="24"/>
          <w:highlight w:val="none"/>
        </w:rPr>
        <w:t>规定。如果乙方人员违反甲方的</w:t>
      </w:r>
      <w:r>
        <w:rPr>
          <w:rFonts w:hint="eastAsia" w:ascii="仿宋" w:hAnsi="仿宋" w:eastAsia="仿宋" w:cs="仿宋"/>
          <w:spacing w:val="-1"/>
          <w:sz w:val="24"/>
          <w:szCs w:val="24"/>
          <w:highlight w:val="none"/>
        </w:rPr>
        <w:t>保密要求，给甲方造成损失，甲方有权利追究乙方的责任。</w:t>
      </w:r>
    </w:p>
    <w:p w14:paraId="0C27C21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仿宋" w:hAnsi="仿宋" w:eastAsia="仿宋" w:cs="仿宋"/>
          <w:sz w:val="24"/>
          <w:szCs w:val="24"/>
          <w:highlight w:val="none"/>
        </w:rPr>
      </w:pPr>
      <w:r>
        <w:rPr>
          <w:rFonts w:hint="eastAsia" w:ascii="仿宋" w:hAnsi="仿宋" w:eastAsia="仿宋" w:cs="仿宋"/>
          <w:b/>
          <w:bCs/>
          <w:spacing w:val="-4"/>
          <w:sz w:val="24"/>
          <w:szCs w:val="24"/>
          <w:highlight w:val="none"/>
        </w:rPr>
        <w:t>五、违约责任</w:t>
      </w:r>
    </w:p>
    <w:p w14:paraId="73B96BE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9"/>
        <w:textAlignment w:val="baseline"/>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1、甲乙双方如因为其他原因要解除合约，应提前一个月通知对方，如有一方违反</w:t>
      </w:r>
      <w:r>
        <w:rPr>
          <w:rFonts w:hint="eastAsia" w:ascii="仿宋" w:hAnsi="仿宋" w:eastAsia="仿宋" w:cs="仿宋"/>
          <w:sz w:val="24"/>
          <w:szCs w:val="24"/>
          <w:highlight w:val="none"/>
        </w:rPr>
        <w:t>将补偿对方一个月服务费，同时按照相关法律</w:t>
      </w:r>
      <w:r>
        <w:rPr>
          <w:rFonts w:hint="eastAsia" w:ascii="仿宋" w:hAnsi="仿宋" w:eastAsia="仿宋" w:cs="仿宋"/>
          <w:spacing w:val="-1"/>
          <w:sz w:val="24"/>
          <w:szCs w:val="24"/>
          <w:highlight w:val="none"/>
        </w:rPr>
        <w:t>法规承担相应处罚。</w:t>
      </w:r>
    </w:p>
    <w:p w14:paraId="5B4C9BC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1"/>
        <w:textAlignment w:val="baseline"/>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2、乙方不认真履行合同条款或因其它理由突然终</w:t>
      </w:r>
      <w:r>
        <w:rPr>
          <w:rFonts w:hint="eastAsia" w:ascii="仿宋" w:hAnsi="仿宋" w:eastAsia="仿宋" w:cs="仿宋"/>
          <w:spacing w:val="1"/>
          <w:sz w:val="24"/>
          <w:szCs w:val="24"/>
          <w:highlight w:val="none"/>
        </w:rPr>
        <w:t>止合同，视为乙方单方违约，甲</w:t>
      </w:r>
      <w:r>
        <w:rPr>
          <w:rFonts w:hint="eastAsia" w:ascii="仿宋" w:hAnsi="仿宋" w:eastAsia="仿宋" w:cs="仿宋"/>
          <w:spacing w:val="-1"/>
          <w:sz w:val="24"/>
          <w:szCs w:val="24"/>
          <w:highlight w:val="none"/>
        </w:rPr>
        <w:t>方即废除同乙方合同，乙方须赔偿甲方当月服务费。</w:t>
      </w:r>
    </w:p>
    <w:p w14:paraId="5FD4E52A">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9"/>
        <w:textAlignment w:val="baseline"/>
        <w:rPr>
          <w:rFonts w:hint="eastAsia" w:ascii="仿宋" w:hAnsi="仿宋" w:eastAsia="仿宋" w:cs="仿宋"/>
          <w:sz w:val="24"/>
          <w:szCs w:val="24"/>
          <w:highlight w:val="none"/>
        </w:rPr>
      </w:pPr>
      <w:r>
        <w:rPr>
          <w:rFonts w:hint="eastAsia" w:ascii="仿宋" w:hAnsi="仿宋" w:eastAsia="仿宋" w:cs="仿宋"/>
          <w:spacing w:val="2"/>
          <w:sz w:val="24"/>
          <w:szCs w:val="24"/>
          <w:highlight w:val="none"/>
          <w:lang w:val="en-US" w:eastAsia="zh-CN"/>
        </w:rPr>
        <w:t>3</w:t>
      </w:r>
      <w:r>
        <w:rPr>
          <w:rFonts w:hint="eastAsia" w:ascii="仿宋" w:hAnsi="仿宋" w:eastAsia="仿宋" w:cs="仿宋"/>
          <w:spacing w:val="2"/>
          <w:sz w:val="24"/>
          <w:szCs w:val="24"/>
          <w:highlight w:val="none"/>
        </w:rPr>
        <w:t>、乙方在工作中故意或疏忽而出现的责任事故因乙方原因</w:t>
      </w:r>
      <w:r>
        <w:rPr>
          <w:rFonts w:hint="eastAsia" w:ascii="仿宋" w:hAnsi="仿宋" w:eastAsia="仿宋" w:cs="仿宋"/>
          <w:spacing w:val="1"/>
          <w:sz w:val="24"/>
          <w:szCs w:val="24"/>
          <w:highlight w:val="none"/>
        </w:rPr>
        <w:t>造成他人人身伤害、财</w:t>
      </w:r>
      <w:r>
        <w:rPr>
          <w:rFonts w:hint="eastAsia" w:ascii="仿宋" w:hAnsi="仿宋" w:eastAsia="仿宋" w:cs="仿宋"/>
          <w:spacing w:val="-2"/>
          <w:sz w:val="24"/>
          <w:szCs w:val="24"/>
          <w:highlight w:val="none"/>
        </w:rPr>
        <w:t>产损失及严重损失甲方声誉的，每出现一次，乙方除承担相关赔偿责任，甲方有权单方面解除本合同。</w:t>
      </w:r>
    </w:p>
    <w:p w14:paraId="31BAC7E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3"/>
        <w:textAlignment w:val="baseline"/>
        <w:rPr>
          <w:rFonts w:hint="eastAsia" w:ascii="仿宋" w:hAnsi="仿宋" w:eastAsia="仿宋" w:cs="仿宋"/>
          <w:spacing w:val="-2"/>
          <w:sz w:val="24"/>
          <w:szCs w:val="24"/>
          <w:highlight w:val="none"/>
        </w:rPr>
      </w:pPr>
      <w:r>
        <w:rPr>
          <w:rFonts w:hint="eastAsia" w:ascii="仿宋" w:hAnsi="仿宋" w:eastAsia="仿宋" w:cs="仿宋"/>
          <w:spacing w:val="2"/>
          <w:sz w:val="24"/>
          <w:szCs w:val="24"/>
          <w:highlight w:val="none"/>
          <w:lang w:val="en-US" w:eastAsia="zh-CN"/>
        </w:rPr>
        <w:t>4</w:t>
      </w:r>
      <w:r>
        <w:rPr>
          <w:rFonts w:hint="eastAsia" w:ascii="仿宋" w:hAnsi="仿宋" w:eastAsia="仿宋" w:cs="仿宋"/>
          <w:spacing w:val="2"/>
          <w:sz w:val="24"/>
          <w:szCs w:val="24"/>
          <w:highlight w:val="none"/>
        </w:rPr>
        <w:t>、乙方人员违反合同所约定之义务，影响合同约定</w:t>
      </w:r>
      <w:r>
        <w:rPr>
          <w:rFonts w:hint="eastAsia" w:ascii="仿宋" w:hAnsi="仿宋" w:eastAsia="仿宋" w:cs="仿宋"/>
          <w:spacing w:val="1"/>
          <w:sz w:val="24"/>
          <w:szCs w:val="24"/>
          <w:highlight w:val="none"/>
        </w:rPr>
        <w:t>区域的安全或导致甲方其他方</w:t>
      </w:r>
      <w:r>
        <w:rPr>
          <w:rFonts w:hint="eastAsia" w:ascii="仿宋" w:hAnsi="仿宋" w:eastAsia="仿宋" w:cs="仿宋"/>
          <w:spacing w:val="-1"/>
          <w:sz w:val="24"/>
          <w:szCs w:val="24"/>
          <w:highlight w:val="none"/>
        </w:rPr>
        <w:t>面损害，经甲方书面警告仍无整改，甲方有权单方面终</w:t>
      </w:r>
      <w:r>
        <w:rPr>
          <w:rFonts w:hint="eastAsia" w:ascii="仿宋" w:hAnsi="仿宋" w:eastAsia="仿宋" w:cs="仿宋"/>
          <w:spacing w:val="-2"/>
          <w:sz w:val="24"/>
          <w:szCs w:val="24"/>
          <w:highlight w:val="none"/>
        </w:rPr>
        <w:t>止合同，而无须承担任何责任。</w:t>
      </w:r>
    </w:p>
    <w:p w14:paraId="67AEBFA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3"/>
        <w:textAlignment w:val="baseline"/>
        <w:rPr>
          <w:rFonts w:hint="eastAsia" w:ascii="仿宋" w:hAnsi="仿宋" w:eastAsia="仿宋" w:cs="仿宋"/>
          <w:spacing w:val="2"/>
          <w:sz w:val="24"/>
          <w:szCs w:val="24"/>
          <w:highlight w:val="none"/>
          <w:lang w:val="en-US" w:eastAsia="zh-CN"/>
        </w:rPr>
      </w:pPr>
      <w:r>
        <w:rPr>
          <w:rFonts w:hint="eastAsia" w:ascii="仿宋" w:hAnsi="仿宋" w:eastAsia="仿宋" w:cs="仿宋"/>
          <w:spacing w:val="2"/>
          <w:sz w:val="24"/>
          <w:szCs w:val="24"/>
          <w:highlight w:val="none"/>
          <w:lang w:val="en-US" w:eastAsia="zh-CN"/>
        </w:rPr>
        <w:t>5、单次严重违约扣当月10%-30%结算款，累计2次直接解约。</w:t>
      </w:r>
    </w:p>
    <w:p w14:paraId="4501EBF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3"/>
        <w:textAlignment w:val="baseline"/>
        <w:rPr>
          <w:rFonts w:hint="eastAsia" w:ascii="仿宋" w:hAnsi="仿宋" w:eastAsia="仿宋" w:cs="仿宋"/>
          <w:spacing w:val="2"/>
          <w:sz w:val="24"/>
          <w:szCs w:val="24"/>
          <w:highlight w:val="none"/>
          <w:lang w:val="en-US" w:eastAsia="zh-CN"/>
        </w:rPr>
      </w:pPr>
      <w:r>
        <w:rPr>
          <w:rFonts w:hint="eastAsia" w:ascii="仿宋" w:hAnsi="仿宋" w:eastAsia="仿宋" w:cs="仿宋"/>
          <w:spacing w:val="2"/>
          <w:sz w:val="24"/>
          <w:szCs w:val="24"/>
          <w:highlight w:val="none"/>
          <w:lang w:val="en-US" w:eastAsia="zh-CN"/>
        </w:rPr>
        <w:t>6、供应商造成食品安全事故，承担全部赔偿+行政处罚+采购人损失，采购人有权立即解约并上报监管部门。</w:t>
      </w:r>
    </w:p>
    <w:p w14:paraId="30CAF8C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3"/>
        <w:textAlignment w:val="baseline"/>
        <w:rPr>
          <w:rFonts w:hint="eastAsia" w:ascii="仿宋" w:hAnsi="仿宋" w:eastAsia="仿宋" w:cs="仿宋"/>
          <w:spacing w:val="2"/>
          <w:sz w:val="24"/>
          <w:szCs w:val="24"/>
          <w:highlight w:val="none"/>
          <w:lang w:val="en-US" w:eastAsia="zh-CN"/>
        </w:rPr>
      </w:pPr>
      <w:r>
        <w:rPr>
          <w:rFonts w:hint="eastAsia" w:ascii="仿宋" w:hAnsi="仿宋" w:eastAsia="仿宋" w:cs="仿宋"/>
          <w:spacing w:val="2"/>
          <w:sz w:val="24"/>
          <w:szCs w:val="24"/>
          <w:highlight w:val="none"/>
          <w:lang w:val="en-US" w:eastAsia="zh-CN"/>
        </w:rPr>
        <w:t>7、每次配送超时60分钟内扣500元，严重短缺/变质双倍赔偿+解约。</w:t>
      </w:r>
    </w:p>
    <w:p w14:paraId="2A8EEDA6">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3"/>
        <w:textAlignment w:val="baseline"/>
        <w:rPr>
          <w:rFonts w:hint="eastAsia" w:ascii="仿宋" w:hAnsi="仿宋" w:eastAsia="仿宋" w:cs="仿宋"/>
          <w:spacing w:val="2"/>
          <w:sz w:val="24"/>
          <w:szCs w:val="24"/>
          <w:highlight w:val="none"/>
          <w:lang w:val="en-US" w:eastAsia="zh-CN"/>
        </w:rPr>
      </w:pPr>
      <w:r>
        <w:rPr>
          <w:rFonts w:hint="eastAsia" w:ascii="仿宋" w:hAnsi="仿宋" w:eastAsia="仿宋" w:cs="仿宋"/>
          <w:spacing w:val="2"/>
          <w:sz w:val="24"/>
          <w:szCs w:val="24"/>
          <w:highlight w:val="none"/>
          <w:lang w:val="en-US" w:eastAsia="zh-CN"/>
        </w:rPr>
        <w:t>8、当成交供应商出现食品安全、严重违约、逾期履约，采购人可单方解约。</w:t>
      </w:r>
    </w:p>
    <w:p w14:paraId="5DAE093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仿宋" w:hAnsi="仿宋" w:eastAsia="仿宋" w:cs="仿宋"/>
          <w:sz w:val="24"/>
          <w:szCs w:val="24"/>
          <w:highlight w:val="none"/>
        </w:rPr>
      </w:pPr>
      <w:r>
        <w:rPr>
          <w:rFonts w:hint="eastAsia" w:ascii="仿宋" w:hAnsi="仿宋" w:eastAsia="仿宋" w:cs="仿宋"/>
          <w:b/>
          <w:bCs/>
          <w:spacing w:val="-3"/>
          <w:sz w:val="24"/>
          <w:szCs w:val="24"/>
          <w:highlight w:val="none"/>
        </w:rPr>
        <w:t>六、合同争议的解决</w:t>
      </w:r>
    </w:p>
    <w:p w14:paraId="23ADC97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57"/>
        <w:textAlignment w:val="baseline"/>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合同一经签订，不得随意变更、中止或终止。对确需变更、调整或者中止、终止合</w:t>
      </w:r>
      <w:r>
        <w:rPr>
          <w:rFonts w:hint="eastAsia" w:ascii="仿宋" w:hAnsi="仿宋" w:eastAsia="仿宋" w:cs="仿宋"/>
          <w:spacing w:val="-3"/>
          <w:sz w:val="24"/>
          <w:szCs w:val="24"/>
          <w:highlight w:val="none"/>
        </w:rPr>
        <w:t>同的，应按规定履行相应的手续。</w:t>
      </w:r>
    </w:p>
    <w:p w14:paraId="4BAAC42C">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1"/>
        <w:textAlignment w:val="baseline"/>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合同执行中发生争议的，甲、乙双方应协商解决，协商达不成一致时，可向甲方所</w:t>
      </w:r>
      <w:r>
        <w:rPr>
          <w:rFonts w:hint="eastAsia" w:ascii="仿宋" w:hAnsi="仿宋" w:eastAsia="仿宋" w:cs="仿宋"/>
          <w:spacing w:val="-1"/>
          <w:sz w:val="24"/>
          <w:szCs w:val="24"/>
          <w:highlight w:val="none"/>
        </w:rPr>
        <w:t>在地人民法院提请诉讼。</w:t>
      </w:r>
    </w:p>
    <w:p w14:paraId="1AFA054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textAlignment w:val="baseline"/>
        <w:rPr>
          <w:rFonts w:hint="eastAsia" w:ascii="仿宋" w:hAnsi="仿宋" w:eastAsia="仿宋" w:cs="仿宋"/>
          <w:sz w:val="24"/>
          <w:szCs w:val="24"/>
          <w:highlight w:val="none"/>
        </w:rPr>
      </w:pPr>
      <w:r>
        <w:rPr>
          <w:rFonts w:hint="eastAsia" w:ascii="仿宋" w:hAnsi="仿宋" w:eastAsia="仿宋" w:cs="仿宋"/>
          <w:b/>
          <w:bCs/>
          <w:spacing w:val="-4"/>
          <w:sz w:val="24"/>
          <w:szCs w:val="24"/>
          <w:highlight w:val="none"/>
        </w:rPr>
        <w:t>七、其它事项</w:t>
      </w:r>
    </w:p>
    <w:p w14:paraId="4545745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1、甲、乙双方作为合同执行的主体，有义务及时完全履行合同。</w:t>
      </w:r>
    </w:p>
    <w:p w14:paraId="08EEB38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2" w:firstLineChars="200"/>
        <w:textAlignment w:val="baseline"/>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2、合同未尽事宜，由甲、乙双方协商签订补充协议，作为本合同不可分割的组成</w:t>
      </w:r>
      <w:r>
        <w:rPr>
          <w:rFonts w:hint="eastAsia" w:ascii="仿宋" w:hAnsi="仿宋" w:eastAsia="仿宋" w:cs="仿宋"/>
          <w:spacing w:val="-1"/>
          <w:sz w:val="24"/>
          <w:szCs w:val="24"/>
          <w:highlight w:val="none"/>
        </w:rPr>
        <w:t>部分，与本合同具有同等法律效力。</w:t>
      </w:r>
    </w:p>
    <w:p w14:paraId="57EBFE7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jc w:val="left"/>
        <w:textAlignment w:val="baseline"/>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3、磋商文件和乙方的磋商响应文件以及合同附件均为合同不可分割的部分</w:t>
      </w:r>
      <w:r>
        <w:rPr>
          <w:rFonts w:hint="eastAsia" w:ascii="仿宋" w:hAnsi="仿宋" w:eastAsia="仿宋" w:cs="仿宋"/>
          <w:spacing w:val="-1"/>
          <w:sz w:val="24"/>
          <w:szCs w:val="24"/>
          <w:highlight w:val="none"/>
          <w:lang w:eastAsia="zh-CN"/>
        </w:rPr>
        <w:t>。</w:t>
      </w:r>
    </w:p>
    <w:p w14:paraId="60E4C19E">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4" w:firstLineChars="200"/>
        <w:textAlignment w:val="baseline"/>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4、合同一式</w:t>
      </w:r>
      <w:r>
        <w:rPr>
          <w:rFonts w:hint="eastAsia" w:ascii="仿宋" w:hAnsi="仿宋" w:eastAsia="仿宋" w:cs="仿宋"/>
          <w:spacing w:val="-117"/>
          <w:sz w:val="24"/>
          <w:szCs w:val="24"/>
          <w:highlight w:val="none"/>
        </w:rPr>
        <w:t xml:space="preserve"> </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1"/>
          <w:sz w:val="24"/>
          <w:szCs w:val="24"/>
          <w:highlight w:val="none"/>
          <w:u w:val="single" w:color="auto"/>
          <w:lang w:val="en-US" w:eastAsia="zh-CN"/>
        </w:rPr>
        <w:t>肆</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1"/>
          <w:sz w:val="24"/>
          <w:szCs w:val="24"/>
          <w:highlight w:val="none"/>
        </w:rPr>
        <w:t>份，甲方持</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1"/>
          <w:sz w:val="24"/>
          <w:szCs w:val="24"/>
          <w:highlight w:val="none"/>
          <w:u w:val="single" w:color="auto"/>
          <w:lang w:val="en-US" w:eastAsia="zh-CN"/>
        </w:rPr>
        <w:t>贰</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1"/>
          <w:sz w:val="24"/>
          <w:szCs w:val="24"/>
          <w:highlight w:val="none"/>
        </w:rPr>
        <w:t>份、乙方执</w:t>
      </w:r>
      <w:r>
        <w:rPr>
          <w:rFonts w:hint="eastAsia" w:ascii="仿宋" w:hAnsi="仿宋" w:eastAsia="仿宋" w:cs="仿宋"/>
          <w:spacing w:val="-118"/>
          <w:sz w:val="24"/>
          <w:szCs w:val="24"/>
          <w:highlight w:val="none"/>
        </w:rPr>
        <w:t xml:space="preserve"> </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2"/>
          <w:sz w:val="24"/>
          <w:szCs w:val="24"/>
          <w:highlight w:val="none"/>
          <w:u w:val="single" w:color="auto"/>
          <w:lang w:val="en-US" w:eastAsia="zh-CN"/>
        </w:rPr>
        <w:t>贰</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z w:val="24"/>
          <w:szCs w:val="24"/>
          <w:highlight w:val="none"/>
        </w:rPr>
        <w:t>份。双方签字盖章后生效</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合同执</w:t>
      </w:r>
      <w:r>
        <w:rPr>
          <w:rFonts w:hint="eastAsia" w:ascii="仿宋" w:hAnsi="仿宋" w:eastAsia="仿宋" w:cs="仿宋"/>
          <w:spacing w:val="-2"/>
          <w:sz w:val="24"/>
          <w:szCs w:val="24"/>
          <w:highlight w:val="none"/>
        </w:rPr>
        <w:t>行完毕自动失效。</w:t>
      </w:r>
    </w:p>
    <w:p w14:paraId="6F29A0F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5351720">
      <w:pPr>
        <w:pStyle w:val="2"/>
        <w:rPr>
          <w:rFonts w:hint="eastAsia" w:ascii="仿宋" w:hAnsi="仿宋" w:eastAsia="仿宋" w:cs="仿宋"/>
          <w:highlight w:val="none"/>
        </w:rPr>
      </w:pPr>
    </w:p>
    <w:tbl>
      <w:tblPr>
        <w:tblStyle w:val="19"/>
        <w:tblW w:w="87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64"/>
        <w:gridCol w:w="4347"/>
      </w:tblGrid>
      <w:tr w14:paraId="10676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4364" w:type="dxa"/>
            <w:shd w:val="clear" w:color="auto" w:fill="D8D8D8"/>
            <w:vAlign w:val="top"/>
          </w:tcPr>
          <w:p w14:paraId="27AF628F">
            <w:pPr>
              <w:pStyle w:val="18"/>
              <w:keepNext w:val="0"/>
              <w:keepLines w:val="0"/>
              <w:pageBreakBefore w:val="0"/>
              <w:wordWrap/>
              <w:overflowPunct/>
              <w:topLinePunct w:val="0"/>
              <w:bidi w:val="0"/>
              <w:spacing w:line="500" w:lineRule="exact"/>
              <w:ind w:left="1921"/>
              <w:rPr>
                <w:rFonts w:hint="eastAsia" w:ascii="仿宋" w:hAnsi="仿宋" w:eastAsia="仿宋" w:cs="仿宋"/>
                <w:sz w:val="24"/>
                <w:szCs w:val="24"/>
                <w:highlight w:val="none"/>
              </w:rPr>
            </w:pPr>
            <w:r>
              <w:rPr>
                <w:rFonts w:hint="eastAsia" w:ascii="仿宋" w:hAnsi="仿宋" w:eastAsia="仿宋" w:cs="仿宋"/>
                <w:b/>
                <w:bCs/>
                <w:spacing w:val="-23"/>
                <w:sz w:val="24"/>
                <w:szCs w:val="24"/>
                <w:highlight w:val="none"/>
              </w:rPr>
              <w:t>甲</w:t>
            </w:r>
            <w:r>
              <w:rPr>
                <w:rFonts w:hint="eastAsia" w:ascii="仿宋" w:hAnsi="仿宋" w:eastAsia="仿宋" w:cs="仿宋"/>
                <w:spacing w:val="10"/>
                <w:sz w:val="24"/>
                <w:szCs w:val="24"/>
                <w:highlight w:val="none"/>
              </w:rPr>
              <w:t xml:space="preserve"> </w:t>
            </w:r>
            <w:r>
              <w:rPr>
                <w:rFonts w:hint="eastAsia" w:ascii="仿宋" w:hAnsi="仿宋" w:eastAsia="仿宋" w:cs="仿宋"/>
                <w:b/>
                <w:bCs/>
                <w:spacing w:val="-23"/>
                <w:sz w:val="24"/>
                <w:szCs w:val="24"/>
                <w:highlight w:val="none"/>
              </w:rPr>
              <w:t>方</w:t>
            </w:r>
          </w:p>
        </w:tc>
        <w:tc>
          <w:tcPr>
            <w:tcW w:w="4347" w:type="dxa"/>
            <w:shd w:val="clear" w:color="auto" w:fill="D8D8D8"/>
            <w:vAlign w:val="top"/>
          </w:tcPr>
          <w:p w14:paraId="3455315E">
            <w:pPr>
              <w:pStyle w:val="18"/>
              <w:keepNext w:val="0"/>
              <w:keepLines w:val="0"/>
              <w:pageBreakBefore w:val="0"/>
              <w:wordWrap/>
              <w:overflowPunct/>
              <w:topLinePunct w:val="0"/>
              <w:bidi w:val="0"/>
              <w:spacing w:line="500" w:lineRule="exact"/>
              <w:ind w:left="1840"/>
              <w:rPr>
                <w:rFonts w:hint="eastAsia" w:ascii="仿宋" w:hAnsi="仿宋" w:eastAsia="仿宋" w:cs="仿宋"/>
                <w:sz w:val="24"/>
                <w:szCs w:val="24"/>
                <w:highlight w:val="none"/>
              </w:rPr>
            </w:pPr>
            <w:r>
              <w:rPr>
                <w:rFonts w:hint="eastAsia" w:ascii="仿宋" w:hAnsi="仿宋" w:eastAsia="仿宋" w:cs="仿宋"/>
                <w:b/>
                <w:bCs/>
                <w:spacing w:val="-19"/>
                <w:sz w:val="24"/>
                <w:szCs w:val="24"/>
                <w:highlight w:val="none"/>
              </w:rPr>
              <w:t>乙</w:t>
            </w:r>
            <w:r>
              <w:rPr>
                <w:rFonts w:hint="eastAsia" w:ascii="仿宋" w:hAnsi="仿宋" w:eastAsia="仿宋" w:cs="仿宋"/>
                <w:spacing w:val="6"/>
                <w:sz w:val="24"/>
                <w:szCs w:val="24"/>
                <w:highlight w:val="none"/>
              </w:rPr>
              <w:t xml:space="preserve"> </w:t>
            </w:r>
            <w:r>
              <w:rPr>
                <w:rFonts w:hint="eastAsia" w:ascii="仿宋" w:hAnsi="仿宋" w:eastAsia="仿宋" w:cs="仿宋"/>
                <w:b/>
                <w:bCs/>
                <w:spacing w:val="-19"/>
                <w:sz w:val="24"/>
                <w:szCs w:val="24"/>
                <w:highlight w:val="none"/>
              </w:rPr>
              <w:t>方</w:t>
            </w:r>
          </w:p>
        </w:tc>
      </w:tr>
      <w:tr w14:paraId="28F11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4364" w:type="dxa"/>
            <w:vAlign w:val="top"/>
          </w:tcPr>
          <w:p w14:paraId="2510245D">
            <w:pPr>
              <w:pStyle w:val="18"/>
              <w:keepNext w:val="0"/>
              <w:keepLines w:val="0"/>
              <w:pageBreakBefore w:val="0"/>
              <w:wordWrap/>
              <w:overflowPunct/>
              <w:topLinePunct w:val="0"/>
              <w:bidi w:val="0"/>
              <w:spacing w:line="500" w:lineRule="exact"/>
              <w:ind w:left="115"/>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采购人（公章）</w:t>
            </w:r>
          </w:p>
        </w:tc>
        <w:tc>
          <w:tcPr>
            <w:tcW w:w="4347" w:type="dxa"/>
            <w:vAlign w:val="top"/>
          </w:tcPr>
          <w:p w14:paraId="09B290A2">
            <w:pPr>
              <w:pStyle w:val="18"/>
              <w:keepNext w:val="0"/>
              <w:keepLines w:val="0"/>
              <w:pageBreakBefore w:val="0"/>
              <w:wordWrap/>
              <w:overflowPunct/>
              <w:topLinePunct w:val="0"/>
              <w:bidi w:val="0"/>
              <w:spacing w:line="500" w:lineRule="exact"/>
              <w:ind w:left="117"/>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成交供应商（公章）</w:t>
            </w:r>
          </w:p>
        </w:tc>
      </w:tr>
      <w:tr w14:paraId="43FC1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7833EE32">
            <w:pPr>
              <w:pStyle w:val="18"/>
              <w:keepNext w:val="0"/>
              <w:keepLines w:val="0"/>
              <w:pageBreakBefore w:val="0"/>
              <w:wordWrap/>
              <w:overflowPunct/>
              <w:topLinePunct w:val="0"/>
              <w:bidi w:val="0"/>
              <w:spacing w:line="500" w:lineRule="exact"/>
              <w:ind w:left="116"/>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地址：</w:t>
            </w:r>
          </w:p>
        </w:tc>
        <w:tc>
          <w:tcPr>
            <w:tcW w:w="4347" w:type="dxa"/>
            <w:vAlign w:val="top"/>
          </w:tcPr>
          <w:p w14:paraId="46C48E2D">
            <w:pPr>
              <w:pStyle w:val="18"/>
              <w:keepNext w:val="0"/>
              <w:keepLines w:val="0"/>
              <w:pageBreakBefore w:val="0"/>
              <w:wordWrap/>
              <w:overflowPunct/>
              <w:topLinePunct w:val="0"/>
              <w:bidi w:val="0"/>
              <w:spacing w:line="500" w:lineRule="exact"/>
              <w:ind w:left="115"/>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地址：</w:t>
            </w:r>
          </w:p>
        </w:tc>
      </w:tr>
      <w:tr w14:paraId="26639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6F5ED84E">
            <w:pPr>
              <w:pStyle w:val="18"/>
              <w:keepNext w:val="0"/>
              <w:keepLines w:val="0"/>
              <w:pageBreakBefore w:val="0"/>
              <w:wordWrap/>
              <w:overflowPunct/>
              <w:topLinePunct w:val="0"/>
              <w:bidi w:val="0"/>
              <w:spacing w:line="500" w:lineRule="exact"/>
              <w:ind w:left="134"/>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邮编：</w:t>
            </w:r>
          </w:p>
        </w:tc>
        <w:tc>
          <w:tcPr>
            <w:tcW w:w="4347" w:type="dxa"/>
            <w:vAlign w:val="top"/>
          </w:tcPr>
          <w:p w14:paraId="638F7828">
            <w:pPr>
              <w:pStyle w:val="18"/>
              <w:keepNext w:val="0"/>
              <w:keepLines w:val="0"/>
              <w:pageBreakBefore w:val="0"/>
              <w:wordWrap/>
              <w:overflowPunct/>
              <w:topLinePunct w:val="0"/>
              <w:bidi w:val="0"/>
              <w:spacing w:line="500" w:lineRule="exact"/>
              <w:ind w:left="133"/>
              <w:rPr>
                <w:rFonts w:hint="eastAsia" w:ascii="仿宋" w:hAnsi="仿宋" w:eastAsia="仿宋" w:cs="仿宋"/>
                <w:sz w:val="24"/>
                <w:szCs w:val="24"/>
                <w:highlight w:val="none"/>
              </w:rPr>
            </w:pPr>
            <w:r>
              <w:rPr>
                <w:rFonts w:hint="eastAsia" w:ascii="仿宋" w:hAnsi="仿宋" w:eastAsia="仿宋" w:cs="仿宋"/>
                <w:spacing w:val="-10"/>
                <w:sz w:val="24"/>
                <w:szCs w:val="24"/>
                <w:highlight w:val="none"/>
              </w:rPr>
              <w:t>邮编：</w:t>
            </w:r>
          </w:p>
        </w:tc>
      </w:tr>
      <w:tr w14:paraId="19969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78C4483A">
            <w:pPr>
              <w:pStyle w:val="18"/>
              <w:keepNext w:val="0"/>
              <w:keepLines w:val="0"/>
              <w:pageBreakBefore w:val="0"/>
              <w:wordWrap/>
              <w:overflowPunct/>
              <w:topLinePunct w:val="0"/>
              <w:bidi w:val="0"/>
              <w:spacing w:line="500" w:lineRule="exact"/>
              <w:ind w:left="117"/>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法定代表人：</w:t>
            </w:r>
          </w:p>
        </w:tc>
        <w:tc>
          <w:tcPr>
            <w:tcW w:w="4347" w:type="dxa"/>
            <w:vAlign w:val="top"/>
          </w:tcPr>
          <w:p w14:paraId="0EEA5A29">
            <w:pPr>
              <w:pStyle w:val="18"/>
              <w:keepNext w:val="0"/>
              <w:keepLines w:val="0"/>
              <w:pageBreakBefore w:val="0"/>
              <w:wordWrap/>
              <w:overflowPunct/>
              <w:topLinePunct w:val="0"/>
              <w:bidi w:val="0"/>
              <w:spacing w:line="500" w:lineRule="exact"/>
              <w:ind w:left="116"/>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法定代表人：</w:t>
            </w:r>
          </w:p>
        </w:tc>
      </w:tr>
      <w:tr w14:paraId="26CFA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10648C99">
            <w:pPr>
              <w:pStyle w:val="18"/>
              <w:keepNext w:val="0"/>
              <w:keepLines w:val="0"/>
              <w:pageBreakBefore w:val="0"/>
              <w:wordWrap/>
              <w:overflowPunct/>
              <w:topLinePunct w:val="0"/>
              <w:bidi w:val="0"/>
              <w:spacing w:line="500" w:lineRule="exact"/>
              <w:ind w:left="125"/>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负责人</w:t>
            </w:r>
            <w:r>
              <w:rPr>
                <w:rFonts w:hint="eastAsia" w:ascii="仿宋" w:hAnsi="仿宋" w:eastAsia="仿宋" w:cs="仿宋"/>
                <w:spacing w:val="-16"/>
                <w:sz w:val="24"/>
                <w:szCs w:val="24"/>
                <w:highlight w:val="none"/>
              </w:rPr>
              <w:t>：（</w:t>
            </w:r>
            <w:r>
              <w:rPr>
                <w:rFonts w:hint="eastAsia" w:ascii="仿宋" w:hAnsi="仿宋" w:eastAsia="仿宋" w:cs="仿宋"/>
                <w:spacing w:val="2"/>
                <w:sz w:val="24"/>
                <w:szCs w:val="24"/>
                <w:highlight w:val="none"/>
              </w:rPr>
              <w:t>签字）</w:t>
            </w:r>
          </w:p>
        </w:tc>
        <w:tc>
          <w:tcPr>
            <w:tcW w:w="4347" w:type="dxa"/>
            <w:vAlign w:val="top"/>
          </w:tcPr>
          <w:p w14:paraId="72B1ADF7">
            <w:pPr>
              <w:pStyle w:val="18"/>
              <w:keepNext w:val="0"/>
              <w:keepLines w:val="0"/>
              <w:pageBreakBefore w:val="0"/>
              <w:wordWrap/>
              <w:overflowPunct/>
              <w:topLinePunct w:val="0"/>
              <w:bidi w:val="0"/>
              <w:spacing w:line="500" w:lineRule="exact"/>
              <w:ind w:left="125"/>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负责人</w:t>
            </w:r>
            <w:r>
              <w:rPr>
                <w:rFonts w:hint="eastAsia" w:ascii="仿宋" w:hAnsi="仿宋" w:eastAsia="仿宋" w:cs="仿宋"/>
                <w:spacing w:val="-16"/>
                <w:sz w:val="24"/>
                <w:szCs w:val="24"/>
                <w:highlight w:val="none"/>
              </w:rPr>
              <w:t>：（</w:t>
            </w:r>
            <w:r>
              <w:rPr>
                <w:rFonts w:hint="eastAsia" w:ascii="仿宋" w:hAnsi="仿宋" w:eastAsia="仿宋" w:cs="仿宋"/>
                <w:spacing w:val="2"/>
                <w:sz w:val="24"/>
                <w:szCs w:val="24"/>
                <w:highlight w:val="none"/>
              </w:rPr>
              <w:t>签字）</w:t>
            </w:r>
          </w:p>
        </w:tc>
      </w:tr>
      <w:tr w14:paraId="072ED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65E29446">
            <w:pPr>
              <w:pStyle w:val="18"/>
              <w:keepNext w:val="0"/>
              <w:keepLines w:val="0"/>
              <w:pageBreakBefore w:val="0"/>
              <w:wordWrap/>
              <w:overflowPunct/>
              <w:topLinePunct w:val="0"/>
              <w:bidi w:val="0"/>
              <w:spacing w:line="500" w:lineRule="exact"/>
              <w:ind w:left="144"/>
              <w:rPr>
                <w:rFonts w:hint="eastAsia" w:ascii="仿宋" w:hAnsi="仿宋" w:eastAsia="仿宋" w:cs="仿宋"/>
                <w:sz w:val="24"/>
                <w:szCs w:val="24"/>
                <w:highlight w:val="none"/>
              </w:rPr>
            </w:pPr>
            <w:r>
              <w:rPr>
                <w:rFonts w:hint="eastAsia" w:ascii="仿宋" w:hAnsi="仿宋" w:eastAsia="仿宋" w:cs="仿宋"/>
                <w:spacing w:val="-13"/>
                <w:sz w:val="24"/>
                <w:szCs w:val="24"/>
                <w:highlight w:val="none"/>
              </w:rPr>
              <w:t>电话：</w:t>
            </w:r>
          </w:p>
        </w:tc>
        <w:tc>
          <w:tcPr>
            <w:tcW w:w="4347" w:type="dxa"/>
            <w:vAlign w:val="top"/>
          </w:tcPr>
          <w:p w14:paraId="533B316E">
            <w:pPr>
              <w:pStyle w:val="18"/>
              <w:keepNext w:val="0"/>
              <w:keepLines w:val="0"/>
              <w:pageBreakBefore w:val="0"/>
              <w:wordWrap/>
              <w:overflowPunct/>
              <w:topLinePunct w:val="0"/>
              <w:bidi w:val="0"/>
              <w:spacing w:line="500" w:lineRule="exact"/>
              <w:ind w:left="143"/>
              <w:rPr>
                <w:rFonts w:hint="eastAsia" w:ascii="仿宋" w:hAnsi="仿宋" w:eastAsia="仿宋" w:cs="仿宋"/>
                <w:sz w:val="24"/>
                <w:szCs w:val="24"/>
                <w:highlight w:val="none"/>
              </w:rPr>
            </w:pPr>
            <w:r>
              <w:rPr>
                <w:rFonts w:hint="eastAsia" w:ascii="仿宋" w:hAnsi="仿宋" w:eastAsia="仿宋" w:cs="仿宋"/>
                <w:spacing w:val="-13"/>
                <w:sz w:val="24"/>
                <w:szCs w:val="24"/>
                <w:highlight w:val="none"/>
              </w:rPr>
              <w:t>电话：</w:t>
            </w:r>
          </w:p>
        </w:tc>
      </w:tr>
      <w:tr w14:paraId="40214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55ABFB96">
            <w:pPr>
              <w:pStyle w:val="18"/>
              <w:keepNext w:val="0"/>
              <w:keepLines w:val="0"/>
              <w:pageBreakBefore w:val="0"/>
              <w:wordWrap/>
              <w:overflowPunct/>
              <w:topLinePunct w:val="0"/>
              <w:bidi w:val="0"/>
              <w:spacing w:line="500" w:lineRule="exact"/>
              <w:ind w:left="114"/>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传真：</w:t>
            </w:r>
          </w:p>
        </w:tc>
        <w:tc>
          <w:tcPr>
            <w:tcW w:w="4347" w:type="dxa"/>
            <w:vAlign w:val="top"/>
          </w:tcPr>
          <w:p w14:paraId="5C4452BC">
            <w:pPr>
              <w:pStyle w:val="18"/>
              <w:keepNext w:val="0"/>
              <w:keepLines w:val="0"/>
              <w:pageBreakBefore w:val="0"/>
              <w:wordWrap/>
              <w:overflowPunct/>
              <w:topLinePunct w:val="0"/>
              <w:bidi w:val="0"/>
              <w:spacing w:line="500" w:lineRule="exact"/>
              <w:ind w:left="113"/>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传真：</w:t>
            </w:r>
          </w:p>
        </w:tc>
      </w:tr>
      <w:tr w14:paraId="7C6DA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4364" w:type="dxa"/>
            <w:vAlign w:val="top"/>
          </w:tcPr>
          <w:p w14:paraId="04D5DD26">
            <w:pPr>
              <w:keepNext w:val="0"/>
              <w:keepLines w:val="0"/>
              <w:pageBreakBefore w:val="0"/>
              <w:wordWrap/>
              <w:overflowPunct/>
              <w:topLinePunct w:val="0"/>
              <w:bidi w:val="0"/>
              <w:spacing w:line="500" w:lineRule="exact"/>
              <w:rPr>
                <w:rFonts w:hint="eastAsia" w:ascii="仿宋" w:hAnsi="仿宋" w:eastAsia="仿宋" w:cs="仿宋"/>
                <w:sz w:val="24"/>
                <w:szCs w:val="24"/>
                <w:highlight w:val="none"/>
              </w:rPr>
            </w:pPr>
          </w:p>
        </w:tc>
        <w:tc>
          <w:tcPr>
            <w:tcW w:w="4347" w:type="dxa"/>
            <w:vAlign w:val="top"/>
          </w:tcPr>
          <w:p w14:paraId="37920D56">
            <w:pPr>
              <w:pStyle w:val="18"/>
              <w:keepNext w:val="0"/>
              <w:keepLines w:val="0"/>
              <w:pageBreakBefore w:val="0"/>
              <w:wordWrap/>
              <w:overflowPunct/>
              <w:topLinePunct w:val="0"/>
              <w:bidi w:val="0"/>
              <w:spacing w:line="500" w:lineRule="exact"/>
              <w:ind w:left="116"/>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开户银行：</w:t>
            </w:r>
          </w:p>
        </w:tc>
      </w:tr>
      <w:tr w14:paraId="6BA4B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364" w:type="dxa"/>
            <w:vAlign w:val="top"/>
          </w:tcPr>
          <w:p w14:paraId="2E43CBA7">
            <w:pPr>
              <w:keepNext w:val="0"/>
              <w:keepLines w:val="0"/>
              <w:pageBreakBefore w:val="0"/>
              <w:wordWrap/>
              <w:overflowPunct/>
              <w:topLinePunct w:val="0"/>
              <w:bidi w:val="0"/>
              <w:spacing w:line="500" w:lineRule="exact"/>
              <w:rPr>
                <w:rFonts w:hint="eastAsia" w:ascii="仿宋" w:hAnsi="仿宋" w:eastAsia="仿宋" w:cs="仿宋"/>
                <w:sz w:val="24"/>
                <w:szCs w:val="24"/>
                <w:highlight w:val="none"/>
              </w:rPr>
            </w:pPr>
          </w:p>
        </w:tc>
        <w:tc>
          <w:tcPr>
            <w:tcW w:w="4347" w:type="dxa"/>
            <w:vAlign w:val="top"/>
          </w:tcPr>
          <w:p w14:paraId="039DA34B">
            <w:pPr>
              <w:pStyle w:val="18"/>
              <w:keepNext w:val="0"/>
              <w:keepLines w:val="0"/>
              <w:pageBreakBefore w:val="0"/>
              <w:wordWrap/>
              <w:overflowPunct/>
              <w:topLinePunct w:val="0"/>
              <w:bidi w:val="0"/>
              <w:spacing w:line="500" w:lineRule="exact"/>
              <w:ind w:left="119"/>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账号：</w:t>
            </w:r>
          </w:p>
        </w:tc>
      </w:tr>
      <w:tr w14:paraId="217DE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4364" w:type="dxa"/>
            <w:vAlign w:val="top"/>
          </w:tcPr>
          <w:p w14:paraId="6FF80712">
            <w:pPr>
              <w:pStyle w:val="18"/>
              <w:keepNext w:val="0"/>
              <w:keepLines w:val="0"/>
              <w:pageBreakBefore w:val="0"/>
              <w:wordWrap/>
              <w:overflowPunct/>
              <w:topLinePunct w:val="0"/>
              <w:bidi w:val="0"/>
              <w:spacing w:line="500" w:lineRule="exact"/>
              <w:ind w:left="157"/>
              <w:rPr>
                <w:rFonts w:hint="eastAsia" w:ascii="仿宋" w:hAnsi="仿宋" w:eastAsia="仿宋" w:cs="仿宋"/>
                <w:sz w:val="24"/>
                <w:szCs w:val="24"/>
                <w:highlight w:val="none"/>
              </w:rPr>
            </w:pPr>
            <w:r>
              <w:rPr>
                <w:rFonts w:hint="eastAsia" w:ascii="仿宋" w:hAnsi="仿宋" w:eastAsia="仿宋" w:cs="仿宋"/>
                <w:spacing w:val="-13"/>
                <w:sz w:val="24"/>
                <w:szCs w:val="24"/>
                <w:highlight w:val="none"/>
              </w:rPr>
              <w:t>日期</w:t>
            </w:r>
            <w:r>
              <w:rPr>
                <w:rFonts w:hint="eastAsia" w:ascii="仿宋" w:hAnsi="仿宋" w:eastAsia="仿宋" w:cs="仿宋"/>
                <w:spacing w:val="-13"/>
                <w:sz w:val="24"/>
                <w:szCs w:val="24"/>
                <w:highlight w:val="none"/>
                <w:lang w:eastAsia="zh-CN"/>
              </w:rPr>
              <w:t>：</w:t>
            </w:r>
            <w:r>
              <w:rPr>
                <w:rFonts w:hint="eastAsia" w:ascii="仿宋" w:hAnsi="仿宋" w:eastAsia="仿宋" w:cs="仿宋"/>
                <w:spacing w:val="2"/>
                <w:sz w:val="24"/>
                <w:szCs w:val="24"/>
                <w:highlight w:val="none"/>
              </w:rPr>
              <w:t xml:space="preserve">    </w:t>
            </w:r>
            <w:r>
              <w:rPr>
                <w:rFonts w:hint="eastAsia" w:ascii="仿宋" w:hAnsi="仿宋" w:eastAsia="仿宋" w:cs="仿宋"/>
                <w:spacing w:val="-13"/>
                <w:sz w:val="24"/>
                <w:szCs w:val="24"/>
                <w:highlight w:val="none"/>
              </w:rPr>
              <w:t>年</w:t>
            </w:r>
            <w:r>
              <w:rPr>
                <w:rFonts w:hint="eastAsia" w:ascii="仿宋" w:hAnsi="仿宋" w:eastAsia="仿宋" w:cs="仿宋"/>
                <w:spacing w:val="4"/>
                <w:sz w:val="24"/>
                <w:szCs w:val="24"/>
                <w:highlight w:val="none"/>
              </w:rPr>
              <w:t xml:space="preserve">    </w:t>
            </w:r>
            <w:r>
              <w:rPr>
                <w:rFonts w:hint="eastAsia" w:ascii="仿宋" w:hAnsi="仿宋" w:eastAsia="仿宋" w:cs="仿宋"/>
                <w:spacing w:val="-13"/>
                <w:sz w:val="24"/>
                <w:szCs w:val="24"/>
                <w:highlight w:val="none"/>
              </w:rPr>
              <w:t>月</w:t>
            </w:r>
            <w:r>
              <w:rPr>
                <w:rFonts w:hint="eastAsia" w:ascii="仿宋" w:hAnsi="仿宋" w:eastAsia="仿宋" w:cs="仿宋"/>
                <w:spacing w:val="13"/>
                <w:sz w:val="24"/>
                <w:szCs w:val="24"/>
                <w:highlight w:val="none"/>
              </w:rPr>
              <w:t xml:space="preserve">    </w:t>
            </w:r>
            <w:r>
              <w:rPr>
                <w:rFonts w:hint="eastAsia" w:ascii="仿宋" w:hAnsi="仿宋" w:eastAsia="仿宋" w:cs="仿宋"/>
                <w:spacing w:val="-13"/>
                <w:sz w:val="24"/>
                <w:szCs w:val="24"/>
                <w:highlight w:val="none"/>
              </w:rPr>
              <w:t>日</w:t>
            </w:r>
          </w:p>
        </w:tc>
        <w:tc>
          <w:tcPr>
            <w:tcW w:w="4347" w:type="dxa"/>
            <w:vAlign w:val="top"/>
          </w:tcPr>
          <w:p w14:paraId="5AFAA4D4">
            <w:pPr>
              <w:pStyle w:val="18"/>
              <w:keepNext w:val="0"/>
              <w:keepLines w:val="0"/>
              <w:pageBreakBefore w:val="0"/>
              <w:wordWrap/>
              <w:overflowPunct/>
              <w:topLinePunct w:val="0"/>
              <w:bidi w:val="0"/>
              <w:spacing w:line="500" w:lineRule="exact"/>
              <w:ind w:left="157"/>
              <w:outlineLvl w:val="0"/>
              <w:rPr>
                <w:rFonts w:hint="eastAsia" w:ascii="仿宋" w:hAnsi="仿宋" w:eastAsia="仿宋" w:cs="仿宋"/>
                <w:sz w:val="24"/>
                <w:szCs w:val="24"/>
                <w:highlight w:val="none"/>
              </w:rPr>
            </w:pPr>
            <w:bookmarkStart w:id="0" w:name="bookmark7"/>
            <w:bookmarkEnd w:id="0"/>
            <w:r>
              <w:rPr>
                <w:rFonts w:hint="eastAsia" w:ascii="仿宋" w:hAnsi="仿宋" w:eastAsia="仿宋" w:cs="仿宋"/>
                <w:spacing w:val="-13"/>
                <w:sz w:val="24"/>
                <w:szCs w:val="24"/>
                <w:highlight w:val="none"/>
              </w:rPr>
              <w:t>日期：</w:t>
            </w:r>
            <w:r>
              <w:rPr>
                <w:rFonts w:hint="eastAsia" w:ascii="仿宋" w:hAnsi="仿宋" w:eastAsia="仿宋" w:cs="仿宋"/>
                <w:spacing w:val="2"/>
                <w:sz w:val="24"/>
                <w:szCs w:val="24"/>
                <w:highlight w:val="none"/>
              </w:rPr>
              <w:t xml:space="preserve">    </w:t>
            </w:r>
            <w:r>
              <w:rPr>
                <w:rFonts w:hint="eastAsia" w:ascii="仿宋" w:hAnsi="仿宋" w:eastAsia="仿宋" w:cs="仿宋"/>
                <w:spacing w:val="-13"/>
                <w:sz w:val="24"/>
                <w:szCs w:val="24"/>
                <w:highlight w:val="none"/>
              </w:rPr>
              <w:t>年</w:t>
            </w:r>
            <w:r>
              <w:rPr>
                <w:rFonts w:hint="eastAsia" w:ascii="仿宋" w:hAnsi="仿宋" w:eastAsia="仿宋" w:cs="仿宋"/>
                <w:spacing w:val="4"/>
                <w:sz w:val="24"/>
                <w:szCs w:val="24"/>
                <w:highlight w:val="none"/>
              </w:rPr>
              <w:t xml:space="preserve">    </w:t>
            </w:r>
            <w:r>
              <w:rPr>
                <w:rFonts w:hint="eastAsia" w:ascii="仿宋" w:hAnsi="仿宋" w:eastAsia="仿宋" w:cs="仿宋"/>
                <w:spacing w:val="-13"/>
                <w:sz w:val="24"/>
                <w:szCs w:val="24"/>
                <w:highlight w:val="none"/>
              </w:rPr>
              <w:t>月</w:t>
            </w:r>
            <w:r>
              <w:rPr>
                <w:rFonts w:hint="eastAsia" w:ascii="仿宋" w:hAnsi="仿宋" w:eastAsia="仿宋" w:cs="仿宋"/>
                <w:spacing w:val="13"/>
                <w:sz w:val="24"/>
                <w:szCs w:val="24"/>
                <w:highlight w:val="none"/>
              </w:rPr>
              <w:t xml:space="preserve">    </w:t>
            </w:r>
            <w:r>
              <w:rPr>
                <w:rFonts w:hint="eastAsia" w:ascii="仿宋" w:hAnsi="仿宋" w:eastAsia="仿宋" w:cs="仿宋"/>
                <w:spacing w:val="-13"/>
                <w:sz w:val="24"/>
                <w:szCs w:val="24"/>
                <w:highlight w:val="none"/>
              </w:rPr>
              <w:t>日</w:t>
            </w:r>
          </w:p>
        </w:tc>
      </w:tr>
    </w:tbl>
    <w:p w14:paraId="0DC8C4A5">
      <w:pPr>
        <w:rPr>
          <w:highlight w:val="none"/>
        </w:rPr>
      </w:pPr>
    </w:p>
    <w:bookmarkEnd w:id="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597BE">
    <w:pPr>
      <w:spacing w:line="176" w:lineRule="auto"/>
      <w:ind w:left="4081"/>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9DFD1">
    <w:pPr>
      <w:pStyle w:val="8"/>
      <w:tabs>
        <w:tab w:val="left" w:pos="7140"/>
      </w:tabs>
      <w:spacing w:line="14" w:lineRule="auto"/>
      <w:rPr>
        <w:rFonts w:hint="eastAsia" w:eastAsia="宋体"/>
        <w:sz w:val="2"/>
        <w:lang w:val="en-US" w:eastAsia="zh-CN"/>
      </w:rPr>
    </w:pPr>
    <w:r>
      <w:rPr>
        <w:rFonts w:hint="eastAsia" w:eastAsia="宋体"/>
        <w:sz w:val="2"/>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315" w:firstLine="0"/>
      </w:pPr>
      <w:rPr>
        <w:rFonts w:hint="eastAsia" w:ascii="仿宋_GB2312" w:hAnsi="Times New Roman" w:eastAsia="仿宋_GB2312"/>
        <w:b/>
        <w:i w:val="0"/>
        <w:sz w:val="32"/>
        <w:szCs w:val="32"/>
      </w:rPr>
    </w:lvl>
    <w:lvl w:ilvl="1" w:tentative="0">
      <w:start w:val="1"/>
      <w:numFmt w:val="decimal"/>
      <w:pStyle w:val="17"/>
      <w:suff w:val="nothing"/>
      <w:lvlText w:val="%1.%2　"/>
      <w:lvlJc w:val="left"/>
      <w:pPr>
        <w:ind w:left="105" w:firstLine="0"/>
      </w:pPr>
      <w:rPr>
        <w:rFonts w:hint="eastAsia" w:ascii="仿宋_GB2312" w:hAnsi="Times New Roman" w:eastAsia="仿宋_GB2312" w:cs="Times New Roman"/>
        <w:b w:val="0"/>
        <w:bCs w:val="0"/>
        <w:i w:val="0"/>
        <w:iCs w:val="0"/>
        <w:caps w:val="0"/>
        <w:strike w:val="0"/>
        <w:dstrike w:val="0"/>
        <w:vanish w:val="0"/>
        <w:spacing w:val="0"/>
        <w:kern w:val="0"/>
        <w:position w:val="0"/>
        <w:sz w:val="32"/>
        <w:szCs w:val="32"/>
        <w:u w:val="none"/>
        <w:vertAlign w:val="baseline"/>
      </w:rPr>
    </w:lvl>
    <w:lvl w:ilvl="2" w:tentative="0">
      <w:start w:val="1"/>
      <w:numFmt w:val="decimal"/>
      <w:suff w:val="nothing"/>
      <w:lvlText w:val="%1.%2.%3　"/>
      <w:lvlJc w:val="left"/>
      <w:pPr>
        <w:ind w:left="1155" w:firstLine="0"/>
      </w:pPr>
      <w:rPr>
        <w:rFonts w:hint="eastAsia" w:ascii="仿宋_GB2312" w:hAnsi="Times New Roman" w:eastAsia="仿宋_GB2312"/>
        <w:b w:val="0"/>
        <w:i w:val="0"/>
        <w:sz w:val="32"/>
        <w:szCs w:val="32"/>
      </w:rPr>
    </w:lvl>
    <w:lvl w:ilvl="3" w:tentative="0">
      <w:start w:val="1"/>
      <w:numFmt w:val="decimal"/>
      <w:suff w:val="nothing"/>
      <w:lvlText w:val="%1.%2.%3.%4　"/>
      <w:lvlJc w:val="left"/>
      <w:pPr>
        <w:ind w:left="0" w:firstLine="0"/>
      </w:pPr>
      <w:rPr>
        <w:rFonts w:hint="eastAsia" w:ascii="仿宋_GB2312" w:hAnsi="Times New Roman" w:eastAsia="仿宋_GB2312"/>
        <w:b w:val="0"/>
        <w:i w:val="0"/>
        <w:sz w:val="32"/>
        <w:szCs w:val="32"/>
      </w:rPr>
    </w:lvl>
    <w:lvl w:ilvl="4" w:tentative="0">
      <w:start w:val="1"/>
      <w:numFmt w:val="decimal"/>
      <w:suff w:val="nothing"/>
      <w:lvlText w:val="%1.%2.%3.%4.%5　"/>
      <w:lvlJc w:val="left"/>
      <w:pPr>
        <w:ind w:left="0" w:firstLine="0"/>
      </w:pPr>
      <w:rPr>
        <w:rFonts w:hint="eastAsia" w:ascii="仿宋_GB2312" w:hAnsi="Times New Roman" w:eastAsia="仿宋_GB2312"/>
        <w:b w:val="0"/>
        <w:i w:val="0"/>
        <w:sz w:val="32"/>
        <w:szCs w:val="32"/>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B40CF"/>
    <w:rsid w:val="017A61F7"/>
    <w:rsid w:val="08A842F9"/>
    <w:rsid w:val="0A4E3EA2"/>
    <w:rsid w:val="0A700862"/>
    <w:rsid w:val="0DD76E48"/>
    <w:rsid w:val="16184950"/>
    <w:rsid w:val="17195142"/>
    <w:rsid w:val="1ADF5B23"/>
    <w:rsid w:val="1C4353EA"/>
    <w:rsid w:val="1DDC3CF3"/>
    <w:rsid w:val="205266D4"/>
    <w:rsid w:val="20CA0D70"/>
    <w:rsid w:val="215D6DBD"/>
    <w:rsid w:val="237211AD"/>
    <w:rsid w:val="2393640A"/>
    <w:rsid w:val="24550BA3"/>
    <w:rsid w:val="27044EBC"/>
    <w:rsid w:val="284C5AE2"/>
    <w:rsid w:val="2AD92954"/>
    <w:rsid w:val="2B533014"/>
    <w:rsid w:val="2BE538F2"/>
    <w:rsid w:val="2FBB2627"/>
    <w:rsid w:val="37E173DB"/>
    <w:rsid w:val="398E292E"/>
    <w:rsid w:val="39FE32B3"/>
    <w:rsid w:val="3B183024"/>
    <w:rsid w:val="3BAA5D14"/>
    <w:rsid w:val="3D61101E"/>
    <w:rsid w:val="3D90570D"/>
    <w:rsid w:val="3E0E070F"/>
    <w:rsid w:val="3ED8360B"/>
    <w:rsid w:val="3F4C56A2"/>
    <w:rsid w:val="42FC6174"/>
    <w:rsid w:val="4339622E"/>
    <w:rsid w:val="43535357"/>
    <w:rsid w:val="435D3EC5"/>
    <w:rsid w:val="443D0852"/>
    <w:rsid w:val="471B40CF"/>
    <w:rsid w:val="475477BE"/>
    <w:rsid w:val="49FA026B"/>
    <w:rsid w:val="4B473790"/>
    <w:rsid w:val="4EC76C49"/>
    <w:rsid w:val="503E1327"/>
    <w:rsid w:val="509562E2"/>
    <w:rsid w:val="5266126D"/>
    <w:rsid w:val="55E9369B"/>
    <w:rsid w:val="57346FE0"/>
    <w:rsid w:val="588115C7"/>
    <w:rsid w:val="58E1369A"/>
    <w:rsid w:val="5B844D7A"/>
    <w:rsid w:val="5EA90E9A"/>
    <w:rsid w:val="5F745F6C"/>
    <w:rsid w:val="613714EA"/>
    <w:rsid w:val="61F71146"/>
    <w:rsid w:val="6251607F"/>
    <w:rsid w:val="64C0772E"/>
    <w:rsid w:val="65566374"/>
    <w:rsid w:val="6577421A"/>
    <w:rsid w:val="65B91146"/>
    <w:rsid w:val="6A924908"/>
    <w:rsid w:val="6BBA45B7"/>
    <w:rsid w:val="6DA13486"/>
    <w:rsid w:val="6EAC17A9"/>
    <w:rsid w:val="6F795A80"/>
    <w:rsid w:val="71EE18DB"/>
    <w:rsid w:val="73036D58"/>
    <w:rsid w:val="743D611D"/>
    <w:rsid w:val="77F273D8"/>
    <w:rsid w:val="78E35D19"/>
    <w:rsid w:val="7A6E3EE9"/>
    <w:rsid w:val="7B227150"/>
    <w:rsid w:val="7CB244A3"/>
    <w:rsid w:val="7E681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2"/>
    <w:autoRedefine/>
    <w:qFormat/>
    <w:uiPriority w:val="0"/>
    <w:pPr>
      <w:keepNext/>
      <w:keepLines/>
      <w:spacing w:before="340" w:after="330" w:line="240" w:lineRule="auto"/>
      <w:jc w:val="center"/>
      <w:outlineLvl w:val="0"/>
    </w:pPr>
    <w:rPr>
      <w:rFonts w:ascii="Times New Roman" w:hAnsi="Times New Roman" w:eastAsia="宋体" w:cs="Times New Roman"/>
      <w:b/>
      <w:kern w:val="44"/>
      <w:sz w:val="36"/>
      <w:szCs w:val="20"/>
    </w:rPr>
  </w:style>
  <w:style w:type="paragraph" w:styleId="4">
    <w:name w:val="heading 2"/>
    <w:basedOn w:val="1"/>
    <w:next w:val="1"/>
    <w:link w:val="13"/>
    <w:autoRedefine/>
    <w:semiHidden/>
    <w:unhideWhenUsed/>
    <w:qFormat/>
    <w:uiPriority w:val="0"/>
    <w:pPr>
      <w:keepNext/>
      <w:keepLines/>
      <w:spacing w:before="260" w:after="260" w:line="240" w:lineRule="auto"/>
      <w:ind w:leftChars="0"/>
      <w:jc w:val="center"/>
      <w:outlineLvl w:val="1"/>
    </w:pPr>
    <w:rPr>
      <w:rFonts w:ascii="Arial" w:hAnsi="Arial" w:eastAsia="宋体" w:cs="Times New Roman"/>
      <w:b/>
      <w:bCs/>
      <w:snapToGrid w:val="0"/>
      <w:color w:val="000000"/>
      <w:kern w:val="0"/>
      <w:sz w:val="32"/>
      <w:szCs w:val="32"/>
      <w:lang w:eastAsia="en-US"/>
    </w:rPr>
  </w:style>
  <w:style w:type="paragraph" w:styleId="5">
    <w:name w:val="heading 3"/>
    <w:basedOn w:val="1"/>
    <w:next w:val="1"/>
    <w:link w:val="14"/>
    <w:autoRedefine/>
    <w:semiHidden/>
    <w:unhideWhenUsed/>
    <w:qFormat/>
    <w:uiPriority w:val="0"/>
    <w:pPr>
      <w:keepNext/>
      <w:keepLines/>
      <w:spacing w:before="260" w:after="260" w:line="240" w:lineRule="auto"/>
      <w:ind w:leftChars="200" w:firstLine="49" w:firstLineChars="49"/>
      <w:outlineLvl w:val="2"/>
    </w:pPr>
    <w:rPr>
      <w:rFonts w:ascii="宋体" w:hAnsi="宋体" w:eastAsia="宋体" w:cs="Shruti"/>
      <w:sz w:val="30"/>
      <w:szCs w:val="20"/>
    </w:rPr>
  </w:style>
  <w:style w:type="paragraph" w:styleId="6">
    <w:name w:val="heading 4"/>
    <w:basedOn w:val="1"/>
    <w:next w:val="1"/>
    <w:link w:val="15"/>
    <w:autoRedefine/>
    <w:semiHidden/>
    <w:unhideWhenUsed/>
    <w:qFormat/>
    <w:uiPriority w:val="0"/>
    <w:pPr>
      <w:keepNext/>
      <w:keepLines/>
      <w:spacing w:before="280" w:after="290" w:line="240" w:lineRule="auto"/>
      <w:outlineLvl w:val="3"/>
    </w:pPr>
    <w:rPr>
      <w:rFonts w:ascii="Arial" w:hAnsi="Arial" w:eastAsia="宋体" w:cs="Times New Roman"/>
      <w:b/>
      <w:bCs/>
      <w:sz w:val="28"/>
      <w:szCs w:val="28"/>
    </w:rPr>
  </w:style>
  <w:style w:type="character" w:default="1" w:styleId="11">
    <w:name w:val="Default Paragraph Font"/>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7">
    <w:name w:val="Normal Indent"/>
    <w:basedOn w:val="1"/>
    <w:autoRedefine/>
    <w:qFormat/>
    <w:uiPriority w:val="0"/>
    <w:pPr>
      <w:ind w:firstLine="420" w:firstLineChars="200"/>
    </w:pPr>
  </w:style>
  <w:style w:type="paragraph" w:styleId="8">
    <w:name w:val="Body Text"/>
    <w:basedOn w:val="1"/>
    <w:semiHidden/>
    <w:qFormat/>
    <w:uiPriority w:val="0"/>
    <w:rPr>
      <w:rFonts w:ascii="Arial" w:hAnsi="Arial" w:eastAsia="Arial" w:cs="Arial"/>
      <w:sz w:val="21"/>
      <w:szCs w:val="21"/>
      <w:lang w:val="en-US" w:eastAsia="en-US" w:bidi="ar-SA"/>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Char"/>
    <w:basedOn w:val="11"/>
    <w:link w:val="3"/>
    <w:autoRedefine/>
    <w:qFormat/>
    <w:uiPriority w:val="0"/>
    <w:rPr>
      <w:rFonts w:ascii="Times New Roman" w:hAnsi="Times New Roman" w:eastAsia="宋体" w:cs="Times New Roman"/>
      <w:b/>
      <w:snapToGrid w:val="0"/>
      <w:color w:val="000000"/>
      <w:kern w:val="44"/>
      <w:sz w:val="32"/>
      <w:szCs w:val="20"/>
      <w:lang w:eastAsia="en-US"/>
    </w:rPr>
  </w:style>
  <w:style w:type="character" w:customStyle="1" w:styleId="13">
    <w:name w:val="标题 2 字符1"/>
    <w:link w:val="4"/>
    <w:autoRedefine/>
    <w:qFormat/>
    <w:uiPriority w:val="0"/>
    <w:rPr>
      <w:rFonts w:ascii="Arial" w:hAnsi="Arial" w:eastAsia="宋体" w:cs="Times New Roman"/>
      <w:b/>
      <w:snapToGrid w:val="0"/>
      <w:color w:val="000000"/>
      <w:kern w:val="0"/>
      <w:sz w:val="30"/>
      <w:lang w:eastAsia="en-US"/>
    </w:rPr>
  </w:style>
  <w:style w:type="character" w:customStyle="1" w:styleId="14">
    <w:name w:val="标题 3 Char"/>
    <w:basedOn w:val="11"/>
    <w:link w:val="5"/>
    <w:autoRedefine/>
    <w:qFormat/>
    <w:uiPriority w:val="0"/>
    <w:rPr>
      <w:rFonts w:ascii="宋体" w:hAnsi="宋体" w:eastAsia="宋体" w:cs="Shruti"/>
      <w:b/>
      <w:snapToGrid w:val="0"/>
      <w:color w:val="000000"/>
      <w:kern w:val="0"/>
      <w:sz w:val="28"/>
      <w:szCs w:val="20"/>
      <w:lang w:eastAsia="en-US"/>
    </w:rPr>
  </w:style>
  <w:style w:type="character" w:customStyle="1" w:styleId="15">
    <w:name w:val="标题 4 Char"/>
    <w:basedOn w:val="11"/>
    <w:link w:val="6"/>
    <w:autoRedefine/>
    <w:qFormat/>
    <w:uiPriority w:val="0"/>
    <w:rPr>
      <w:rFonts w:ascii="Arial" w:hAnsi="Arial" w:eastAsia="宋体" w:cs="Times New Roman"/>
      <w:b/>
      <w:bCs/>
      <w:sz w:val="28"/>
      <w:szCs w:val="28"/>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8">
    <w:name w:val="Table Text"/>
    <w:basedOn w:val="1"/>
    <w:semiHidden/>
    <w:qFormat/>
    <w:uiPriority w:val="0"/>
    <w:rPr>
      <w:rFonts w:ascii="宋体" w:hAnsi="宋体" w:eastAsia="宋体" w:cs="宋体"/>
      <w:sz w:val="24"/>
      <w:szCs w:val="24"/>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2026-04-28T11:02:00Z</dcterms:created>
  <dc:creator>圆规陀螺</dc:creator>
  <cp:lastModifiedBy>圆规陀螺</cp:lastModifiedBy>
  <dcterms:modified xsi:type="dcterms:W3CDTF">2026-04-28T11:02:44Z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2D1F7CC4EAE147F599B8B02953320248_11</vt:lpwstr>
  </property>
  <property fmtid="{D5CDD505-2E9C-101B-9397-08002B2CF9AE}" pid="4" name="KSOTemplateDocerSaveRecord">
    <vt:lpwstr>eyJoZGlkIjoiMWZjNmQ1YzdkNjliYzNhNDM2ZjQ0ZjUwYjNmM2E5OTYiLCJ1c2VySWQiOiI0MTMzNDc5MDgifQ==</vt:lpwstr>
  </property>
</Properties>
</file>