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highlight w:val="none"/>
          <w:lang w:eastAsia="zh-CN"/>
        </w:rPr>
        <w:t>商洛市商州区</w:t>
      </w:r>
      <w:bookmarkStart w:id="0" w:name="_GoBack"/>
      <w:bookmarkEnd w:id="0"/>
      <w:r>
        <w:rPr>
          <w:rFonts w:hint="eastAsia" w:ascii="仿宋" w:hAnsi="仿宋" w:eastAsia="仿宋" w:cs="仿宋"/>
          <w:sz w:val="24"/>
          <w:u w:val="none" w:color="auto"/>
          <w:lang w:val="en-US" w:eastAsia="zh-CN"/>
        </w:rPr>
        <w:t>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华招广和项目管理有限公司</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商洛市商州区人民法院</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商洛市商州区人民法院指定地点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商洛市商州区人民法院</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0F9A13C1"/>
    <w:rsid w:val="10EB7B6F"/>
    <w:rsid w:val="451435B1"/>
    <w:rsid w:val="4BD63FAB"/>
    <w:rsid w:val="506B45F7"/>
    <w:rsid w:val="7F4C0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6027</Words>
  <Characters>6227</Characters>
  <Lines>0</Lines>
  <Paragraphs>0</Paragraphs>
  <TotalTime>1</TotalTime>
  <ScaleCrop>false</ScaleCrop>
  <LinksUpToDate>false</LinksUpToDate>
  <CharactersWithSpaces>6428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2026-06-24T06:06:02Z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