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版本号：KY2026-3-04420260612001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2026年中央空调和新风系统维保项目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KY2026-3-044</w:t>
      </w:r>
      <w:r>
        <w:br/>
      </w:r>
      <w:r>
        <w:br/>
      </w:r>
      <w:r>
        <w:br/>
      </w:r>
    </w:p>
    <w:p>
      <w:pPr>
        <w:pStyle w:val="null3"/>
        <w:jc w:val="center"/>
        <w:outlineLvl w:val="2"/>
      </w:pPr>
      <w:r>
        <w:rPr>
          <w:rFonts w:ascii="仿宋_GB2312" w:hAnsi="仿宋_GB2312" w:cs="仿宋_GB2312" w:eastAsia="仿宋_GB2312"/>
          <w:sz w:val="28"/>
          <w:b/>
        </w:rPr>
        <w:t>陕西省高速公路收费中心</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陕西省高速公路收费中心</w:t>
      </w:r>
      <w:r>
        <w:rPr>
          <w:rFonts w:ascii="仿宋_GB2312" w:hAnsi="仿宋_GB2312" w:cs="仿宋_GB2312" w:eastAsia="仿宋_GB2312"/>
        </w:rPr>
        <w:t>委托，拟对</w:t>
      </w:r>
      <w:r>
        <w:rPr>
          <w:rFonts w:ascii="仿宋_GB2312" w:hAnsi="仿宋_GB2312" w:cs="仿宋_GB2312" w:eastAsia="仿宋_GB2312"/>
        </w:rPr>
        <w:t>2026年中央空调和新风系统维保项目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KY2026-3-044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2026年中央空调和新风系统维保项目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2026年中央空调和新风系统维保项目，简要技术要求、用途：详见磋商文件。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采购包1（2026年中央空调和新风系统维保项目）：属于专门面向中小企业采购。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6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7、法定代表人授权书及被授权人身份证：法定代表人授权书及被授权人身份证复印件。（法定代表人直接磋商只须提交其身份证明书）</w:t>
      </w:r>
    </w:p>
    <w:p>
      <w:pPr>
        <w:pStyle w:val="null3"/>
      </w:pPr>
      <w:r>
        <w:rPr>
          <w:rFonts w:ascii="仿宋_GB2312" w:hAnsi="仿宋_GB2312" w:cs="仿宋_GB2312" w:eastAsia="仿宋_GB2312"/>
        </w:rPr>
        <w:t>8、中小企业声明函：本项目为专门面向中、小、微型企业采购项目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陕西省高速公路收费中心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陕西省未央区凤城十一路东段陕西省高速公路收费中心208号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梅老师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029-86531251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贾彤菲、王琦、戈迪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029-81206622/81206633-833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银行账号：86113010750181502001308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成交服务费，交费金额参照国家计委颁布的《招标代理服务收费管理暂行办法》（计价格[2002]1980号）及发改办价格[2003]857号文件的规定标准下浮10%收取。2、本项目成交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陕西省高速公路收费中心</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陕西省高速公路收费中心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陕西省高速公路收费中心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联系人：贾彤菲、王琦、戈迪</w:t>
      </w:r>
    </w:p>
    <w:p>
      <w:pPr>
        <w:pStyle w:val="null3"/>
      </w:pPr>
      <w:r>
        <w:rPr>
          <w:rFonts w:ascii="仿宋_GB2312" w:hAnsi="仿宋_GB2312" w:cs="仿宋_GB2312" w:eastAsia="仿宋_GB2312"/>
        </w:rPr>
        <w:t>联系电话：029-81206622-833</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中心办公大楼面积3.65万平方米，大楼内中央空调及新风系统共分四部分，分别为燃气式直燃机系统，冷却塔，电机、水泵和管道及空调、新风末端设备，为保障中央空调的正常运转，需要对以上四部分设备进行专业清洗、维修、检查和保养。</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中央空调和新风系统维保项目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标的名称：中央空调和新风系统维保项目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r>
              <w:br/>
            </w:r>
            <w:r>
              <w:rPr>
                <w:rFonts w:ascii="仿宋_GB2312" w:hAnsi="仿宋_GB2312" w:cs="仿宋_GB2312" w:eastAsia="仿宋_GB2312"/>
              </w:rPr>
              <w:t xml:space="preserve"> 中心办公大楼面积3.65万平方米，大楼内中央空调及新风系统共分四部分，分别为燃气式直燃机系统，冷却塔，电机、水泵和管道及空调、新风末端设备，为保障中央空调的正常运转，需要对以上四部分设备进行专业清洗、维修、检查和保养。</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color w:val="000000"/>
              </w:rPr>
              <w:t>二、</w:t>
            </w:r>
            <w:r>
              <w:rPr>
                <w:rFonts w:ascii="仿宋_GB2312" w:hAnsi="仿宋_GB2312" w:cs="仿宋_GB2312" w:eastAsia="仿宋_GB2312"/>
                <w:sz w:val="21"/>
                <w:color w:val="000000"/>
              </w:rPr>
              <w:t>中央空调及新风系统维保要求</w:t>
            </w:r>
          </w:p>
          <w:p>
            <w:pPr>
              <w:pStyle w:val="null3"/>
              <w:jc w:val="left"/>
            </w:pPr>
            <w:r>
              <w:rPr>
                <w:rFonts w:ascii="仿宋_GB2312" w:hAnsi="仿宋_GB2312" w:cs="仿宋_GB2312" w:eastAsia="仿宋_GB2312"/>
                <w:sz w:val="21"/>
                <w:color w:val="000000"/>
              </w:rPr>
              <w:t>（一）直燃机维护</w:t>
            </w:r>
          </w:p>
          <w:p>
            <w:pPr>
              <w:pStyle w:val="null3"/>
              <w:jc w:val="left"/>
            </w:pPr>
            <w:r>
              <w:rPr>
                <w:rFonts w:ascii="仿宋_GB2312" w:hAnsi="仿宋_GB2312" w:cs="仿宋_GB2312" w:eastAsia="仿宋_GB2312"/>
                <w:sz w:val="21"/>
                <w:color w:val="000000"/>
              </w:rPr>
              <w:t>1.设备情况。空调主机部分（共壹台），直燃机设备型号ZXQ-349H2M2，设备编号ZXJF1080</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服务</w:t>
            </w:r>
            <w:r>
              <w:rPr>
                <w:rFonts w:ascii="仿宋_GB2312" w:hAnsi="仿宋_GB2312" w:cs="仿宋_GB2312" w:eastAsia="仿宋_GB2312"/>
                <w:sz w:val="21"/>
                <w:color w:val="000000"/>
              </w:rPr>
              <w:t>标准</w:t>
            </w:r>
          </w:p>
          <w:tbl>
            <w:tblPr>
              <w:tblInd w:type="dxa" w:w="135"/>
              <w:tblBorders>
                <w:top w:val="none" w:color="000000" w:sz="4"/>
                <w:left w:val="none" w:color="000000" w:sz="4"/>
                <w:bottom w:val="none" w:color="000000" w:sz="4"/>
                <w:right w:val="none" w:color="000000" w:sz="4"/>
                <w:insideH w:val="none"/>
                <w:insideV w:val="none"/>
              </w:tblBorders>
            </w:tblPr>
            <w:tblGrid>
              <w:gridCol w:w="749"/>
              <w:gridCol w:w="1784"/>
            </w:tblGrid>
            <w:tr>
              <w:tc>
                <w:tcPr>
                  <w:tcW w:type="dxa" w:w="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服务项目</w:t>
                  </w:r>
                </w:p>
              </w:tc>
              <w:tc>
                <w:tcPr>
                  <w:tcW w:type="dxa" w:w="1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服务标准</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日常的技术支持</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直燃机维护原厂技术调试确保正常运行，</w:t>
                  </w:r>
                  <w:r>
                    <w:rPr>
                      <w:rFonts w:ascii="仿宋_GB2312" w:hAnsi="仿宋_GB2312" w:cs="仿宋_GB2312" w:eastAsia="仿宋_GB2312"/>
                      <w:sz w:val="21"/>
                      <w:color w:val="000000"/>
                    </w:rPr>
                    <w:t>随时向用户提供技术咨询与支持</w:t>
                  </w:r>
                  <w:r>
                    <w:rPr>
                      <w:rFonts w:ascii="仿宋_GB2312" w:hAnsi="仿宋_GB2312" w:cs="仿宋_GB2312" w:eastAsia="仿宋_GB2312"/>
                      <w:sz w:val="21"/>
                      <w:color w:val="000000"/>
                    </w:rPr>
                    <w:t>。</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周期性的专业保养</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主机</w:t>
                  </w:r>
                  <w:r>
                    <w:rPr>
                      <w:rFonts w:ascii="仿宋_GB2312" w:hAnsi="仿宋_GB2312" w:cs="仿宋_GB2312" w:eastAsia="仿宋_GB2312"/>
                      <w:sz w:val="21"/>
                      <w:color w:val="000000"/>
                    </w:rPr>
                    <w:t>每间隔</w:t>
                  </w:r>
                  <w:r>
                    <w:rPr>
                      <w:rFonts w:ascii="仿宋_GB2312" w:hAnsi="仿宋_GB2312" w:cs="仿宋_GB2312" w:eastAsia="仿宋_GB2312"/>
                      <w:sz w:val="21"/>
                      <w:color w:val="000000"/>
                    </w:rPr>
                    <w:t>2月</w:t>
                  </w:r>
                  <w:r>
                    <w:rPr>
                      <w:rFonts w:ascii="仿宋_GB2312" w:hAnsi="仿宋_GB2312" w:cs="仿宋_GB2312" w:eastAsia="仿宋_GB2312"/>
                      <w:sz w:val="21"/>
                      <w:color w:val="000000"/>
                    </w:rPr>
                    <w:t>进行</w:t>
                  </w:r>
                  <w:r>
                    <w:rPr>
                      <w:rFonts w:ascii="仿宋_GB2312" w:hAnsi="仿宋_GB2312" w:cs="仿宋_GB2312" w:eastAsia="仿宋_GB2312"/>
                      <w:sz w:val="21"/>
                      <w:color w:val="000000"/>
                    </w:rPr>
                    <w:t>1次专业维修</w:t>
                  </w:r>
                  <w:r>
                    <w:rPr>
                      <w:rFonts w:ascii="仿宋_GB2312" w:hAnsi="仿宋_GB2312" w:cs="仿宋_GB2312" w:eastAsia="仿宋_GB2312"/>
                      <w:sz w:val="21"/>
                      <w:color w:val="000000"/>
                    </w:rPr>
                    <w:t>保养（</w:t>
                  </w:r>
                  <w:r>
                    <w:rPr>
                      <w:rFonts w:ascii="仿宋_GB2312" w:hAnsi="仿宋_GB2312" w:cs="仿宋_GB2312" w:eastAsia="仿宋_GB2312"/>
                      <w:sz w:val="21"/>
                      <w:color w:val="000000"/>
                    </w:rPr>
                    <w:t>全年共计不得少于</w:t>
                  </w:r>
                  <w:r>
                    <w:rPr>
                      <w:rFonts w:ascii="仿宋_GB2312" w:hAnsi="仿宋_GB2312" w:cs="仿宋_GB2312" w:eastAsia="仿宋_GB2312"/>
                      <w:sz w:val="21"/>
                      <w:color w:val="000000"/>
                    </w:rPr>
                    <w:t>6次）。</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年度大型保养</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主机年度大型保养</w:t>
                  </w:r>
                  <w:r>
                    <w:rPr>
                      <w:rFonts w:ascii="仿宋_GB2312" w:hAnsi="仿宋_GB2312" w:cs="仿宋_GB2312" w:eastAsia="仿宋_GB2312"/>
                      <w:sz w:val="21"/>
                      <w:color w:val="000000"/>
                    </w:rPr>
                    <w:t>1次，时间节点为每年供暖季度结束后至夏季制冷启动之前（具体施工开展日期根据现场实际情况自定）。</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高效的故障响应</w:t>
                  </w:r>
                </w:p>
              </w:tc>
              <w:tc>
                <w:tcPr>
                  <w:tcW w:type="dxa" w:w="1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全年</w:t>
                  </w:r>
                  <w:r>
                    <w:rPr>
                      <w:rFonts w:ascii="仿宋_GB2312" w:hAnsi="仿宋_GB2312" w:cs="仿宋_GB2312" w:eastAsia="仿宋_GB2312"/>
                      <w:sz w:val="21"/>
                      <w:color w:val="000000"/>
                    </w:rPr>
                    <w:t>24小时</w:t>
                  </w:r>
                  <w:r>
                    <w:rPr>
                      <w:rFonts w:ascii="仿宋_GB2312" w:hAnsi="仿宋_GB2312" w:cs="仿宋_GB2312" w:eastAsia="仿宋_GB2312"/>
                      <w:sz w:val="21"/>
                      <w:color w:val="000000"/>
                    </w:rPr>
                    <w:t>电话响应，接到故障报修信息</w:t>
                  </w:r>
                  <w:r>
                    <w:rPr>
                      <w:rFonts w:ascii="仿宋_GB2312" w:hAnsi="仿宋_GB2312" w:cs="仿宋_GB2312" w:eastAsia="仿宋_GB2312"/>
                      <w:sz w:val="21"/>
                      <w:color w:val="000000"/>
                    </w:rPr>
                    <w:t>2小时内到场响应。</w:t>
                  </w:r>
                </w:p>
              </w:tc>
            </w:tr>
            <w:tr>
              <w:tc>
                <w:tcPr>
                  <w:tcW w:type="dxa" w:w="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定期的性能试验</w:t>
                  </w:r>
                </w:p>
              </w:tc>
              <w:tc>
                <w:tcPr>
                  <w:tcW w:type="dxa" w:w="1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每年制冷</w:t>
                  </w:r>
                  <w:r>
                    <w:rPr>
                      <w:rFonts w:ascii="仿宋_GB2312" w:hAnsi="仿宋_GB2312" w:cs="仿宋_GB2312" w:eastAsia="仿宋_GB2312"/>
                      <w:sz w:val="21"/>
                      <w:color w:val="000000"/>
                    </w:rPr>
                    <w:t>季</w:t>
                  </w:r>
                  <w:r>
                    <w:rPr>
                      <w:rFonts w:ascii="仿宋_GB2312" w:hAnsi="仿宋_GB2312" w:cs="仿宋_GB2312" w:eastAsia="仿宋_GB2312"/>
                      <w:sz w:val="21"/>
                      <w:color w:val="000000"/>
                    </w:rPr>
                    <w:t>、采暖</w:t>
                  </w:r>
                  <w:r>
                    <w:rPr>
                      <w:rFonts w:ascii="仿宋_GB2312" w:hAnsi="仿宋_GB2312" w:cs="仿宋_GB2312" w:eastAsia="仿宋_GB2312"/>
                      <w:sz w:val="21"/>
                      <w:color w:val="000000"/>
                    </w:rPr>
                    <w:t>季</w:t>
                  </w:r>
                  <w:r>
                    <w:rPr>
                      <w:rFonts w:ascii="仿宋_GB2312" w:hAnsi="仿宋_GB2312" w:cs="仿宋_GB2312" w:eastAsia="仿宋_GB2312"/>
                      <w:sz w:val="21"/>
                      <w:color w:val="000000"/>
                    </w:rPr>
                    <w:t>各</w:t>
                  </w:r>
                  <w:r>
                    <w:rPr>
                      <w:rFonts w:ascii="仿宋_GB2312" w:hAnsi="仿宋_GB2312" w:cs="仿宋_GB2312" w:eastAsia="仿宋_GB2312"/>
                      <w:sz w:val="21"/>
                      <w:color w:val="000000"/>
                    </w:rPr>
                    <w:t>进行</w:t>
                  </w:r>
                  <w:r>
                    <w:rPr>
                      <w:rFonts w:ascii="仿宋_GB2312" w:hAnsi="仿宋_GB2312" w:cs="仿宋_GB2312" w:eastAsia="仿宋_GB2312"/>
                      <w:sz w:val="21"/>
                      <w:color w:val="000000"/>
                    </w:rPr>
                    <w:t>1次（其中</w:t>
                  </w:r>
                  <w:r>
                    <w:rPr>
                      <w:rFonts w:ascii="仿宋_GB2312" w:hAnsi="仿宋_GB2312" w:cs="仿宋_GB2312" w:eastAsia="仿宋_GB2312"/>
                      <w:sz w:val="21"/>
                      <w:color w:val="000000"/>
                    </w:rPr>
                    <w:t>包含</w:t>
                  </w:r>
                  <w:r>
                    <w:rPr>
                      <w:rFonts w:ascii="仿宋_GB2312" w:hAnsi="仿宋_GB2312" w:cs="仿宋_GB2312" w:eastAsia="仿宋_GB2312"/>
                      <w:sz w:val="21"/>
                      <w:color w:val="000000"/>
                    </w:rPr>
                    <w:t>：</w:t>
                  </w:r>
                  <w:r>
                    <w:rPr>
                      <w:rFonts w:ascii="仿宋_GB2312" w:hAnsi="仿宋_GB2312" w:cs="仿宋_GB2312" w:eastAsia="仿宋_GB2312"/>
                      <w:sz w:val="21"/>
                      <w:color w:val="000000"/>
                    </w:rPr>
                    <w:t>溴化锂主机及泵房附属系统设备等</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tc>
            </w:tr>
            <w:tr>
              <w:tc>
                <w:tcPr>
                  <w:tcW w:type="dxa" w:w="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额外的增值服务</w:t>
                  </w:r>
                </w:p>
              </w:tc>
              <w:tc>
                <w:tcPr>
                  <w:tcW w:type="dxa" w:w="1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溴化锂溶液和冷却水</w:t>
                  </w:r>
                  <w:r>
                    <w:rPr>
                      <w:rFonts w:ascii="仿宋_GB2312" w:hAnsi="仿宋_GB2312" w:cs="仿宋_GB2312" w:eastAsia="仿宋_GB2312"/>
                      <w:sz w:val="21"/>
                      <w:color w:val="000000"/>
                    </w:rPr>
                    <w:t>/冷水水样免费检测服务（1次/年）提供化验报告</w:t>
                  </w:r>
                </w:p>
              </w:tc>
            </w:tr>
            <w:tr>
              <w:tc>
                <w:tcPr>
                  <w:tcW w:type="dxa" w:w="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年度服务质量的测评</w:t>
                  </w:r>
                </w:p>
              </w:tc>
              <w:tc>
                <w:tcPr>
                  <w:tcW w:type="dxa" w:w="1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1次/年</w:t>
                  </w:r>
                </w:p>
              </w:tc>
            </w:tr>
            <w:tr>
              <w:tc>
                <w:tcPr>
                  <w:tcW w:type="dxa" w:w="74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全方位的监督考核</w:t>
                  </w:r>
                </w:p>
              </w:tc>
              <w:tc>
                <w:tcPr>
                  <w:tcW w:type="dxa" w:w="1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服务经理现场巡查</w:t>
                  </w:r>
                  <w:r>
                    <w:rPr>
                      <w:rFonts w:ascii="仿宋_GB2312" w:hAnsi="仿宋_GB2312" w:cs="仿宋_GB2312" w:eastAsia="仿宋_GB2312"/>
                      <w:sz w:val="21"/>
                      <w:color w:val="000000"/>
                    </w:rPr>
                    <w:t>1次/年</w:t>
                  </w:r>
                </w:p>
              </w:tc>
            </w:tr>
            <w:tr>
              <w:tc>
                <w:tcPr>
                  <w:tcW w:type="dxa" w:w="749"/>
                  <w:vMerge/>
                  <w:tcBorders>
                    <w:top w:val="single" w:color="000000" w:sz="4"/>
                    <w:left w:val="single" w:color="000000" w:sz="4"/>
                    <w:bottom w:val="single" w:color="000000" w:sz="4"/>
                    <w:right w:val="single" w:color="000000" w:sz="4"/>
                  </w:tcBorders>
                </w:tcPr>
                <w:p/>
              </w:tc>
              <w:tc>
                <w:tcPr>
                  <w:tcW w:type="dxa" w:w="1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服务公司总部与用户主管电话沟通（</w:t>
                  </w:r>
                  <w:r>
                    <w:rPr>
                      <w:rFonts w:ascii="仿宋_GB2312" w:hAnsi="仿宋_GB2312" w:cs="仿宋_GB2312" w:eastAsia="仿宋_GB2312"/>
                      <w:sz w:val="21"/>
                      <w:color w:val="000000"/>
                    </w:rPr>
                    <w:t>1次/年）</w:t>
                  </w:r>
                </w:p>
              </w:tc>
            </w:tr>
          </w:tbl>
          <w:p>
            <w:pPr>
              <w:pStyle w:val="null3"/>
              <w:jc w:val="left"/>
            </w:pPr>
            <w:r>
              <w:rPr>
                <w:rFonts w:ascii="仿宋_GB2312" w:hAnsi="仿宋_GB2312" w:cs="仿宋_GB2312" w:eastAsia="仿宋_GB2312"/>
                <w:sz w:val="21"/>
                <w:color w:val="000000"/>
              </w:rPr>
              <w:t>3.维护内容</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1）溴化锂主机年度保养计划表</w:t>
            </w:r>
          </w:p>
          <w:tbl>
            <w:tblPr>
              <w:tblInd w:type="dxa" w:w="120"/>
              <w:tblBorders>
                <w:top w:val="none" w:color="000000" w:sz="4"/>
                <w:left w:val="none" w:color="000000" w:sz="4"/>
                <w:bottom w:val="none" w:color="000000" w:sz="4"/>
                <w:right w:val="none" w:color="000000" w:sz="4"/>
                <w:insideH w:val="none"/>
                <w:insideV w:val="none"/>
              </w:tblBorders>
            </w:tblPr>
            <w:tblGrid>
              <w:gridCol w:w="977"/>
              <w:gridCol w:w="1576"/>
            </w:tblGrid>
            <w:tr>
              <w:tc>
                <w:tcPr>
                  <w:tcW w:type="dxa" w:w="9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保养项目</w:t>
                  </w:r>
                </w:p>
              </w:tc>
              <w:tc>
                <w:tcPr>
                  <w:tcW w:type="dxa" w:w="15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保养内容、方法及要求</w:t>
                  </w:r>
                </w:p>
              </w:tc>
            </w:tr>
            <w:tr>
              <w:tc>
                <w:tcPr>
                  <w:tcW w:type="dxa" w:w="25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1.真空检查与保养</w:t>
                  </w: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1.1机组真空</w:t>
                  </w:r>
                </w:p>
              </w:tc>
              <w:tc>
                <w:tcPr>
                  <w:tcW w:type="dxa" w:w="15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1.机组真空度检测及真空合格度确认，自抽压力显示值及真空读数是否正常；2.自抽系统工作是否正常；3.据需实施气泡法测真空验证主机真空是否合格；</w:t>
                  </w: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1.2真空泵</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1.极限性能的确认；2.阀门及其连接管道的密封；3.真空泵油面及油质检查、更换；4.电器的常规检查；5.真空泵表面污垢清理；</w:t>
                  </w:r>
                </w:p>
              </w:tc>
            </w:tr>
            <w:tr>
              <w:tc>
                <w:tcPr>
                  <w:tcW w:type="dxa" w:w="25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2.运行质量检查</w:t>
                  </w: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2.1调阅运行记录</w:t>
                  </w:r>
                </w:p>
              </w:tc>
              <w:tc>
                <w:tcPr>
                  <w:tcW w:type="dxa" w:w="15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1.查阅作业员记录的运行数据；2.查阅主机的历史记录，分析其中的异常数据记录；3.查阅故障参数信息；</w:t>
                  </w: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2.2运行观察、性能试验（至少60分钟）</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主机的负荷与出力情况观察，制冷效率是否稳定；2.（高压）发生器液位是否稳定，机组有无异响；3.变频器、溶液泵、冷剂泵的工作是否正常；4.主机各运行部件有无噪音等异常；5.燃烧器/蒸汽调节阀是否频繁启停/开关；6.对主机的运行数据进行记录，对运行性能方面存在的问题提出运行改进或维护建议；</w:t>
                  </w: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2.3现场技术交流（至少20分钟）</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1.了解操作人员的习惯，进行操作要领培训；2.集中讲解故障疑点及技术难点；</w:t>
                  </w:r>
                </w:p>
              </w:tc>
            </w:tr>
            <w:tr>
              <w:tc>
                <w:tcPr>
                  <w:tcW w:type="dxa" w:w="25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3.工质检查及保养</w:t>
                  </w: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3.1冷剂水检查</w:t>
                  </w:r>
                </w:p>
              </w:tc>
              <w:tc>
                <w:tcPr>
                  <w:tcW w:type="dxa" w:w="15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1.目测透明清澈无杂质；2.冷剂水密度；</w:t>
                  </w: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3.2溶液检查</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1.稀溶液浓度检测；2.浓溶液浓度检测与显示校验；</w:t>
                  </w: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3.3循环量（变频器）调整</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1.稀溶液循环量调节阀阀位；2.参数调整；3.变频器散热部件清灰；</w:t>
                  </w: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3.4蒸汽品质检查</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1.蒸汽压力检查；2.蒸汽温度检测；</w:t>
                  </w: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3.5冷水/冷却水水质化验</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1.主要检测指标检测,如达不到标准，与用户沟通进行处理。                                                                                                                                                                                                                                                                                                                                                                                                                                                                                                                                                                                                                                                                                          </w:t>
                  </w:r>
                </w:p>
              </w:tc>
            </w:tr>
            <w:tr>
              <w:tc>
                <w:tcPr>
                  <w:tcW w:type="dxa" w:w="25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4.电气检查与保养</w:t>
                  </w: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4.1压力/温度检查</w:t>
                  </w:r>
                </w:p>
              </w:tc>
              <w:tc>
                <w:tcPr>
                  <w:tcW w:type="dxa" w:w="15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1.显示值正常；2.接线牢固；</w:t>
                  </w: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 控制/安全参数检查</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 安全参数/调节参数校对；</w:t>
                  </w: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4.3供电电源电压、电流检查</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1.万用表检测供电电压；2.钳型表检测电流值；</w:t>
                  </w: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4.4液位传感器校验</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1.液位显示校验；2.接线牢固；3.动作灵敏；</w:t>
                  </w: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4.5靶流开关安全试验</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1.安装正确；2.动作灵敏；3.接线牢固；4.不漏水；</w:t>
                  </w: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4.6故障报警安全试验</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1.报警显示校验；2.接线牢固；3.动作灵敏；</w:t>
                  </w: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4.7蒸汽电动阀</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1.执行器动作检查；2.不漏汽；3.动作正常；4.传动齿轮加油</w:t>
                  </w: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4.8水泵连锁</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1.动作正常；2.接线牢固</w:t>
                  </w: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4.9变频器</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1.电器保养；2.风机机械保养；3.风扇/散热片清灰；</w:t>
                  </w: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4.10溶液泵/冷剂泵</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1.摇表检测绝缘电阻≥5兆欧（每年一次）；2.接线牢固；</w:t>
                  </w: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4.11机组接地检查</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1.摇表检测机组接地电阻，≤10欧姆（每年一次）；</w:t>
                  </w:r>
                </w:p>
              </w:tc>
            </w:tr>
            <w:tr>
              <w:tc>
                <w:tcPr>
                  <w:tcW w:type="dxa" w:w="25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5.燃烧器检查与保养</w:t>
                  </w: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5.1燃烧情况检查</w:t>
                  </w:r>
                </w:p>
              </w:tc>
              <w:tc>
                <w:tcPr>
                  <w:tcW w:type="dxa" w:w="15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1.烟气分析（运行期间一次）；2.燃烧器风机运行有无异常振动及杂音，风门机构传动是否正常；3.有条件的观察燃气流量及压力，确定燃烧器是否在正常负荷工作；</w:t>
                  </w: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5.2燃烧器本体保养</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1.清除积灰、污垢；2.风机电机的电压及电流检测；2.接线牢固</w:t>
                  </w: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5.3阀组及燃烧器燃气管路检查</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检查各部件连接处是否有泄漏；</w:t>
                  </w: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5.4燃气（油）系统过滤器检查</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检查并清洗过滤器（主管路过滤器、油泵过滤器、喷咀过滤器）</w:t>
                  </w: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5.5传动机构保养检查</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1.清除钢带上的灰尘和水渍，防止生锈；2.检查风门及转动情况，进风口清灰处理；</w:t>
                  </w: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5.6燃气阀组/检漏仪检查</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检查燃气阀组</w:t>
                  </w:r>
                  <w:r>
                    <w:rPr>
                      <w:rFonts w:ascii="仿宋_GB2312" w:hAnsi="仿宋_GB2312" w:cs="仿宋_GB2312" w:eastAsia="仿宋_GB2312"/>
                      <w:sz w:val="21"/>
                      <w:color w:val="000000"/>
                    </w:rPr>
                    <w:t>/泄漏检测装置动作是否正常；</w:t>
                  </w: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5.7压力开关检查</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试验上、下压力超限动作是否正常；</w:t>
                  </w:r>
                </w:p>
              </w:tc>
            </w:tr>
          </w:tbl>
          <w:p>
            <w:pPr>
              <w:pStyle w:val="null3"/>
            </w:pPr>
            <w:r>
              <w:rPr>
                <w:rFonts w:ascii="仿宋_GB2312" w:hAnsi="仿宋_GB2312" w:cs="仿宋_GB2312" w:eastAsia="仿宋_GB2312"/>
                <w:sz w:val="21"/>
                <w:color w:val="000000"/>
              </w:rPr>
              <w:t>注：年维护保养适用于年度检修期间的综合维护保养，</w:t>
            </w:r>
            <w:r>
              <w:rPr>
                <w:rFonts w:ascii="仿宋_GB2312" w:hAnsi="仿宋_GB2312" w:cs="仿宋_GB2312" w:eastAsia="仿宋_GB2312"/>
                <w:sz w:val="21"/>
                <w:color w:val="000000"/>
              </w:rPr>
              <w:t>每</w:t>
            </w:r>
            <w:r>
              <w:rPr>
                <w:rFonts w:ascii="仿宋_GB2312" w:hAnsi="仿宋_GB2312" w:cs="仿宋_GB2312" w:eastAsia="仿宋_GB2312"/>
                <w:sz w:val="21"/>
                <w:color w:val="000000"/>
              </w:rPr>
              <w:t>年度至少实施一次。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color w:val="000000"/>
              </w:rPr>
              <w:t>（二）夏季制冷冷却循环系统（冷却塔等）维护</w:t>
            </w:r>
          </w:p>
          <w:p>
            <w:pPr>
              <w:pStyle w:val="null3"/>
              <w:jc w:val="left"/>
            </w:pPr>
            <w:r>
              <w:rPr>
                <w:rFonts w:ascii="仿宋_GB2312" w:hAnsi="仿宋_GB2312" w:cs="仿宋_GB2312" w:eastAsia="仿宋_GB2312"/>
                <w:sz w:val="21"/>
                <w:color w:val="000000"/>
              </w:rPr>
              <w:t>1.设备情况。冷却塔1座（清洗冷却塔布水器、填料及托盘），冷却循环水1套（主系统清洗、钝化、预膜及保养），冷却风扇系统2套。</w:t>
            </w:r>
          </w:p>
          <w:p>
            <w:pPr>
              <w:pStyle w:val="null3"/>
              <w:jc w:val="left"/>
            </w:pPr>
            <w:r>
              <w:rPr>
                <w:rFonts w:ascii="仿宋_GB2312" w:hAnsi="仿宋_GB2312" w:cs="仿宋_GB2312" w:eastAsia="仿宋_GB2312"/>
                <w:sz w:val="21"/>
                <w:color w:val="000000"/>
              </w:rPr>
              <w:t>2.服务标准及维护内容。</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1）检查冷却塔是否正常工作、联接螺栓、机脚螺栓有无松动锈蚀、对松动和锈蚀部分进行维护修理。</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2）检查管道、浮球阀及自动电动阀门运行有无故障是否有漏水现象、对损坏部件进行维修处理。</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3）检查播水盘喷嘴是否堵塞、清理淋水装置内的杂物。</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4）清理集水池内的污物。</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5）检查电机的防潮情况和叶旋转是否灵活，注润滑油检查并更换损坏的轴承风机，轴承保证经长时运行，风机和电机的轴承温度正常。</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6）检查水箱有无损伤和漏水现象、塔体、扶梯等维保杀菌灭藻并保持冷却塔的清理，浮球调节维修。</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7）检查齿轮传动装置并加注润滑油、对抽、轴承、咬合进行调整。</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8）对水系统管道应作除锈防锈处理有破损脱落处及时修补，有故障的阀门应拆修或换新、主管路阀门除锈、刷油漆、阀门加注黄油拆洗“Y”型过滤器维护保养。</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9）集水盘维护维护、塔体、扶梯等保养杀菌灭藻并保持冷却塔的清洁、集水盘维护维修、集水盘防腐蚀托盘淤泥杂物清理，填枓清洗灭减少污垢附着，布水器维护保保养，消音棉更换及维护。</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10）其他与之关联影响系统正常工作的部件、设备等。</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color w:val="000000"/>
              </w:rPr>
              <w:t>（三）电机水泵维护</w:t>
            </w:r>
          </w:p>
          <w:p>
            <w:pPr>
              <w:pStyle w:val="null3"/>
              <w:jc w:val="both"/>
            </w:pPr>
            <w:r>
              <w:rPr>
                <w:rFonts w:ascii="仿宋_GB2312" w:hAnsi="仿宋_GB2312" w:cs="仿宋_GB2312" w:eastAsia="仿宋_GB2312"/>
                <w:sz w:val="21"/>
                <w:color w:val="000000"/>
              </w:rPr>
              <w:t>1.设备情况。电机4台（隔爆型三相异步电动机），水泵4台，机房配电柜及变频柜（3个ABB继电开关）。</w:t>
            </w:r>
          </w:p>
          <w:p>
            <w:pPr>
              <w:pStyle w:val="null3"/>
              <w:jc w:val="both"/>
            </w:pPr>
            <w:r>
              <w:rPr>
                <w:rFonts w:ascii="仿宋_GB2312" w:hAnsi="仿宋_GB2312" w:cs="仿宋_GB2312" w:eastAsia="仿宋_GB2312"/>
                <w:sz w:val="21"/>
                <w:color w:val="000000"/>
              </w:rPr>
              <w:t>2.服务</w:t>
            </w:r>
            <w:r>
              <w:rPr>
                <w:rFonts w:ascii="仿宋_GB2312" w:hAnsi="仿宋_GB2312" w:cs="仿宋_GB2312" w:eastAsia="仿宋_GB2312"/>
                <w:sz w:val="21"/>
                <w:color w:val="000000"/>
              </w:rPr>
              <w:t>标准</w:t>
            </w:r>
            <w:r>
              <w:rPr>
                <w:rFonts w:ascii="仿宋_GB2312" w:hAnsi="仿宋_GB2312" w:cs="仿宋_GB2312" w:eastAsia="仿宋_GB2312"/>
                <w:sz w:val="21"/>
                <w:color w:val="000000"/>
              </w:rPr>
              <w:t>及维护内容。</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电机水泵组成、检查电机轴承有无阻滞现象，如有则应加润滑油，如加润滑油后仍不行则应更换同型号规格的轴承。检查电动机风叶有无擦壳现象、如有则应修整处理水泵维护转动水泵轴、观察是否有阻滞碰撞卡住现象、如是轴承问题则对轴承加注润油或更轴承，如是水泵叶轮问题则应拆除维修水泵有无损坏。</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2）清洗水泵机组外壳，如脱漆或绣蚀严重，则应重新油漆一遍。</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3）其他应维护的部件、设备等。</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1"/>
                <w:color w:val="000000"/>
              </w:rPr>
              <w:t>（四）中央空调及新风系统末端系统维护</w:t>
            </w:r>
          </w:p>
          <w:p>
            <w:pPr>
              <w:pStyle w:val="null3"/>
              <w:jc w:val="left"/>
            </w:pPr>
            <w:r>
              <w:rPr>
                <w:rFonts w:ascii="仿宋_GB2312" w:hAnsi="仿宋_GB2312" w:cs="仿宋_GB2312" w:eastAsia="仿宋_GB2312"/>
                <w:sz w:val="21"/>
                <w:color w:val="000000"/>
              </w:rPr>
              <w:t>1.设备情况。中央空调末端系统（中央空调管道及四面下出风口78个，侧面出风口82个），22台新风机系统和风机盘管的送风口104个。</w:t>
            </w:r>
          </w:p>
          <w:p>
            <w:pPr>
              <w:pStyle w:val="null3"/>
              <w:jc w:val="left"/>
            </w:pPr>
            <w:r>
              <w:rPr>
                <w:rFonts w:ascii="仿宋_GB2312" w:hAnsi="仿宋_GB2312" w:cs="仿宋_GB2312" w:eastAsia="仿宋_GB2312"/>
                <w:sz w:val="21"/>
                <w:color w:val="000000"/>
              </w:rPr>
              <w:t>2.服务标准。</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检查性维护保养。基于设备运行情况和中心需求，进行各类常规检查，空调运行期间每月一次现场巡查，查看是否存在制冷、制热效果差问题，提出解决方案；对设备运行存在的问题提供专业意见和维保方案。</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预防性维护保养。每半年拆卸并清洗一次中央空调四面下出风口和侧面出风口；每年清洗换热器铜管、分析和更换冷冻机油、油滤芯、干燥过滤器等；常规检查和紧急故障处理，在设备故障时，负责全部维修工作和500元以下所有单价零部件的更换；如有超出单价部分的配件需要更换则上报给采购人另行协商。</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3）紧急性维修。根据需求，24小时提供紧急维修服务，保证2小时内应急响应，最大限度调配专业维修人员快速排除故障，确保最短停机时间。  </w:t>
            </w:r>
          </w:p>
          <w:p>
            <w:pPr>
              <w:pStyle w:val="null3"/>
              <w:jc w:val="left"/>
            </w:pPr>
            <w:r>
              <w:rPr>
                <w:rFonts w:ascii="仿宋_GB2312" w:hAnsi="仿宋_GB2312" w:cs="仿宋_GB2312" w:eastAsia="仿宋_GB2312"/>
                <w:sz w:val="21"/>
                <w:color w:val="000000"/>
              </w:rPr>
              <w:t>3.维护内容。空调末端系统工作时间内，每月不少于1次巡查，发现问题及时处理。</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新风机管网维护内容。巡查管道有无跑、冒、滴、漏现象，发现及时处理；检查管路保温有无开裂滴水现象，发现开裂及时修补；检查阀门锈蚀与破损情况，阀门螺栓紧固、阀杆加注润滑油；检查保温接头有无渗漏，发现及时修补；检查阀门开启、关闭是否灵活；金属管道外露部分和管道支架除锈刷防腐漆；通往室外的风管是否保持坡度，以防雨水倒灌；检查过滤器的密封及渗漏情况；检查进风、送风风阀是否在开启状态；检查机内有无其他异常情况，内板装好后是否密封；清洁风机外观、冷凝水盘及畅通冷凝水管；检查各接线头是否牢固，是否有过热痕迹，如是则作相应整修；检查室内送风管中隔音材料是否有脱落或开裂，以减少送风口的运转噪音；其他应维护的部件、设备等。</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风机盘管系统维护内容。检查风机盘管出风口温度，发现温度异常应及时查找原因并修复；检查托水盘有无倒坡，发现有排水不畅立即修复；检查管路、风机盘管保温是否完好，有无结露现象；检查风机运转声音是否正常，测量出风口风量有无变化；清洗检查回风口空气过滤网, 保障通风畅通、过滤网完好；清洁出风口表面灰尘、清洁电机叶片灰尘；检查冷冻水进出口阀门、清洗除污器管过滤网；清洗消毒回风口空气过滤网，保障通风畅通、杀菌合格；清扫电路板灰尘；新风系统定期检查新风机接线，及时解决安全隐患；每6个月检查系统并调节风量，排除隐患，保障新风效果；其他应维护的部件、设备等。</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sz w:val="21"/>
                <w:color w:val="000000"/>
              </w:rPr>
              <w:t>三、</w:t>
            </w:r>
            <w:r>
              <w:rPr>
                <w:rFonts w:ascii="仿宋_GB2312" w:hAnsi="仿宋_GB2312" w:cs="仿宋_GB2312" w:eastAsia="仿宋_GB2312"/>
                <w:sz w:val="21"/>
                <w:color w:val="000000"/>
              </w:rPr>
              <w:t>项目人员管理要求</w:t>
            </w:r>
          </w:p>
          <w:p>
            <w:pPr>
              <w:pStyle w:val="null3"/>
              <w:jc w:val="left"/>
            </w:pPr>
            <w:r>
              <w:rPr>
                <w:rFonts w:ascii="仿宋_GB2312" w:hAnsi="仿宋_GB2312" w:cs="仿宋_GB2312" w:eastAsia="仿宋_GB2312"/>
                <w:sz w:val="21"/>
                <w:color w:val="000000"/>
              </w:rPr>
              <w:t>1.供应商维保工作人员在现场作业时，应遵守采购人的相关制度和作业安全规定。</w:t>
            </w:r>
          </w:p>
          <w:p>
            <w:pPr>
              <w:pStyle w:val="null3"/>
              <w:jc w:val="left"/>
            </w:pPr>
            <w:r>
              <w:rPr>
                <w:rFonts w:ascii="仿宋_GB2312" w:hAnsi="仿宋_GB2312" w:cs="仿宋_GB2312" w:eastAsia="仿宋_GB2312"/>
                <w:sz w:val="21"/>
                <w:color w:val="000000"/>
              </w:rPr>
              <w:t>2.供应商维护不当，产生对采购人工作人员人身、财产损失，应当由供应商承担包括但不限于医疗费、财产损失费等全部费用。</w:t>
            </w:r>
          </w:p>
          <w:p>
            <w:pPr>
              <w:pStyle w:val="null3"/>
              <w:jc w:val="left"/>
            </w:pPr>
            <w:r>
              <w:rPr>
                <w:rFonts w:ascii="仿宋_GB2312" w:hAnsi="仿宋_GB2312" w:cs="仿宋_GB2312" w:eastAsia="仿宋_GB2312"/>
                <w:sz w:val="21"/>
                <w:color w:val="000000"/>
              </w:rPr>
              <w:t>3.供应商提供服务期间或供应商工作人员（包括供应商以各种用工方式委派到采购人的作业人员）作业过程中，发生的供应商及供应商工作人员人身、财产损害事故的，均由供应商自行承担全部责任。</w:t>
            </w:r>
          </w:p>
          <w:p>
            <w:pPr>
              <w:pStyle w:val="null3"/>
            </w:pPr>
            <w:r>
              <w:rPr>
                <w:rFonts w:ascii="仿宋_GB2312" w:hAnsi="仿宋_GB2312" w:cs="仿宋_GB2312" w:eastAsia="仿宋_GB2312"/>
                <w:sz w:val="21"/>
                <w:color w:val="000000"/>
              </w:rPr>
              <w:t>4.供应商负责对高空作业配备相应的安全保障措施，供应商负责维保工作人员作业过程中的一切安全保障义务，因作业过程造成的一切人员伤亡和财产损失，概由供应商全部承担，给采购人造成损失的，由供应商全额赔偿。</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sz w:val="21"/>
                <w:color w:val="000000"/>
              </w:rPr>
              <w:t>四、保密要求</w:t>
            </w:r>
          </w:p>
          <w:p>
            <w:pPr>
              <w:pStyle w:val="null3"/>
            </w:pPr>
            <w:r>
              <w:rPr>
                <w:rFonts w:ascii="仿宋_GB2312" w:hAnsi="仿宋_GB2312" w:cs="仿宋_GB2312" w:eastAsia="仿宋_GB2312"/>
                <w:sz w:val="21"/>
                <w:color w:val="000000"/>
              </w:rPr>
              <w:t>项目实施过程中所收集、产生的所有与本项目相关的文档、资料，包括文字、图片、表格、数字等各种形式的所属权均归属省中心，供应商必须对所涉及的内容保密，供应商及服务人员应按照要求签署保密协议。</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color w:val="000000"/>
              </w:rPr>
              <w:t>五、付款方式</w:t>
            </w:r>
          </w:p>
          <w:p>
            <w:pPr>
              <w:pStyle w:val="null3"/>
              <w:jc w:val="left"/>
            </w:pPr>
            <w:r>
              <w:rPr>
                <w:rFonts w:ascii="仿宋_GB2312" w:hAnsi="仿宋_GB2312" w:cs="仿宋_GB2312" w:eastAsia="仿宋_GB2312"/>
                <w:sz w:val="21"/>
                <w:color w:val="000000"/>
              </w:rPr>
              <w:t>（一）合同签订生效并进入服务期后按月支付服务费，供应商按照合同约定每月完成服务并提交服务报告，经采购人审核后</w:t>
            </w:r>
            <w:r>
              <w:rPr>
                <w:rFonts w:ascii="仿宋_GB2312" w:hAnsi="仿宋_GB2312" w:cs="仿宋_GB2312" w:eastAsia="仿宋_GB2312"/>
                <w:sz w:val="21"/>
                <w:color w:val="000000"/>
              </w:rPr>
              <w:t>10个工作日内支付上月服务费；26年12月申请年度最后一次支付时，供应商需提供剩余款项的有效银行保函，采购人一次性支付剩余款项，待到项目验收通过后中心退还保函。</w:t>
            </w:r>
          </w:p>
          <w:p>
            <w:pPr>
              <w:pStyle w:val="null3"/>
              <w:jc w:val="left"/>
            </w:pPr>
            <w:r>
              <w:rPr>
                <w:rFonts w:ascii="仿宋_GB2312" w:hAnsi="仿宋_GB2312" w:cs="仿宋_GB2312" w:eastAsia="仿宋_GB2312"/>
                <w:sz w:val="21"/>
                <w:color w:val="000000"/>
              </w:rPr>
              <w:t>（二）服务期间服务总费用不变，采购人无须另向服务单位支付合同约定之外的其它任何费用。</w:t>
            </w:r>
          </w:p>
          <w:p>
            <w:pPr>
              <w:pStyle w:val="null3"/>
              <w:jc w:val="left"/>
            </w:pPr>
            <w:r>
              <w:rPr>
                <w:rFonts w:ascii="仿宋_GB2312" w:hAnsi="仿宋_GB2312" w:cs="仿宋_GB2312" w:eastAsia="仿宋_GB2312"/>
                <w:sz w:val="21"/>
                <w:color w:val="000000"/>
              </w:rPr>
              <w:t>（三）供应商须向采购人出具合法有效的发票，采购人进行支付结算。首次支付时供应商应开具全额发票。</w:t>
            </w:r>
          </w:p>
          <w:p>
            <w:pPr>
              <w:pStyle w:val="null3"/>
            </w:pPr>
            <w:r>
              <w:rPr>
                <w:rFonts w:ascii="仿宋_GB2312" w:hAnsi="仿宋_GB2312" w:cs="仿宋_GB2312" w:eastAsia="仿宋_GB2312"/>
                <w:sz w:val="21"/>
                <w:color w:val="000000"/>
              </w:rPr>
              <w:t>（四）结算方式：银行转账。</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服务期：2026年8月20日至2027年8月19日。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陕西省高速公路收费中心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进度款，合同签订生效并进入服务期后按月支付服务费（供应商须向采购人出具合法有效的发票，采购人进行支付结算。首次支付时供应商应开具全额发票）； 服务期第二个月，供应商按照合同约定每月完成服务并提交服务报告，经采购人审核后，达到付款条件起10个工作日内，支付合同总金额的8.33%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进度款，服务期第三个月，供应商按照合同约定每月完成服务并提交服务报告，经采购人审核后，达到付款条件起10个工作日内，支付合同总金额的8.33%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进度款，服务期第四个月，供应商按照合同约定每月完成服务并提交服务报告，经采购人审核后，达到付款条件起10个工作日内，支付合同总金额的8.33%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其他，服务期第五个月，2026年12月申请年度最后一次支付时，供应商需提供剩余款项的有效银行保函，达到付款条件起10个工作日内，支付合同总金额的75.01%</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二）未按合同要求的提供服务或质量不能满足技术要求，采购人有权终止合同，甚至对供方违约行为进行追究。（三）如有纠纷，双方友好协商解决，协商不成时可诉讼到甲方所在地人民法院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⑥陕西省财政厅关于印发《陕西省中小企业政府采购信用融资办法》（陕财办采〔2018〕23号）； ⑦《关于进一步加大政府采购支持中小企业力度的通知》（财库〔2022〕19号）； ⑧《关于扩大政府采购支持绿色建材促进建筑品质提升政策实施范围的通知》（财库〔2022〕35号）； ⑨《关于推动解决政府采购异常低价问题的通知》财库〔2026〕2号； ⑩《国务院办公厅关于在政府采购中实施本国产品标准及相关政策的通知》国办发〔2025〕34号；（不适用） ⑪若享受以上政策优惠的企业，提供相应声明函或品目范围内产品有效认证证书。如有最新颁布的政府采购政策，按最新的文件执行。 2、保证金的退还：自成交通知书发出之日起5个工作日内退还未成交供应商的磋商保证金,自采购合同签订之日起5个工作日内退还成交供应商的磋商保证金。合同签订后，成交供应商需将合同扫描件发送至指定联系人邮箱，邮箱地址为1347072385@qq.com，并以邮件接收时间为退付的基准时间。 3、磋商文件中所有的商务要求均为实质性要求，供应商必须响应并满足。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其他说明.docx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 供应商资格条件证明文件.docx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行为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法定代表人授权书及被授权人身份证复印件。（法定代表人直接磋商只须提交其身份证明书）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本项目为专门面向中、小、微型企业采购项目</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响应文件封面 分项报价表.docx 商务应答表 服务内容及服务要求应答表 标的清单 报价表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分项报价表.docx 中小企业声明函 残疾人福利性单位声明函 商务应答表 服务内容及服务要求应答表 标的清单 报价表 响应函 其他说明.docx 监狱企业的证明文件 供应商资格条件证明文件.docx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采购需求，对本项目所有维保及维修内容制定科学合理的服务方案，内容包括但不限于：①总体服务方案；②维保进度计划与措施；③日常和定期维护、保养、检修；④维保质量管理体系与措施；⑤安全文明维保措施 评审标准：方案各部分内容全面详细、阐述条例清晰详尽、符合本项目采购需求，能保障本项目实施得25分；评审内容每缺一项扣4分，评审内容每有一处缺陷未完全响应评审标准的扣1分，扣完为止，未提供不得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1详细评审--服务方案.docx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日常巡检方案</w:t>
            </w:r>
          </w:p>
        </w:tc>
        <w:tc>
          <w:tcPr>
            <w:tcW w:type="dxa" w:w="2492"/>
          </w:tcPr>
          <w:p>
            <w:pPr>
              <w:pStyle w:val="null3"/>
            </w:pPr>
            <w:r>
              <w:rPr>
                <w:rFonts w:ascii="仿宋_GB2312" w:hAnsi="仿宋_GB2312" w:cs="仿宋_GB2312" w:eastAsia="仿宋_GB2312"/>
              </w:rPr>
              <w:t>根据采购需求，对本项目所有维保及维修内容制定科学合理的日常巡检方案，内容包括但不限于：①巡检范围与周期；②核心巡检内容；③问题整改机制 评审标准：方案各部分内容全面详细、阐述条例清晰详尽、符合本项目采购需求，能保障本项目实施得12分；评审内容每缺一项扣4分，评审内容每有一处缺陷未完全响应评审标准的扣1分，扣完为止，未提供不得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2详细评审--日常巡检方案.docx</w:t>
            </w:r>
          </w:p>
        </w:tc>
      </w:tr>
      <w:tr>
        <w:tc>
          <w:tcPr>
            <w:tcW w:type="dxa" w:w="831"/>
            <w:vMerge/>
          </w:tcPr>
          <w:p/>
        </w:tc>
        <w:tc>
          <w:tcPr>
            <w:tcW w:type="dxa" w:w="1661"/>
          </w:tcPr>
          <w:p>
            <w:pPr>
              <w:pStyle w:val="null3"/>
            </w:pPr>
            <w:r>
              <w:rPr>
                <w:rFonts w:ascii="仿宋_GB2312" w:hAnsi="仿宋_GB2312" w:cs="仿宋_GB2312" w:eastAsia="仿宋_GB2312"/>
              </w:rPr>
              <w:t>专项检修服务</w:t>
            </w:r>
          </w:p>
        </w:tc>
        <w:tc>
          <w:tcPr>
            <w:tcW w:type="dxa" w:w="2492"/>
          </w:tcPr>
          <w:p>
            <w:pPr>
              <w:pStyle w:val="null3"/>
            </w:pPr>
            <w:r>
              <w:rPr>
                <w:rFonts w:ascii="仿宋_GB2312" w:hAnsi="仿宋_GB2312" w:cs="仿宋_GB2312" w:eastAsia="仿宋_GB2312"/>
              </w:rPr>
              <w:t>根据采购需求，对本项目专项检修服务方案，内容包括但不限于：①季节性启停检修服务；②故障专项检修服务；③对运行年限较长或性能下降明显的设备，开展大修服务（提供承诺函） 评审标准：方案各部分内容全面详细、阐述条例清晰详尽、符合本项目采购需求，能保障本项目实施得12分；评审内容每缺一项扣4分，评审内容每有一处缺陷未完全响应评审标准的扣1分，扣完为止，未提供不得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3详细评审--专项检修服务.docx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根据供应商针对本项目提供的服务质量保证措施进行评审：服务质量保证措施完整，内容科学合理、满足项目要求，合理性、针对性强得6分；服务质量保证措施完整，内容基本可行，但合理性、针对性稍有欠缺的得3分；评审内容缺陷未完全响应评审标准的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4详细评审--服务质量保证措施.docx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1、项目经理具备《制冷与空调设备安装修理作业》证书，计2分。 注：提供人员等级证书/资格证复印件及供应商为以上人员缴纳的近6个月任意一个月的社保证明或劳动合同，未提供或提供不全不计分。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5详细评审--项目经理.docx</w:t>
            </w:r>
          </w:p>
        </w:tc>
      </w:tr>
      <w:tr>
        <w:tc>
          <w:tcPr>
            <w:tcW w:type="dxa" w:w="831"/>
            <w:vMerge/>
          </w:tcPr>
          <w:p/>
        </w:tc>
        <w:tc>
          <w:tcPr>
            <w:tcW w:type="dxa" w:w="1661"/>
          </w:tcPr>
          <w:p>
            <w:pPr>
              <w:pStyle w:val="null3"/>
            </w:pPr>
            <w:r>
              <w:rPr>
                <w:rFonts w:ascii="仿宋_GB2312" w:hAnsi="仿宋_GB2312" w:cs="仿宋_GB2312" w:eastAsia="仿宋_GB2312"/>
              </w:rPr>
              <w:t>项目成员配备</w:t>
            </w:r>
          </w:p>
        </w:tc>
        <w:tc>
          <w:tcPr>
            <w:tcW w:type="dxa" w:w="2492"/>
          </w:tcPr>
          <w:p>
            <w:pPr>
              <w:pStyle w:val="null3"/>
            </w:pPr>
            <w:r>
              <w:rPr>
                <w:rFonts w:ascii="仿宋_GB2312" w:hAnsi="仿宋_GB2312" w:cs="仿宋_GB2312" w:eastAsia="仿宋_GB2312"/>
              </w:rPr>
              <w:t>供应商针对本项目提供组织机构设置及人员配备方案，包括：①人员岗位职责、分工及工作内容；②组织机构框架；满分6分，每有一项缺项扣3分，每有一项内容中有1处缺陷，指项目需求不匹配或不能满足项目实施要求及其他不利于项目实施的扣1分，扣完为止，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6详细评审--项目成员配备.docx</w:t>
            </w:r>
          </w:p>
        </w:tc>
      </w:tr>
      <w:tr>
        <w:tc>
          <w:tcPr>
            <w:tcW w:type="dxa" w:w="831"/>
            <w:vMerge/>
          </w:tcPr>
          <w:p/>
        </w:tc>
        <w:tc>
          <w:tcPr>
            <w:tcW w:type="dxa" w:w="1661"/>
          </w:tcPr>
          <w:p>
            <w:pPr>
              <w:pStyle w:val="null3"/>
            </w:pPr>
            <w:r>
              <w:rPr>
                <w:rFonts w:ascii="仿宋_GB2312" w:hAnsi="仿宋_GB2312" w:cs="仿宋_GB2312" w:eastAsia="仿宋_GB2312"/>
              </w:rPr>
              <w:t>备品备件</w:t>
            </w:r>
          </w:p>
        </w:tc>
        <w:tc>
          <w:tcPr>
            <w:tcW w:type="dxa" w:w="2492"/>
          </w:tcPr>
          <w:p>
            <w:pPr>
              <w:pStyle w:val="null3"/>
            </w:pPr>
            <w:r>
              <w:rPr>
                <w:rFonts w:ascii="仿宋_GB2312" w:hAnsi="仿宋_GB2312" w:cs="仿宋_GB2312" w:eastAsia="仿宋_GB2312"/>
              </w:rPr>
              <w:t>供应商提供的所有维修备件库存充足有保障，货源渠道正规，均应符合行业标准且能够与原设备配套兼容，提供承诺函格式自拟，内容齐全的得2分，未提供或提供不全的不得分。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7详细评审--备品备件.docx</w:t>
            </w:r>
          </w:p>
        </w:tc>
      </w:tr>
      <w:tr>
        <w:tc>
          <w:tcPr>
            <w:tcW w:type="dxa" w:w="831"/>
            <w:vMerge/>
          </w:tcPr>
          <w:p/>
        </w:tc>
        <w:tc>
          <w:tcPr>
            <w:tcW w:type="dxa" w:w="1661"/>
          </w:tcPr>
          <w:p>
            <w:pPr>
              <w:pStyle w:val="null3"/>
            </w:pPr>
            <w:r>
              <w:rPr>
                <w:rFonts w:ascii="仿宋_GB2312" w:hAnsi="仿宋_GB2312" w:cs="仿宋_GB2312" w:eastAsia="仿宋_GB2312"/>
              </w:rPr>
              <w:t>应急处置预案</w:t>
            </w:r>
          </w:p>
        </w:tc>
        <w:tc>
          <w:tcPr>
            <w:tcW w:type="dxa" w:w="2492"/>
          </w:tcPr>
          <w:p>
            <w:pPr>
              <w:pStyle w:val="null3"/>
            </w:pPr>
            <w:r>
              <w:rPr>
                <w:rFonts w:ascii="仿宋_GB2312" w:hAnsi="仿宋_GB2312" w:cs="仿宋_GB2312" w:eastAsia="仿宋_GB2312"/>
              </w:rPr>
              <w:t>供应商提供针对本项目的应急处置预案内容包括但不限于：①常见应急场景及处置措施；②应急保障预案 评审标准：方案各部分内容全面详细、阐述条例清晰详尽、符合本项目采购需求，能保障本项目实施得6分；评审内容每缺一项扣3分，评审内容每有一处缺陷未完全响应评审标准的扣1分，扣完为止，未提供不得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8详细评审--应急处置预案.docx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供应商需具备《中国设备维修安装企业能力等级证书》制冷空调A类（集中式制冷空调设备维修安装）或D类（家用/商用制冷空调设备维修安装）专业维保资质的，计2分。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9详细评审--企业实力.docx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提供投标人2023年6月1日至今（以合同签订日期为准）同类项目完整合同，每提供1个计1分，最高得3分，提供不全不计分。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10详细评审--业绩.docx</w:t>
            </w:r>
          </w:p>
        </w:tc>
      </w:tr>
      <w:tr>
        <w:tc>
          <w:tcPr>
            <w:tcW w:type="dxa" w:w="831"/>
            <w:vMerge/>
          </w:tcPr>
          <w:p/>
        </w:tc>
        <w:tc>
          <w:tcPr>
            <w:tcW w:type="dxa" w:w="1661"/>
          </w:tcPr>
          <w:p>
            <w:pPr>
              <w:pStyle w:val="null3"/>
            </w:pPr>
            <w:r>
              <w:rPr>
                <w:rFonts w:ascii="仿宋_GB2312" w:hAnsi="仿宋_GB2312" w:cs="仿宋_GB2312" w:eastAsia="仿宋_GB2312"/>
              </w:rPr>
              <w:t>维保设备</w:t>
            </w:r>
          </w:p>
        </w:tc>
        <w:tc>
          <w:tcPr>
            <w:tcW w:type="dxa" w:w="2492"/>
          </w:tcPr>
          <w:p>
            <w:pPr>
              <w:pStyle w:val="null3"/>
            </w:pPr>
            <w:r>
              <w:rPr>
                <w:rFonts w:ascii="仿宋_GB2312" w:hAnsi="仿宋_GB2312" w:cs="仿宋_GB2312" w:eastAsia="仿宋_GB2312"/>
              </w:rPr>
              <w:t>根据供应商针对本项目维保服务所配备的设备情况，（包含拟投入得维保工具、仪器仪表、检测设备清单等）进行评审：设备齐全、功能完全满足本项目要求得的得4分；设备基本齐全、能基本满足本项目要求的得2分；设备不全、不能满足本项目维保需要的得1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11详细评审--维保设备.docx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其他说明.docx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价格分统一采用低价优先法计算，即满足磋商文件要求且磋商价格最低的为磋商基准价，其价格分为满分。其他供应商的价格分统一按照下列公式计算： 报价得分=(磋商基准价／磋商报价)×20 计算分数时四舍五入取小数点后两位 注：评审委员会认为供应商的报价明显低于其他通过符合性审查供应商的报价，有可能影响产品质量或者不能诚信履约的，应当要求其在评审现场合理的时间内提供书面说明，必要时提交相关证明材料；供应商不能证明其报价合理性的，评审委员会应当将其作为无效磋商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详见附件：1详细评审--服务方案.docx</w:t>
      </w:r>
    </w:p>
    <w:p>
      <w:pPr>
        <w:pStyle w:val="null3"/>
        <w:ind w:firstLine="960"/>
      </w:pPr>
      <w:r>
        <w:rPr>
          <w:rFonts w:ascii="仿宋_GB2312" w:hAnsi="仿宋_GB2312" w:cs="仿宋_GB2312" w:eastAsia="仿宋_GB2312"/>
        </w:rPr>
        <w:t>详见附件：2详细评审--日常巡检方案.docx</w:t>
      </w:r>
    </w:p>
    <w:p>
      <w:pPr>
        <w:pStyle w:val="null3"/>
        <w:ind w:firstLine="960"/>
      </w:pPr>
      <w:r>
        <w:rPr>
          <w:rFonts w:ascii="仿宋_GB2312" w:hAnsi="仿宋_GB2312" w:cs="仿宋_GB2312" w:eastAsia="仿宋_GB2312"/>
        </w:rPr>
        <w:t>详见附件：3详细评审--专项检修服务.docx</w:t>
      </w:r>
    </w:p>
    <w:p>
      <w:pPr>
        <w:pStyle w:val="null3"/>
        <w:ind w:firstLine="960"/>
      </w:pPr>
      <w:r>
        <w:rPr>
          <w:rFonts w:ascii="仿宋_GB2312" w:hAnsi="仿宋_GB2312" w:cs="仿宋_GB2312" w:eastAsia="仿宋_GB2312"/>
        </w:rPr>
        <w:t>详见附件：4详细评审--服务质量保证措施.docx</w:t>
      </w:r>
    </w:p>
    <w:p>
      <w:pPr>
        <w:pStyle w:val="null3"/>
        <w:ind w:firstLine="960"/>
      </w:pPr>
      <w:r>
        <w:rPr>
          <w:rFonts w:ascii="仿宋_GB2312" w:hAnsi="仿宋_GB2312" w:cs="仿宋_GB2312" w:eastAsia="仿宋_GB2312"/>
        </w:rPr>
        <w:t>详见附件：5详细评审--项目经理.docx</w:t>
      </w:r>
    </w:p>
    <w:p>
      <w:pPr>
        <w:pStyle w:val="null3"/>
        <w:ind w:firstLine="960"/>
      </w:pPr>
      <w:r>
        <w:rPr>
          <w:rFonts w:ascii="仿宋_GB2312" w:hAnsi="仿宋_GB2312" w:cs="仿宋_GB2312" w:eastAsia="仿宋_GB2312"/>
        </w:rPr>
        <w:t>详见附件：6详细评审--项目成员配备.docx</w:t>
      </w:r>
    </w:p>
    <w:p>
      <w:pPr>
        <w:pStyle w:val="null3"/>
        <w:ind w:firstLine="960"/>
      </w:pPr>
      <w:r>
        <w:rPr>
          <w:rFonts w:ascii="仿宋_GB2312" w:hAnsi="仿宋_GB2312" w:cs="仿宋_GB2312" w:eastAsia="仿宋_GB2312"/>
        </w:rPr>
        <w:t>详见附件：7详细评审--备品备件.docx</w:t>
      </w:r>
    </w:p>
    <w:p>
      <w:pPr>
        <w:pStyle w:val="null3"/>
        <w:ind w:firstLine="960"/>
      </w:pPr>
      <w:r>
        <w:rPr>
          <w:rFonts w:ascii="仿宋_GB2312" w:hAnsi="仿宋_GB2312" w:cs="仿宋_GB2312" w:eastAsia="仿宋_GB2312"/>
        </w:rPr>
        <w:t>详见附件：8详细评审--应急处置预案.docx</w:t>
      </w:r>
    </w:p>
    <w:p>
      <w:pPr>
        <w:pStyle w:val="null3"/>
        <w:ind w:firstLine="960"/>
      </w:pPr>
      <w:r>
        <w:rPr>
          <w:rFonts w:ascii="仿宋_GB2312" w:hAnsi="仿宋_GB2312" w:cs="仿宋_GB2312" w:eastAsia="仿宋_GB2312"/>
        </w:rPr>
        <w:t>详见附件：9详细评审--企业实力.docx</w:t>
      </w:r>
    </w:p>
    <w:p>
      <w:pPr>
        <w:pStyle w:val="null3"/>
        <w:ind w:firstLine="960"/>
      </w:pPr>
      <w:r>
        <w:rPr>
          <w:rFonts w:ascii="仿宋_GB2312" w:hAnsi="仿宋_GB2312" w:cs="仿宋_GB2312" w:eastAsia="仿宋_GB2312"/>
        </w:rPr>
        <w:t>详见附件：10详细评审--业绩.docx</w:t>
      </w:r>
    </w:p>
    <w:p>
      <w:pPr>
        <w:pStyle w:val="null3"/>
        <w:ind w:firstLine="960"/>
      </w:pPr>
      <w:r>
        <w:rPr>
          <w:rFonts w:ascii="仿宋_GB2312" w:hAnsi="仿宋_GB2312" w:cs="仿宋_GB2312" w:eastAsia="仿宋_GB2312"/>
        </w:rPr>
        <w:t>详见附件：11详细评审--维保设备.docx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