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版本号：ZXZB-CG2026-22620260717003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信息化硬件设备采购项目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ZXZB-CG2026-226</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信息化硬件设备采购项目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信息化硬件设备采购项目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4、有依法缴纳税收的良好记录：提供2025年8月至今已缴纳的至少一个月的纳税证明或完税证明，依法免税的单位应提供相关证明材料。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7、法定代表人（主要负责人）授权委托书/身份证明：法定代表人（主要负责人）参与投标时，提供法定代表人（主要负责人）身份证明；授权代表参与投标时，提供法定代表人（主要负责人）授权委托书。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孔仙、贾雅楠、谢圆圆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开户银行：中国民生银行股份有限公司西安长乐路支行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 号）收费标准下浮45%。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按照采购文件、国家及行业现行标准执行。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w:t>
      </w:r>
    </w:p>
    <w:p>
      <w:pPr>
        <w:pStyle w:val="null3"/>
      </w:pPr>
      <w:r>
        <w:rPr>
          <w:rFonts w:ascii="仿宋_GB2312" w:hAnsi="仿宋_GB2312" w:cs="仿宋_GB2312" w:eastAsia="仿宋_GB2312"/>
        </w:rPr>
        <w:t>联系电话：029-87216602</w:t>
      </w:r>
    </w:p>
    <w:p>
      <w:pPr>
        <w:pStyle w:val="null3"/>
      </w:pPr>
      <w:r>
        <w:rPr>
          <w:rFonts w:ascii="仿宋_GB2312" w:hAnsi="仿宋_GB2312" w:cs="仿宋_GB2312" w:eastAsia="仿宋_GB2312"/>
        </w:rPr>
        <w:t>地址：西安市碑林区和平路71号综合楼5楼505室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4,300,000.00</w:t>
      </w:r>
    </w:p>
    <w:p>
      <w:pPr>
        <w:pStyle w:val="null3"/>
      </w:pPr>
      <w:r>
        <w:rPr>
          <w:rFonts w:ascii="仿宋_GB2312" w:hAnsi="仿宋_GB2312" w:cs="仿宋_GB2312" w:eastAsia="仿宋_GB2312"/>
        </w:rPr>
        <w:t>采购包最高限价（元）: 4,300,000.00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信息化硬件设备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标的名称：信息化硬件设备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58"/>
              <w:gridCol w:w="918"/>
              <w:gridCol w:w="638"/>
              <w:gridCol w:w="638"/>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服务器（核心产品）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超融合交换设备</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bl>
          <w:p>
            <w:pPr>
              <w:pStyle w:val="null3"/>
            </w:pPr>
            <w:r>
              <w:rPr>
                <w:rFonts w:ascii="仿宋_GB2312" w:hAnsi="仿宋_GB2312" w:cs="仿宋_GB2312" w:eastAsia="仿宋_GB2312"/>
              </w:rPr>
              <w:t>二、详细参数：</w:t>
            </w:r>
          </w:p>
          <w:p>
            <w:pPr>
              <w:pStyle w:val="null3"/>
            </w:pPr>
            <w:r>
              <w:rPr>
                <w:rFonts w:ascii="仿宋_GB2312" w:hAnsi="仿宋_GB2312" w:cs="仿宋_GB2312" w:eastAsia="仿宋_GB2312"/>
              </w:rPr>
              <w:t>1.服务器:</w:t>
            </w:r>
          </w:p>
          <w:p>
            <w:pPr>
              <w:pStyle w:val="null3"/>
            </w:pPr>
            <w:r>
              <w:rPr>
                <w:rFonts w:ascii="仿宋_GB2312" w:hAnsi="仿宋_GB2312" w:cs="仿宋_GB2312" w:eastAsia="仿宋_GB2312"/>
              </w:rPr>
              <w:t>（1）CPU：支持国产C86 CPU，≥2颗，单颗核数≥48核，主频≥2.6GHz。</w:t>
            </w:r>
          </w:p>
          <w:p>
            <w:pPr>
              <w:pStyle w:val="null3"/>
            </w:pPr>
            <w:r>
              <w:rPr>
                <w:rFonts w:ascii="仿宋_GB2312" w:hAnsi="仿宋_GB2312" w:cs="仿宋_GB2312" w:eastAsia="仿宋_GB2312"/>
              </w:rPr>
              <w:t>（2）内存：16*64GBDDR5(出厂配置官网可查)；主频≥5600MHz。</w:t>
            </w:r>
          </w:p>
          <w:p>
            <w:pPr>
              <w:pStyle w:val="null3"/>
            </w:pPr>
            <w:r>
              <w:rPr>
                <w:rFonts w:ascii="仿宋_GB2312" w:hAnsi="仿宋_GB2312" w:cs="仿宋_GB2312" w:eastAsia="仿宋_GB2312"/>
              </w:rPr>
              <w:t>（3）固态硬盘：≥90TB，单盘4K随机写≥80000IOPS。</w:t>
            </w:r>
          </w:p>
          <w:p>
            <w:pPr>
              <w:pStyle w:val="null3"/>
            </w:pPr>
            <w:r>
              <w:rPr>
                <w:rFonts w:ascii="仿宋_GB2312" w:hAnsi="仿宋_GB2312" w:cs="仿宋_GB2312" w:eastAsia="仿宋_GB2312"/>
              </w:rPr>
              <w:t>（4）机械硬盘：≥320TB，≥7200转/分钟。</w:t>
            </w:r>
          </w:p>
          <w:p>
            <w:pPr>
              <w:pStyle w:val="null3"/>
            </w:pPr>
            <w:r>
              <w:rPr>
                <w:rFonts w:ascii="仿宋_GB2312" w:hAnsi="仿宋_GB2312" w:cs="仿宋_GB2312" w:eastAsia="仿宋_GB2312"/>
              </w:rPr>
              <w:t>2.超融合软件:</w:t>
            </w:r>
          </w:p>
          <w:p>
            <w:pPr>
              <w:pStyle w:val="null3"/>
            </w:pPr>
            <w:r>
              <w:rPr>
                <w:rFonts w:ascii="仿宋_GB2312" w:hAnsi="仿宋_GB2312" w:cs="仿宋_GB2312" w:eastAsia="仿宋_GB2312"/>
              </w:rPr>
              <w:t>（1）软件授权模式：超融合软件按节点数量授权，不限制单节点CPU核心数量及总存储容量</w:t>
            </w:r>
          </w:p>
          <w:p>
            <w:pPr>
              <w:pStyle w:val="null3"/>
            </w:pPr>
            <w:r>
              <w:rPr>
                <w:rFonts w:ascii="仿宋_GB2312" w:hAnsi="仿宋_GB2312" w:cs="仿宋_GB2312" w:eastAsia="仿宋_GB2312"/>
              </w:rPr>
              <w:t>（2）负载均衡：支持依据集群各物理主机CPU、内存等资源负载自动调度虚拟机，实现负载均衡；可自定义负载阈值、调度策略、并发迁移数量等参数。</w:t>
            </w:r>
          </w:p>
          <w:p>
            <w:pPr>
              <w:pStyle w:val="null3"/>
            </w:pPr>
            <w:r>
              <w:rPr>
                <w:rFonts w:ascii="仿宋_GB2312" w:hAnsi="仿宋_GB2312" w:cs="仿宋_GB2312" w:eastAsia="仿宋_GB2312"/>
              </w:rPr>
              <w:t>（3）双向异构在线热迁移：支持原有虚拟化平台与本超融合平台之间双向在线热迁移，支持迁移全程源端虚拟机无需关机；迁移后虚拟机IP、MAC地址保持不变。该迁移功能内置免费使用，无额外授权、二次收费。</w:t>
            </w:r>
          </w:p>
          <w:p>
            <w:pPr>
              <w:pStyle w:val="null3"/>
            </w:pPr>
            <w:r>
              <w:rPr>
                <w:rFonts w:ascii="仿宋_GB2312" w:hAnsi="仿宋_GB2312" w:cs="仿宋_GB2312" w:eastAsia="仿宋_GB2312"/>
              </w:rPr>
              <w:t>（4）图形化迁移管理：提供统一迁移管理功能，支持同时选择多台虚拟机进行批量迁移操作；迁移过程中可直观查看整体进度与状态；支持管理员自定义迁移时间窗口.</w:t>
            </w:r>
          </w:p>
          <w:p>
            <w:pPr>
              <w:pStyle w:val="null3"/>
            </w:pPr>
            <w:r>
              <w:rPr>
                <w:rFonts w:ascii="仿宋_GB2312" w:hAnsi="仿宋_GB2312" w:cs="仿宋_GB2312" w:eastAsia="仿宋_GB2312"/>
              </w:rPr>
              <w:t>（5）平台支持接入外部NTP时间源服务器，集群内所有物理主机及业务虚拟机均可同步统一标准时间。</w:t>
            </w:r>
          </w:p>
          <w:p>
            <w:pPr>
              <w:pStyle w:val="null3"/>
            </w:pPr>
            <w:r>
              <w:rPr>
                <w:rFonts w:ascii="仿宋_GB2312" w:hAnsi="仿宋_GB2312" w:cs="仿宋_GB2312" w:eastAsia="仿宋_GB2312"/>
              </w:rPr>
              <w:t>（6）支持存储资源池副本灵活配置：支持按SSD、HDD存储池灵活配置副本数（2副本/3副本），业务可根据数据重要性自主选择副本策略。</w:t>
            </w:r>
          </w:p>
          <w:p>
            <w:pPr>
              <w:pStyle w:val="null3"/>
            </w:pPr>
            <w:r>
              <w:rPr>
                <w:rFonts w:ascii="仿宋_GB2312" w:hAnsi="仿宋_GB2312" w:cs="仿宋_GB2312" w:eastAsia="仿宋_GB2312"/>
              </w:rPr>
              <w:t>▲（7）虚拟机快照备份能力：支持虚拟机在线快照与离线快照，在线快照创建过程不影响虚拟机业务持续运行；</w:t>
            </w:r>
          </w:p>
          <w:p>
            <w:pPr>
              <w:pStyle w:val="null3"/>
            </w:pPr>
            <w:r>
              <w:rPr>
                <w:rFonts w:ascii="仿宋_GB2312" w:hAnsi="仿宋_GB2312" w:cs="仿宋_GB2312" w:eastAsia="仿宋_GB2312"/>
              </w:rPr>
              <w:t>（8）具备第三方备份与CDP对接功能：支持标准第三方备份软件接口，对虚拟机执行定时备份，支持全量、增量、差异多种备份模式；支持按日/周/月配置备份策略。</w:t>
            </w:r>
          </w:p>
          <w:p>
            <w:pPr>
              <w:pStyle w:val="null3"/>
            </w:pPr>
            <w:r>
              <w:rPr>
                <w:rFonts w:ascii="仿宋_GB2312" w:hAnsi="仿宋_GB2312" w:cs="仿宋_GB2312" w:eastAsia="仿宋_GB2312"/>
              </w:rPr>
              <w:t>（9）操作日志审计：平台内置操作日志审计模块，全程留存全部后台管理操作行为，涵盖虚拟机创建删除、资源迁移、参数配置变更等各类操作；支持按用户、时间、操作类型等多维度条件检索，支持审计日志导出存档，可依托日志数据分析集群历史资源使用状态，满足等保审计追溯要求。</w:t>
            </w:r>
          </w:p>
          <w:p>
            <w:pPr>
              <w:pStyle w:val="null3"/>
            </w:pPr>
            <w:r>
              <w:rPr>
                <w:rFonts w:ascii="仿宋_GB2312" w:hAnsi="仿宋_GB2312" w:cs="仿宋_GB2312" w:eastAsia="仿宋_GB2312"/>
              </w:rPr>
              <w:t>（10）监控告警系统：内置监控告警模块，实时采集物理主机 CPU、内存、存储、网络及虚拟机CPU、内存、磁盘IO、网络、运行状态等指标；支持设置各类资源指标告警阈值，对上述采集数据分析并提前预警故障，支持邮件、短信告警推送；支持虚拟机性能排行。</w:t>
            </w:r>
          </w:p>
          <w:p>
            <w:pPr>
              <w:pStyle w:val="null3"/>
            </w:pPr>
            <w:r>
              <w:rPr>
                <w:rFonts w:ascii="仿宋_GB2312" w:hAnsi="仿宋_GB2312" w:cs="仿宋_GB2312" w:eastAsia="仿宋_GB2312"/>
              </w:rPr>
              <w:t>▲（11）高可用与故障自动恢复：平台融合分布式存储多副本冗余与虚拟机 HA 高可用能力。支持物理节点故障时，节点内虚拟机自动迁移集群正常节点并保持业务连贯性；支持单节点故障数据不丢失。</w:t>
            </w:r>
          </w:p>
          <w:p>
            <w:pPr>
              <w:pStyle w:val="null3"/>
            </w:pPr>
            <w:r>
              <w:rPr>
                <w:rFonts w:ascii="仿宋_GB2312" w:hAnsi="仿宋_GB2312" w:cs="仿宋_GB2312" w:eastAsia="仿宋_GB2312"/>
              </w:rPr>
              <w:t>（12）虚拟机资源在线热添加：支持对在线运行的虚拟机热新增 CPU、内存、磁盘、网卡硬件资源，资源扩容全过程无需重启虚拟机，上层业务持续运行不中断。</w:t>
            </w:r>
          </w:p>
          <w:p>
            <w:pPr>
              <w:pStyle w:val="null3"/>
            </w:pPr>
            <w:r>
              <w:rPr>
                <w:rFonts w:ascii="仿宋_GB2312" w:hAnsi="仿宋_GB2312" w:cs="仿宋_GB2312" w:eastAsia="仿宋_GB2312"/>
              </w:rPr>
              <w:t>（13）运维可视化：支持资源大屏展示，直观呈现存储容量、集群性能、设备健康等资源池整体状态；具备网络拓扑可视化能力，图形化展示虚拟机间网络访问关联关系。</w:t>
            </w:r>
          </w:p>
          <w:p>
            <w:pPr>
              <w:pStyle w:val="null3"/>
            </w:pPr>
            <w:r>
              <w:rPr>
                <w:rFonts w:ascii="仿宋_GB2312" w:hAnsi="仿宋_GB2312" w:cs="仿宋_GB2312" w:eastAsia="仿宋_GB2312"/>
              </w:rPr>
              <w:t>（14）外部存储对接能力：兼容iSCSI、NFS 等接口，可对接外置磁盘阵列及软件定义存储；支持虚拟机在本地存储与外置存储间在线迁移、备份。</w:t>
            </w:r>
          </w:p>
          <w:p>
            <w:pPr>
              <w:pStyle w:val="null3"/>
            </w:pPr>
            <w:r>
              <w:rPr>
                <w:rFonts w:ascii="仿宋_GB2312" w:hAnsi="仿宋_GB2312" w:cs="仿宋_GB2312" w:eastAsia="仿宋_GB2312"/>
              </w:rPr>
              <w:t>▲（15）平台安全与身份认证：超融合平台应支持多种身份认证方式，支持本地密码认证；支持双因子认证（2FA）登录设置。</w:t>
            </w:r>
          </w:p>
          <w:p>
            <w:pPr>
              <w:pStyle w:val="null3"/>
            </w:pPr>
            <w:r>
              <w:rPr>
                <w:rFonts w:ascii="仿宋_GB2312" w:hAnsi="仿宋_GB2312" w:cs="仿宋_GB2312" w:eastAsia="仿宋_GB2312"/>
              </w:rPr>
              <w:t>▲ （16）集群健康检查：支持一键集群全面健康巡检，覆盖硬件、虚拟化、分布式存储、网络及系统服务，提前发现潜在故障；支持日/周周期性自动巡检并生成检测报告。</w:t>
            </w:r>
          </w:p>
          <w:p>
            <w:pPr>
              <w:pStyle w:val="null3"/>
            </w:pPr>
            <w:r>
              <w:rPr>
                <w:rFonts w:ascii="仿宋_GB2312" w:hAnsi="仿宋_GB2312" w:cs="仿宋_GB2312" w:eastAsia="仿宋_GB2312"/>
              </w:rPr>
              <w:t>（17）统一管理：支持服务器远程管控，可远程管控服务器电源、挂载 ISO 镜像；支持查看 CPU、内存、磁盘、电源等硬件信息，可打开服务器控制台远程运维。</w:t>
            </w:r>
          </w:p>
          <w:p>
            <w:pPr>
              <w:pStyle w:val="null3"/>
            </w:pPr>
            <w:r>
              <w:rPr>
                <w:rFonts w:ascii="仿宋_GB2312" w:hAnsi="仿宋_GB2312" w:cs="仿宋_GB2312" w:eastAsia="仿宋_GB2312"/>
              </w:rPr>
              <w:t>（18）虚拟机支持国产操作系统，需提供国产适配证书。</w:t>
            </w:r>
          </w:p>
          <w:p>
            <w:pPr>
              <w:pStyle w:val="null3"/>
            </w:pPr>
            <w:r>
              <w:rPr>
                <w:rFonts w:ascii="仿宋_GB2312" w:hAnsi="仿宋_GB2312" w:cs="仿宋_GB2312" w:eastAsia="仿宋_GB2312"/>
              </w:rPr>
              <w:t>2.超融合交换设备</w:t>
            </w:r>
          </w:p>
          <w:p>
            <w:pPr>
              <w:pStyle w:val="null3"/>
            </w:pPr>
            <w:r>
              <w:rPr>
                <w:rFonts w:ascii="仿宋_GB2312" w:hAnsi="仿宋_GB2312" w:cs="仿宋_GB2312" w:eastAsia="仿宋_GB2312"/>
              </w:rPr>
              <w:t>（1）接口≥20个10G SFP+光口，≥4个40GE QSFP+光口，≥ 1.28 Tbps（双向）；</w:t>
            </w:r>
          </w:p>
          <w:p>
            <w:pPr>
              <w:pStyle w:val="null3"/>
            </w:pPr>
            <w:r>
              <w:rPr>
                <w:rFonts w:ascii="仿宋_GB2312" w:hAnsi="仿宋_GB2312" w:cs="仿宋_GB2312" w:eastAsia="仿宋_GB2312"/>
              </w:rPr>
              <w:t>（2）支持全端口线速转发；支持统一管理、统一查看状态、VLAN等配置管理；配置双电源;</w:t>
            </w:r>
          </w:p>
          <w:p>
            <w:pPr>
              <w:pStyle w:val="null3"/>
            </w:pPr>
            <w:r>
              <w:rPr>
                <w:rFonts w:ascii="仿宋_GB2312" w:hAnsi="仿宋_GB2312" w:cs="仿宋_GB2312" w:eastAsia="仿宋_GB2312"/>
              </w:rPr>
              <w:t>（3）每台实配24个万兆多模光模块；</w:t>
            </w:r>
          </w:p>
          <w:p>
            <w:pPr>
              <w:pStyle w:val="null3"/>
            </w:pPr>
            <w:r>
              <w:rPr>
                <w:rFonts w:ascii="仿宋_GB2312" w:hAnsi="仿宋_GB2312" w:cs="仿宋_GB2312" w:eastAsia="仿宋_GB2312"/>
              </w:rPr>
              <w:t>（4）全端口打开。</w:t>
            </w:r>
          </w:p>
          <w:p>
            <w:pPr>
              <w:pStyle w:val="null3"/>
            </w:pPr>
            <w:r>
              <w:rPr>
                <w:rFonts w:ascii="仿宋_GB2312" w:hAnsi="仿宋_GB2312" w:cs="仿宋_GB2312" w:eastAsia="仿宋_GB2312"/>
              </w:rPr>
              <w:t>3.分布式存储硬件：</w:t>
            </w:r>
          </w:p>
          <w:p>
            <w:pPr>
              <w:pStyle w:val="null3"/>
            </w:pPr>
            <w:r>
              <w:rPr>
                <w:rFonts w:ascii="仿宋_GB2312" w:hAnsi="仿宋_GB2312" w:cs="仿宋_GB2312" w:eastAsia="仿宋_GB2312"/>
              </w:rPr>
              <w:t>（1）CPU：≥2颗，支持国产化C86，主频：≥2.2GHz，核数：≥24核</w:t>
            </w:r>
          </w:p>
          <w:p>
            <w:pPr>
              <w:pStyle w:val="null3"/>
            </w:pPr>
            <w:r>
              <w:rPr>
                <w:rFonts w:ascii="仿宋_GB2312" w:hAnsi="仿宋_GB2312" w:cs="仿宋_GB2312" w:eastAsia="仿宋_GB2312"/>
              </w:rPr>
              <w:t>（2）内存：≥128GB；</w:t>
            </w:r>
          </w:p>
          <w:p>
            <w:pPr>
              <w:pStyle w:val="null3"/>
            </w:pPr>
            <w:r>
              <w:rPr>
                <w:rFonts w:ascii="仿宋_GB2312" w:hAnsi="仿宋_GB2312" w:cs="仿宋_GB2312" w:eastAsia="仿宋_GB2312"/>
              </w:rPr>
              <w:t>（3）机械硬盘：≥160TB；≥7200转/分钟；</w:t>
            </w:r>
          </w:p>
          <w:p>
            <w:pPr>
              <w:pStyle w:val="null3"/>
            </w:pPr>
            <w:r>
              <w:rPr>
                <w:rFonts w:ascii="仿宋_GB2312" w:hAnsi="仿宋_GB2312" w:cs="仿宋_GB2312" w:eastAsia="仿宋_GB2312"/>
              </w:rPr>
              <w:t>（4）独立通道RAID卡，支持RAID0/1/5/10等；</w:t>
            </w:r>
          </w:p>
          <w:p>
            <w:pPr>
              <w:pStyle w:val="null3"/>
            </w:pPr>
            <w:r>
              <w:rPr>
                <w:rFonts w:ascii="仿宋_GB2312" w:hAnsi="仿宋_GB2312" w:cs="仿宋_GB2312" w:eastAsia="仿宋_GB2312"/>
              </w:rPr>
              <w:t>4.分布式存储软件：</w:t>
            </w:r>
          </w:p>
          <w:p>
            <w:pPr>
              <w:pStyle w:val="null3"/>
            </w:pPr>
            <w:r>
              <w:rPr>
                <w:rFonts w:ascii="仿宋_GB2312" w:hAnsi="仿宋_GB2312" w:cs="仿宋_GB2312" w:eastAsia="仿宋_GB2312"/>
              </w:rPr>
              <w:t>（1）提供分布式存储软件：本次配置≥ 3 个存储节点，所有节点组成单一存储集群，提供统一命名空间，工作模式为双活，禁止使用主备模式；</w:t>
            </w:r>
          </w:p>
          <w:p>
            <w:pPr>
              <w:pStyle w:val="null3"/>
            </w:pPr>
            <w:r>
              <w:rPr>
                <w:rFonts w:ascii="仿宋_GB2312" w:hAnsi="仿宋_GB2312" w:cs="仿宋_GB2312" w:eastAsia="仿宋_GB2312"/>
              </w:rPr>
              <w:t>▲（2）集中管理与多协议多平台挂载：支持存储平台集中化部署、统一运维管理、性能监控与日常维护；兼容iSCSI、NFS多种主流存储访问协议。</w:t>
            </w:r>
          </w:p>
          <w:p>
            <w:pPr>
              <w:pStyle w:val="null3"/>
            </w:pPr>
            <w:r>
              <w:rPr>
                <w:rFonts w:ascii="仿宋_GB2312" w:hAnsi="仿宋_GB2312" w:cs="仿宋_GB2312" w:eastAsia="仿宋_GB2312"/>
              </w:rPr>
              <w:t>▲（3）影像智能压缩能力：内置DICOM标准医学影像无损压缩，高性能批量处理原始影像文件；压缩过程不修改原有目录与文件存储结构，可针对指定目录自动后台批量执行；支持配置压缩完成后自动清理原始源文件。</w:t>
            </w:r>
          </w:p>
          <w:p>
            <w:pPr>
              <w:pStyle w:val="null3"/>
            </w:pPr>
            <w:r>
              <w:rPr>
                <w:rFonts w:ascii="仿宋_GB2312" w:hAnsi="仿宋_GB2312" w:cs="仿宋_GB2312" w:eastAsia="仿宋_GB2312"/>
              </w:rPr>
              <w:t>（4）软件授权模式：授权仅绑定物理存储服务器节点，不限制单节点。</w:t>
            </w:r>
          </w:p>
          <w:p>
            <w:pPr>
              <w:pStyle w:val="null3"/>
            </w:pPr>
            <w:r>
              <w:rPr>
                <w:rFonts w:ascii="仿宋_GB2312" w:hAnsi="仿宋_GB2312" w:cs="仿宋_GB2312" w:eastAsia="仿宋_GB2312"/>
              </w:rPr>
              <w:t xml:space="preserve">（5）保护模式：支持多种数据保护模式，在此冗余策略下，容量≥ </w:t>
            </w:r>
            <w:r>
              <w:rPr>
                <w:rFonts w:ascii="仿宋_GB2312" w:hAnsi="仿宋_GB2312" w:cs="仿宋_GB2312" w:eastAsia="仿宋_GB2312"/>
                <w:b/>
              </w:rPr>
              <w:t>160TB</w:t>
            </w:r>
            <w:r>
              <w:rPr>
                <w:rFonts w:ascii="仿宋_GB2312" w:hAnsi="仿宋_GB2312" w:cs="仿宋_GB2312" w:eastAsia="仿宋_GB2312"/>
              </w:rPr>
              <w:t>。</w:t>
            </w:r>
          </w:p>
          <w:p>
            <w:pPr>
              <w:pStyle w:val="null3"/>
            </w:pPr>
            <w:r>
              <w:rPr>
                <w:rFonts w:ascii="仿宋_GB2312" w:hAnsi="仿宋_GB2312" w:cs="仿宋_GB2312" w:eastAsia="仿宋_GB2312"/>
              </w:rPr>
              <w:t>（6）资源池共享与隔离：全协议共享统一底层物理磁盘资源池，实现存储资源全局统一调度分配；同时支持灵活划分资源，可指定部分磁盘或节点专供单一存储协议使用，兼顾资源共享与业务隔离需求。</w:t>
            </w:r>
          </w:p>
          <w:p>
            <w:pPr>
              <w:pStyle w:val="null3"/>
            </w:pPr>
            <w:r>
              <w:rPr>
                <w:rFonts w:ascii="仿宋_GB2312" w:hAnsi="仿宋_GB2312" w:cs="仿宋_GB2312" w:eastAsia="仿宋_GB2312"/>
              </w:rPr>
              <w:t>（7）磁盘或节点故障场景下，系统自动触发数据恢复，支持多副本多通道多线程并行重建。</w:t>
            </w:r>
          </w:p>
          <w:p>
            <w:pPr>
              <w:pStyle w:val="null3"/>
            </w:pPr>
            <w:r>
              <w:rPr>
                <w:rFonts w:ascii="仿宋_GB2312" w:hAnsi="仿宋_GB2312" w:cs="仿宋_GB2312" w:eastAsia="仿宋_GB2312"/>
              </w:rPr>
              <w:t>▲（8）静默数据错误巡检修复：系统支持周期性后台数据扫描与完整性校验，防止归档影像文件出现隐性损坏。</w:t>
            </w:r>
          </w:p>
          <w:p>
            <w:pPr>
              <w:pStyle w:val="null3"/>
            </w:pPr>
            <w:r>
              <w:rPr>
                <w:rFonts w:ascii="仿宋_GB2312" w:hAnsi="仿宋_GB2312" w:cs="仿宋_GB2312" w:eastAsia="仿宋_GB2312"/>
              </w:rPr>
              <w:t>（9）支持在线升级存储软件版本，支持在线更换或添加硬件（CPU/内存/磁盘/网络卡/节点），升级与更换期间业务不中断，已有数据不丢失。</w:t>
            </w:r>
          </w:p>
          <w:p>
            <w:pPr>
              <w:pStyle w:val="null3"/>
            </w:pPr>
            <w:r>
              <w:rPr>
                <w:rFonts w:ascii="仿宋_GB2312" w:hAnsi="仿宋_GB2312" w:cs="仿宋_GB2312" w:eastAsia="仿宋_GB2312"/>
              </w:rPr>
              <w:t>5.业务集成部分</w:t>
            </w:r>
          </w:p>
          <w:p>
            <w:pPr>
              <w:pStyle w:val="null3"/>
            </w:pPr>
            <w:r>
              <w:rPr>
                <w:rFonts w:ascii="仿宋_GB2312" w:hAnsi="仿宋_GB2312" w:cs="仿宋_GB2312" w:eastAsia="仿宋_GB2312"/>
              </w:rPr>
              <w:t>（1）操作系统安装</w:t>
            </w:r>
          </w:p>
          <w:p>
            <w:pPr>
              <w:pStyle w:val="null3"/>
            </w:pPr>
            <w:r>
              <w:rPr>
                <w:rFonts w:ascii="仿宋_GB2312" w:hAnsi="仿宋_GB2312" w:cs="仿宋_GB2312" w:eastAsia="仿宋_GB2312"/>
              </w:rPr>
              <w:t>1）业务应用程序虚拟机操作系统安装；</w:t>
            </w:r>
          </w:p>
          <w:p>
            <w:pPr>
              <w:pStyle w:val="null3"/>
            </w:pPr>
            <w:r>
              <w:rPr>
                <w:rFonts w:ascii="仿宋_GB2312" w:hAnsi="仿宋_GB2312" w:cs="仿宋_GB2312" w:eastAsia="仿宋_GB2312"/>
              </w:rPr>
              <w:t>2）以上操作系统补丁更新至最新版；</w:t>
            </w:r>
          </w:p>
          <w:p>
            <w:pPr>
              <w:pStyle w:val="null3"/>
            </w:pPr>
            <w:r>
              <w:rPr>
                <w:rFonts w:ascii="仿宋_GB2312" w:hAnsi="仿宋_GB2312" w:cs="仿宋_GB2312" w:eastAsia="仿宋_GB2312"/>
              </w:rPr>
              <w:t>（2）操作系统数据库安全策略部署</w:t>
            </w:r>
          </w:p>
          <w:p>
            <w:pPr>
              <w:pStyle w:val="null3"/>
            </w:pPr>
            <w:r>
              <w:rPr>
                <w:rFonts w:ascii="仿宋_GB2312" w:hAnsi="仿宋_GB2312" w:cs="仿宋_GB2312" w:eastAsia="仿宋_GB2312"/>
              </w:rPr>
              <w:t>1）OS业务权限分级策略；</w:t>
            </w:r>
          </w:p>
          <w:p>
            <w:pPr>
              <w:pStyle w:val="null3"/>
            </w:pPr>
            <w:r>
              <w:rPr>
                <w:rFonts w:ascii="仿宋_GB2312" w:hAnsi="仿宋_GB2312" w:cs="仿宋_GB2312" w:eastAsia="仿宋_GB2312"/>
              </w:rPr>
              <w:t>2）密码复杂度策略；</w:t>
            </w:r>
          </w:p>
          <w:p>
            <w:pPr>
              <w:pStyle w:val="null3"/>
            </w:pPr>
            <w:r>
              <w:rPr>
                <w:rFonts w:ascii="仿宋_GB2312" w:hAnsi="仿宋_GB2312" w:cs="仿宋_GB2312" w:eastAsia="仿宋_GB2312"/>
              </w:rPr>
              <w:t>3）审计策略；</w:t>
            </w:r>
          </w:p>
          <w:p>
            <w:pPr>
              <w:pStyle w:val="null3"/>
            </w:pPr>
            <w:r>
              <w:rPr>
                <w:rFonts w:ascii="仿宋_GB2312" w:hAnsi="仿宋_GB2312" w:cs="仿宋_GB2312" w:eastAsia="仿宋_GB2312"/>
              </w:rPr>
              <w:t>4）业务端口策略；</w:t>
            </w:r>
          </w:p>
          <w:p>
            <w:pPr>
              <w:pStyle w:val="null3"/>
            </w:pPr>
            <w:r>
              <w:rPr>
                <w:rFonts w:ascii="仿宋_GB2312" w:hAnsi="仿宋_GB2312" w:cs="仿宋_GB2312" w:eastAsia="仿宋_GB2312"/>
              </w:rPr>
              <w:t>5）SP更新策略，</w:t>
            </w:r>
          </w:p>
          <w:p>
            <w:pPr>
              <w:pStyle w:val="null3"/>
            </w:pPr>
            <w:r>
              <w:rPr>
                <w:rFonts w:ascii="仿宋_GB2312" w:hAnsi="仿宋_GB2312" w:cs="仿宋_GB2312" w:eastAsia="仿宋_GB2312"/>
              </w:rPr>
              <w:t>6）业务服务器的漏洞扫描以及漏洞处理；</w:t>
            </w:r>
          </w:p>
          <w:p>
            <w:pPr>
              <w:pStyle w:val="null3"/>
            </w:pPr>
            <w:r>
              <w:rPr>
                <w:rFonts w:ascii="仿宋_GB2312" w:hAnsi="仿宋_GB2312" w:cs="仿宋_GB2312" w:eastAsia="仿宋_GB2312"/>
              </w:rPr>
              <w:t>（3）上线保障</w:t>
            </w:r>
          </w:p>
          <w:p>
            <w:pPr>
              <w:pStyle w:val="null3"/>
            </w:pPr>
            <w:r>
              <w:rPr>
                <w:rFonts w:ascii="仿宋_GB2312" w:hAnsi="仿宋_GB2312" w:cs="仿宋_GB2312" w:eastAsia="仿宋_GB2312"/>
              </w:rPr>
              <w:t>1）提供不少于3个月的现场驻场保障。</w:t>
            </w:r>
          </w:p>
          <w:p>
            <w:pPr>
              <w:pStyle w:val="null3"/>
            </w:pPr>
            <w:r>
              <w:rPr>
                <w:rFonts w:ascii="仿宋_GB2312" w:hAnsi="仿宋_GB2312" w:cs="仿宋_GB2312" w:eastAsia="仿宋_GB2312"/>
                <w:sz w:val="21"/>
              </w:rPr>
              <w:t>2）制定详细的上线方案硬件,方案预演、正式切换，确保系统平稳上线。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自合同签订之日起20日历天内完成交货并移交招标人并通过验收。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预付款，合同签订后10个工作日内，供应商应先向采购人提供与本次付款等额的财税发票，达到付款条件起30个工作日内，支付合同总金额的30.0%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进度款，双方对货物现场点收无误且全部验收合格10个工作日内，供应商应先向采购人提供与本次付款等额的财税发票，达到付款条件起30个工作日内，支付合同总金额的60.0%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进度款，系统正常运行3年无重大缺陷等问题，乙方向甲方提供与本次付款等额的财税发票后，达到付款条件起10个工作日内，支付合同总金额的10.0%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（1）验收方式：供应商按采购人要求完成系统建设并达到使用要求，质量按招标文件的参数内容验收。 （2）供应商负责该产品的调试、安装到位，且保证产品正常使用达到合同约定的产品验收条件时，采购人必须在供应商提出书面验收申请之日起2个工作日内，组织验收工作。验收由采购人指定单位及人员进行验收，验收合格后出具书面验收合格证明，作为对产品的最终认可。 （3）验收相关资料交接时间节点： 1）供应商必须在交货时向采购人提供（软硬件须根据需求内容调整选填）产品详细的中文技术资料1套/台、中文技术操作手册、中文维修手册、中文保养手册、设备总图、电子线路图、机械结构图、产品合格证、中文产品使用说明书等相关材料。 2）组织验收前，供应商应确保项目资料的单证齐全，向采购人交接资料中应包括但不限于（软硬件须根据需求内容调整选填）产品合格证、质量证明、使用说明、保修保质证明、发票和其他应当具有的单证（含进口商品的报关单据等），须符合国家法律法规对该产品的行业、品控等要求。 3）验收资料中须包含供应商负责对采购人的工作人员进行操作培训的资料，确保操作人员能够独立、熟练操作直至该产品可以正常使用为止。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质量保修范围：质保期内，供应商对所供产品因原厂材质、生产工艺存在固有质量缺陷产生的故障予以免费保修。 质量保证期（且包含硬件保修期：服务器及超融合平台）：自验收合格之日起不少于3年，且包含升级及维护服务（相关费用包含在投标报价内，不再另行计费）。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1）供应商如不能及时交货或未按照合同约定及时安装、调试完毕或违反合同第九条约定，应向采购人支付合同总价款10%的违约金。 2）供应商的产品质量应当符合国家行业规定的标准，并无任何瑕疵；供应商应按配置清单要求提供原装全新产品，对该产品实行三包（即包修、包退、包换）。如交付的产品数量、品种、规格、质量不符合国家标准和合同约定的由供应商负责包修、包换、退货，并承担由此给采购人造成的所有经济损失；逾期交货的，应向采购人支付迟延履行的违约金，每日违约金按逾期交货货款金额万分之一计算。 3）除前款约定外，供应商未按合同要求提供产品或提供虚假材料，且质量不能满足技术要求的，采购人有权终止合同，同时要求供应商承担采购人经济损失及承担合同总价款10％的违约金。 4）自合同签订之日起，若采购人无故中途退货，应向供应商支付退货部分货款的10%的违约金。 5）采购人应当按时向供应商支付货款，逾期付款的，应向供应商支付迟延履行的违约金，每日违约金按逾期付款金额的万分之一计算。 6）如因该产品本身的质量原因而在使用过程中造成的任何医疗事故纠纷，由供应商全额负责赔偿。如不能修理或者不能调换的，按不能交货处理，因此给采购人造成的所有经济损失供应商应予全额赔偿。 （2）解决争议的方法： 合同在履行过程中发生的与合同有关的任何争议，由双方先行友好协商解决，协商不成的，任何一方有权向采购人所在地人民法院提起诉讼。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（1）本项目投标产品须为国产CPU、国产操作系统，否则投标无效。 （2）其他商务要求：提供 7×24小时的服务响应，系统出现故障时，维护工程师应在半小时内响应，1小时内提供远程诊断和故障排除，在远程服务无效的情况下，48小时内到达现场提供技术服务并解决问题。 （3）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（4）投标保证金注意事项： 1）投标保证金缴纳截止时间：同投标文件递交截止时间一致。 2）投标人采用转账、支票、汇票形式缴纳投标保证金的，资金必须从其基本账户转出，必须在汇款凭证注明项目名称；投标人采用保函形式缴纳投标保证金的，请投标人在开标前一天告知代理机构并将保函扫描件发送到代理机构负责人邮箱（798433694@qq.com）。 （5）中标单位在领取中标通知书前，须向采购代理机构提供纸质版投标文件2套（1正1副），且提供的投标文件必须与在陕西省政府采购综合管理平台的项目电子化交易系统中递交的电子投标文件内容一致，纸质版投标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法定代表人（主要负责人）参与投标时，提供法定代表人（主要负责人）身份证明；授权代表参与投标时，提供法定代表人（主要负责人）授权委托书。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供应商认为有必要提供的其他资料.docx 分项报价表.docx 供应商应提交的相关资格证明材料.docx 投标函 残疾人福利性单位声明函 关于符合本国产品标准的声明函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完全响应招标文件要求的各项技术、商务实质性条款。（见第三章标注★的条款，未设置时请忽略此项）</w:t>
            </w:r>
          </w:p>
        </w:tc>
        <w:tc>
          <w:tcPr>
            <w:tcW w:type="dxa" w:w="1661"/>
          </w:tcPr>
          <w:p>
            <w:pPr>
              <w:pStyle w:val="null3"/>
            </w:pPr>
            <w:r>
              <w:rPr>
                <w:rFonts w:ascii="仿宋_GB2312" w:hAnsi="仿宋_GB2312" w:cs="仿宋_GB2312" w:eastAsia="仿宋_GB2312"/>
              </w:rPr>
              <w:t>商务应答表.docx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强制性产品认证</w:t>
            </w:r>
          </w:p>
        </w:tc>
        <w:tc>
          <w:tcPr>
            <w:tcW w:type="dxa" w:w="3322"/>
          </w:tcPr>
          <w:p>
            <w:pPr>
              <w:pStyle w:val="null3"/>
            </w:pPr>
            <w:r>
              <w:rPr>
                <w:rFonts w:ascii="仿宋_GB2312" w:hAnsi="仿宋_GB2312" w:cs="仿宋_GB2312" w:eastAsia="仿宋_GB2312"/>
              </w:rPr>
              <w:t>凡列入《强制性产品认证目录》的产品，须在投标文件中提供有效期内、型号与投标产品完全匹配的国家强制性产品认证证书复印件或扫描件并加盖公章；未提供或证书不符合要求的，投标无效。</w:t>
            </w:r>
          </w:p>
        </w:tc>
        <w:tc>
          <w:tcPr>
            <w:tcW w:type="dxa" w:w="1661"/>
          </w:tcPr>
          <w:p>
            <w:pPr>
              <w:pStyle w:val="null3"/>
            </w:pPr>
            <w:r>
              <w:rPr>
                <w:rFonts w:ascii="仿宋_GB2312" w:hAnsi="仿宋_GB2312" w:cs="仿宋_GB2312" w:eastAsia="仿宋_GB2312"/>
              </w:rPr>
              <w:t>投标方案.docx 供应商认为有必要提供的其他资料.docx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供应商认为有必要提供的其他资料.docx 分项报价表.docx 供应商应提交的相关资格证明材料.docx 投标函 残疾人福利性单位声明函 关于符合本国产品标准的声明函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投标产品技术参数规格清晰、完整匹配采购人采购需求，无负偏离的，得满分35分。 标注“▲”的关键技术参数每有一项负偏离扣2分；没有任何标注的普通技术参数每有一项负偏离扣0.5分。 注：标注“▲”的参数，投标人须提供相应的功能证明材料（包括但不限于检测报告、官网和功能截图等可佐证参数符合性的资料），未按要求提供佐证材料的，按参数负偏离处理，并按对应规则扣分。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产品（融合硬件及软件、交换设备、分布式存储硬件及软件）供货渠道正规合规，货源稳定、品质可控，能够充分保障产品质量、供货时效及后续质保服务。供应商须提供所投产品的合法来源渠道证明文件（包括但不限于销售协议、代理协议、原厂授权等），每提供一类产品的得1分，满分3分，未提供相关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针对本项目的实施方案，内容包含：①项目实施步骤；②设备的安装调试方案；③对不可预见因素的预测；④进度计划和保证措施；⑤安全控制方案及措施；⑥备品备件更换使用方案；⑦集群分离重组方案（含操作步骤、风险控制、回退预案）；⑧虚拟机迁移方案（含在线+离线两种方式）；⑨项目验收与交付；⑩项目运维服务。 二、评审标准：方案内容全面详细、阐述条理清晰， 具有针对性，能有效保障本项目实施得10分，每有一项内容缺项扣1分，每有一项有内容但内容存在缺陷，扣0.2分，扣完为止。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一、评审内容：提供针对本项目的质量保证方案，内容包括：①全流程质量管控架构与标准②出厂及现场实施质量管控措施③质量问题整改追溯与合规验收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一、评审内容：提供针对本项目的售后服务方案，内容包括：①售后服务内容及承诺；②现有服务体系、服务网点固定场所；③设备故障解决方案、响应时间、人员安排等；④质保后延续服务。 二、评审标准：方案内容全面详细、阐述条理清晰，具有针对性，能有效保障本项目实施得4分，每有一项内容缺项扣1分，每有一项有内容但内容存在缺陷，扣0.2分，扣完为止。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一、评审内容：提供针对本项目的技术培训服务方案，内容包括：①培训计划与培训目标②培训内容（包含理论知识培训、设备实操技能培训、日常运维与故障排查培训等）③培训效果保障措施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本项目配备的项目负责人具备电子信息相关专业高级职称得2分，中级职称得1分；无对应职称不得分，不累计计分。（提供合格有效的证书复印或扫描件加盖公章）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提供供应商2023年1月1日至今的类似业绩（以合同签订时间为准）。 每提供1份合同复印件或扫描件得2分，最高得10分。（证明材料包括但不限于合同首页、主要内容页、签订时间页、双方盖章页。）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