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3111B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_GB2312"/>
          <w:b/>
          <w:sz w:val="24"/>
        </w:rPr>
      </w:pPr>
      <w:r>
        <w:rPr>
          <w:rFonts w:hint="eastAsia" w:ascii="仿宋" w:hAnsi="仿宋" w:eastAsia="仿宋" w:cs="仿宋_GB2312"/>
          <w:b/>
          <w:sz w:val="24"/>
        </w:rPr>
        <w:t xml:space="preserve">甲方：（前款所称采购人）         </w:t>
      </w:r>
    </w:p>
    <w:p w14:paraId="48042B86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_GB2312"/>
          <w:b/>
          <w:sz w:val="24"/>
        </w:rPr>
      </w:pPr>
      <w:r>
        <w:rPr>
          <w:rFonts w:hint="eastAsia" w:ascii="仿宋" w:hAnsi="仿宋" w:eastAsia="仿宋" w:cs="仿宋_GB2312"/>
          <w:b/>
          <w:sz w:val="24"/>
        </w:rPr>
        <w:t xml:space="preserve">乙方：（前款所称成交供应商）     </w:t>
      </w:r>
    </w:p>
    <w:p w14:paraId="6306911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  <w:u w:val="single"/>
        </w:rPr>
      </w:pPr>
      <w:r>
        <w:rPr>
          <w:rFonts w:hint="eastAsia" w:ascii="仿宋" w:hAnsi="仿宋" w:eastAsia="仿宋" w:cs="仿宋_GB2312"/>
          <w:b/>
          <w:bCs/>
          <w:sz w:val="24"/>
        </w:rPr>
        <w:t xml:space="preserve">一、合同内容: </w:t>
      </w:r>
      <w:r>
        <w:rPr>
          <w:rFonts w:hint="eastAsia" w:ascii="仿宋" w:hAnsi="仿宋" w:eastAsia="仿宋" w:cs="仿宋_GB2312"/>
          <w:b/>
          <w:bCs/>
          <w:sz w:val="24"/>
          <w:u w:val="single"/>
        </w:rPr>
        <w:t xml:space="preserve">                      </w:t>
      </w:r>
    </w:p>
    <w:p w14:paraId="0DF9F2C9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二、合同价款：</w:t>
      </w:r>
    </w:p>
    <w:p w14:paraId="48E3B60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1、合同总价：</w:t>
      </w:r>
      <w:r>
        <w:rPr>
          <w:rFonts w:hint="eastAsia" w:ascii="仿宋" w:hAnsi="仿宋" w:eastAsia="仿宋" w:cs="仿宋_GB2312"/>
          <w:sz w:val="24"/>
          <w:u w:val="single"/>
        </w:rPr>
        <w:t xml:space="preserve">                       </w:t>
      </w:r>
      <w:r>
        <w:rPr>
          <w:rFonts w:hint="eastAsia" w:ascii="仿宋" w:hAnsi="仿宋" w:eastAsia="仿宋" w:cs="仿宋_GB2312"/>
          <w:sz w:val="24"/>
        </w:rPr>
        <w:t xml:space="preserve">                          </w:t>
      </w:r>
    </w:p>
    <w:p w14:paraId="62CBF0EE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2、合同总价包括：包括以下全部费用：</w:t>
      </w:r>
    </w:p>
    <w:p w14:paraId="264145AF">
      <w:pPr>
        <w:tabs>
          <w:tab w:val="left" w:pos="980"/>
        </w:tabs>
        <w:kinsoku w:val="0"/>
        <w:spacing w:line="500" w:lineRule="exact"/>
        <w:ind w:firstLine="560"/>
        <w:rPr>
          <w:rFonts w:hint="default" w:ascii="仿宋" w:hAnsi="仿宋" w:eastAsia="仿宋" w:cs="仿宋_GB2312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_GB2312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_GB2312"/>
          <w:sz w:val="24"/>
          <w:u w:val="single"/>
          <w:lang w:val="en-US" w:eastAsia="zh-CN"/>
        </w:rPr>
        <w:t xml:space="preserve">                                                              </w:t>
      </w:r>
    </w:p>
    <w:p w14:paraId="311B15E1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三、合同结算：</w:t>
      </w:r>
    </w:p>
    <w:p w14:paraId="77232144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1、付款进度安排：合同签订且收到发票后10个工作日内，支付合同总额的20%；系统建设完成并通过验收后，支付合同总额的70%；服务期满且无任何质量问题，支付合同总额的10%。</w:t>
      </w:r>
    </w:p>
    <w:p w14:paraId="19C0275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2、结算方式：按照支付程序进行银行转账。</w:t>
      </w:r>
    </w:p>
    <w:p w14:paraId="7BB0FA68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3、结算单位：由甲方负责结算，乙方根据合同条款按甲方要求开具正式发票交采购人。</w:t>
      </w:r>
    </w:p>
    <w:p w14:paraId="4F83598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四、服务期限、服务地点及履行方式</w:t>
      </w:r>
    </w:p>
    <w:p w14:paraId="7D0E3953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1、服务期限：</w:t>
      </w:r>
      <w:r>
        <w:rPr>
          <w:rFonts w:hint="eastAsia" w:ascii="仿宋" w:hAnsi="仿宋" w:eastAsia="仿宋" w:cs="仿宋_GB2312"/>
          <w:sz w:val="24"/>
          <w:lang w:val="en-US" w:eastAsia="zh-CN"/>
        </w:rPr>
        <w:t>3</w:t>
      </w:r>
      <w:r>
        <w:rPr>
          <w:rFonts w:hint="eastAsia" w:ascii="仿宋" w:hAnsi="仿宋" w:eastAsia="仿宋" w:cs="仿宋_GB2312"/>
          <w:sz w:val="24"/>
        </w:rPr>
        <w:t>年（自合同签订之日起计算）</w:t>
      </w:r>
    </w:p>
    <w:p w14:paraId="25BA2894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2、服务地点：陕西省</w:t>
      </w:r>
      <w:r>
        <w:rPr>
          <w:rFonts w:hint="eastAsia" w:ascii="仿宋" w:hAnsi="仿宋" w:eastAsia="仿宋" w:cs="仿宋_GB2312"/>
          <w:sz w:val="24"/>
          <w:lang w:eastAsia="zh-CN"/>
        </w:rPr>
        <w:t>汉中</w:t>
      </w:r>
      <w:r>
        <w:rPr>
          <w:rFonts w:hint="eastAsia" w:ascii="仿宋" w:hAnsi="仿宋" w:eastAsia="仿宋" w:cs="仿宋_GB2312"/>
          <w:sz w:val="24"/>
        </w:rPr>
        <w:t>市</w:t>
      </w:r>
      <w:r>
        <w:rPr>
          <w:rFonts w:hint="eastAsia" w:ascii="仿宋" w:hAnsi="仿宋" w:eastAsia="仿宋" w:cs="仿宋_GB2312"/>
          <w:sz w:val="24"/>
          <w:lang w:eastAsia="zh-CN"/>
        </w:rPr>
        <w:t>南郑</w:t>
      </w:r>
      <w:r>
        <w:rPr>
          <w:rFonts w:hint="eastAsia" w:ascii="仿宋" w:hAnsi="仿宋" w:eastAsia="仿宋" w:cs="仿宋_GB2312"/>
          <w:sz w:val="24"/>
        </w:rPr>
        <w:t>区。</w:t>
      </w:r>
    </w:p>
    <w:p w14:paraId="71B38051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3、履行方式：乙方负责系统设计、设备供应、安装调试、平台部署、人员培训、系统运维及技术支持。</w:t>
      </w:r>
    </w:p>
    <w:p w14:paraId="0E4E995E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五、质量要求</w:t>
      </w:r>
    </w:p>
    <w:p w14:paraId="54197168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1、所有软硬件产品须为正版，具备合法授权和质量保证。</w:t>
      </w:r>
    </w:p>
    <w:p w14:paraId="4D5A31CA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2、系统运行稳定可靠，支持高并发访问，无重大BUG或系统崩溃现象。</w:t>
      </w:r>
    </w:p>
    <w:p w14:paraId="1ADD3F65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3、提供7×24小时技术支持服务，设立本地化服务联络机制。</w:t>
      </w:r>
    </w:p>
    <w:p w14:paraId="1F88E41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服务标准：</w:t>
      </w:r>
    </w:p>
    <w:p w14:paraId="21BE6D82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1、符合国家及行业相关技术标准。</w:t>
      </w:r>
    </w:p>
    <w:p w14:paraId="7A9C94A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2、用户操作界面友好，支持中文界面，适配主流浏览器及移动操作系统。</w:t>
      </w:r>
    </w:p>
    <w:p w14:paraId="2EF1EAFE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3、提供完整的技术文档、操作手册及培训材料。</w:t>
      </w:r>
    </w:p>
    <w:p w14:paraId="41A0D64A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服务期限：</w:t>
      </w:r>
    </w:p>
    <w:p w14:paraId="0A103AA3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服务周期为</w:t>
      </w:r>
      <w:r>
        <w:rPr>
          <w:rFonts w:hint="eastAsia" w:ascii="仿宋" w:hAnsi="仿宋" w:eastAsia="仿宋" w:cs="仿宋_GB2312"/>
          <w:sz w:val="24"/>
          <w:lang w:eastAsia="zh-CN"/>
        </w:rPr>
        <w:t>3年</w:t>
      </w:r>
      <w:r>
        <w:rPr>
          <w:rFonts w:hint="eastAsia" w:ascii="仿宋" w:hAnsi="仿宋" w:eastAsia="仿宋" w:cs="仿宋_GB2312"/>
          <w:sz w:val="24"/>
        </w:rPr>
        <w:t>，自合同签订之日起计算。</w:t>
      </w:r>
    </w:p>
    <w:p w14:paraId="1142D554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服务效率要求：</w:t>
      </w:r>
    </w:p>
    <w:p w14:paraId="3F6D703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1、系统建设周期不超过2个月。</w:t>
      </w:r>
    </w:p>
    <w:p w14:paraId="5D34B5A3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2、故障响应：一般问题2小时内响应，严重故障30分钟内响应。</w:t>
      </w:r>
    </w:p>
    <w:p w14:paraId="747AD6B1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3、数据更新、功能优化等服务请求处理周期不超过3个工作日。</w:t>
      </w:r>
    </w:p>
    <w:p w14:paraId="1FD66165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六、技术依据</w:t>
      </w:r>
    </w:p>
    <w:p w14:paraId="7E63240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乙方提供的产品和服务须符合以下但不限于以下标准和规范：</w:t>
      </w:r>
    </w:p>
    <w:p w14:paraId="3C69ED32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1、《地理信息系统技术基本要求》（GB/T 17798）</w:t>
      </w:r>
    </w:p>
    <w:p w14:paraId="46BD6A1C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2、《遥感影像地图制作规范》（GB/T 15968）</w:t>
      </w:r>
    </w:p>
    <w:p w14:paraId="6B9C90EE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3、《信息安全技术网络安全等级保护基本要求》（GB/T 22239）</w:t>
      </w:r>
    </w:p>
    <w:p w14:paraId="7070F5B7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4、《智慧城市顶层设计指南》（GB/T 36333）</w:t>
      </w:r>
    </w:p>
    <w:p w14:paraId="388F660A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5、《自然资源调查监测体系构建指南》（自然资源部发布）</w:t>
      </w:r>
    </w:p>
    <w:p w14:paraId="704A7182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6、《视频安防监控系统技术要求》（GA/T 367）</w:t>
      </w:r>
    </w:p>
    <w:p w14:paraId="72F18D4C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7、《信息技术软件开发项目管理规范》（GB/T 8566）</w:t>
      </w:r>
    </w:p>
    <w:p w14:paraId="37C68D3A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8、陕西省及</w:t>
      </w:r>
      <w:r>
        <w:rPr>
          <w:rFonts w:hint="eastAsia" w:ascii="仿宋" w:hAnsi="仿宋" w:eastAsia="仿宋" w:cs="仿宋_GB2312"/>
          <w:sz w:val="24"/>
          <w:lang w:eastAsia="zh-CN"/>
        </w:rPr>
        <w:t>汉中</w:t>
      </w:r>
      <w:r>
        <w:rPr>
          <w:rFonts w:hint="eastAsia" w:ascii="仿宋" w:hAnsi="仿宋" w:eastAsia="仿宋" w:cs="仿宋_GB2312"/>
          <w:sz w:val="24"/>
        </w:rPr>
        <w:t>市关于智慧自然资源、数字乡村、耕地保护等相关地方性技术导则与管理规定。</w:t>
      </w:r>
    </w:p>
    <w:p w14:paraId="5724C435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9、所有软硬件系统须通过国家相关检测认证，平台系统应满足等保二级及以上要求。</w:t>
      </w:r>
    </w:p>
    <w:p w14:paraId="388812C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七、交付标准</w:t>
      </w:r>
    </w:p>
    <w:p w14:paraId="57460B6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1、提供完整的技术文档、操作手册、培训资料。</w:t>
      </w:r>
    </w:p>
    <w:p w14:paraId="352F57F7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2、完成对采购方不少于2轮的系统使用培训。</w:t>
      </w:r>
    </w:p>
    <w:p w14:paraId="744E5C65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3、系统正式上线运行并通过测试。</w:t>
      </w:r>
    </w:p>
    <w:p w14:paraId="7D3B7B5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八、质量保修范围和保修期</w:t>
      </w:r>
    </w:p>
    <w:p w14:paraId="6DF77AC4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1、所有硬件设备质保期不少于</w:t>
      </w:r>
      <w:r>
        <w:rPr>
          <w:rFonts w:hint="eastAsia" w:ascii="仿宋" w:hAnsi="仿宋" w:eastAsia="仿宋" w:cs="仿宋_GB2312"/>
          <w:sz w:val="24"/>
          <w:lang w:val="en-US" w:eastAsia="zh-CN"/>
        </w:rPr>
        <w:t>3</w:t>
      </w:r>
      <w:r>
        <w:rPr>
          <w:rFonts w:hint="eastAsia" w:ascii="仿宋" w:hAnsi="仿宋" w:eastAsia="仿宋" w:cs="仿宋_GB2312"/>
          <w:sz w:val="24"/>
        </w:rPr>
        <w:t>年。</w:t>
      </w:r>
    </w:p>
    <w:p w14:paraId="4A2D9A07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2、软件系统终身免费升级维护。</w:t>
      </w:r>
    </w:p>
    <w:p w14:paraId="527ADCE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3、整体项目提供</w:t>
      </w:r>
      <w:r>
        <w:rPr>
          <w:rFonts w:hint="eastAsia" w:ascii="仿宋" w:hAnsi="仿宋" w:eastAsia="仿宋" w:cs="仿宋_GB2312"/>
          <w:sz w:val="24"/>
          <w:lang w:val="en-US" w:eastAsia="zh-CN"/>
        </w:rPr>
        <w:t>3</w:t>
      </w:r>
      <w:r>
        <w:rPr>
          <w:rFonts w:hint="eastAsia" w:ascii="仿宋" w:hAnsi="仿宋" w:eastAsia="仿宋" w:cs="仿宋_GB2312"/>
          <w:sz w:val="24"/>
        </w:rPr>
        <w:t>年全周期运维服务，包含故障处理、定期巡检、系统优化。</w:t>
      </w:r>
    </w:p>
    <w:p w14:paraId="4E787183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九、验收标准和方法</w:t>
      </w:r>
    </w:p>
    <w:p w14:paraId="3A56C8DC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1、完成软硬件部署并连续稳定运行3个月以上，经专家组验收，系统可用率≥99.5%达标。</w:t>
      </w:r>
    </w:p>
    <w:p w14:paraId="5E79E93C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2、所有监控点位数据接入平台，AI识别功能上线。</w:t>
      </w:r>
    </w:p>
    <w:p w14:paraId="38A78FBB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3、可视化平台功能模块全部可用，田长端APP可正常使用。</w:t>
      </w:r>
    </w:p>
    <w:p w14:paraId="01A5E1A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4、通过采购人组织的功能测试和压力测试。</w:t>
      </w:r>
    </w:p>
    <w:p w14:paraId="397C991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5、违法事件识别与处置闭环率达到95%指标要求。</w:t>
      </w:r>
    </w:p>
    <w:p w14:paraId="6E27E058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6、用户满意度调查结果优良率≥90%。</w:t>
      </w:r>
    </w:p>
    <w:p w14:paraId="3C5EB897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7、无数据泄露、系统瘫痪等安全责任事故。</w:t>
      </w:r>
    </w:p>
    <w:p w14:paraId="4380757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8、提交完整的技术文档、运维日志、测试报告、培训记录等资料。</w:t>
      </w:r>
    </w:p>
    <w:p w14:paraId="2B5767BB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9、由采购人牵头成立验收专家组，组织现场查验、系统测试和资料审核。</w:t>
      </w:r>
    </w:p>
    <w:p w14:paraId="773FC894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10、验收不合格的，限期整改，整改后仍不达标的，按合同约定处理。</w:t>
      </w:r>
    </w:p>
    <w:p w14:paraId="0A029AF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十、甲方的权利与义务</w:t>
      </w:r>
    </w:p>
    <w:p w14:paraId="20FE927A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1、甲方有权对合同规定范围内乙方的服务行为进行监督和检查，拥有监管权。有权核对乙方提供服务所配备的人员数量。对甲方认为不合理的部分有权下达整改通知书，并要求乙方限期整改。</w:t>
      </w:r>
    </w:p>
    <w:p w14:paraId="61460904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2、甲方有权负责检查监督乙方管理工作的实施及制度的执行情况。</w:t>
      </w:r>
    </w:p>
    <w:p w14:paraId="56D4CF38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3、甲方应根据本合同规定，按时向乙方支付应付服务费用。</w:t>
      </w:r>
    </w:p>
    <w:p w14:paraId="3D1E7F58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4、国家法律、法规所规定由甲方承担的其它责任。</w:t>
      </w:r>
    </w:p>
    <w:p w14:paraId="5608314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十一、乙方的权利与义务</w:t>
      </w:r>
    </w:p>
    <w:p w14:paraId="13584B1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1、认真完成甲方规定的服务内容要求。</w:t>
      </w:r>
    </w:p>
    <w:p w14:paraId="3D465FD7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2、乙方委派项目负责人，负责项目期间的全面管理及项目成果资料交接。</w:t>
      </w:r>
    </w:p>
    <w:p w14:paraId="4FD79FCF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3、乙方员工在工作期间发生一切事故、伤亡以及其他损失由乙方自行承担。因乙方自身原因实施服务过程中造成的甲方损失，乙方应承担赔偿责任。</w:t>
      </w:r>
    </w:p>
    <w:p w14:paraId="1E1AA6D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4、本项目知识产权归甲方所有，乙方应保证甲方不承担任何涉及知识产权引发的法律责任。</w:t>
      </w:r>
    </w:p>
    <w:p w14:paraId="7F7F230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5、乙方应及时向甲方通告本项目服务范围内有关服务的重大事项，及时配合处理各种突发事件。</w:t>
      </w:r>
    </w:p>
    <w:p w14:paraId="4B6FA1BA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6、乙方接受项目行业管理部门及政府有关部门的指导，接受甲方的监督。</w:t>
      </w:r>
    </w:p>
    <w:p w14:paraId="149C42DA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7、乙方应采取必要措施，按照部、省有关保密规定和甲方协议要求，对有关数据成果或过程数据成果等内容进行严格保密。项目完成后，乙方应将项目开展过程中从甲方领取的有关资料和数据，工作过程中形成的有关资料数据，以及最终成果资料数据全部交回甲方，不得私自留存，不得外传、拷贝或用于其他与本项目无关的活动。乙方未严格遵守上述条款造成泄密失密等问题的，乙方应承担相应责任。</w:t>
      </w:r>
    </w:p>
    <w:p w14:paraId="49BD5659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8、国家法律、法规所规定由乙方承担的其它责任。</w:t>
      </w:r>
    </w:p>
    <w:p w14:paraId="7FA67429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十二、违约责任及协议的解除</w:t>
      </w:r>
    </w:p>
    <w:p w14:paraId="2FC3555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1、甲乙双方必须遵守本合同并执行合同中的各项规定，保证本合同的正常履行。</w:t>
      </w:r>
    </w:p>
    <w:p w14:paraId="73ACA0D2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如因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40A2926C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3、乙方所交成果不符合国家法律法规和合同约定的，甲方有权拒收，并由乙方承担一切费用，甲方不予支付服务费用。</w:t>
      </w:r>
    </w:p>
    <w:p w14:paraId="37D81612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4、因乙方原因导致不能按期完成服务的，每逾期一日，按合同总额0.01%支付违约金。</w:t>
      </w:r>
    </w:p>
    <w:p w14:paraId="77D38C66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5、双方本着友好合作的态度,对合同履行过程中发生的纠纷应及时协商解决，协商不成的，向采购人所在地有管辖权的人民法院诉讼解决。</w:t>
      </w:r>
    </w:p>
    <w:p w14:paraId="09BE196C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十三、其他</w:t>
      </w:r>
    </w:p>
    <w:p w14:paraId="5CE1FB28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1、在合同有效期内，任何一方因不可抗力事件导致不能履行合同，则合同履行期延长，其延长期与不可抗力影响期相同。</w:t>
      </w:r>
    </w:p>
    <w:p w14:paraId="646D0CD7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2、合同一经签订，不得擅自变更、中止或者终止合同。对确需变更、调整或者中止、终止合同的，应按规定履行相应的手续</w:t>
      </w:r>
    </w:p>
    <w:p w14:paraId="46926FBE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3、甲方提供给乙方的相关基础资料只限于本项目，乙方需对资料保密，不得外传或用于本项目以外的其他事项。</w:t>
      </w:r>
    </w:p>
    <w:p w14:paraId="7AD5AB7B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4、本项目工作成果只能提交给甲方，不得提供给其他任何单位或用于其他事项。</w:t>
      </w:r>
    </w:p>
    <w:p w14:paraId="72207741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5、如乙方擅自提供资料，导致资料泄密，乙方需承担一切法律责任。</w:t>
      </w:r>
    </w:p>
    <w:p w14:paraId="628BF644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十四、合同组成</w:t>
      </w:r>
    </w:p>
    <w:p w14:paraId="2E738012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1、成交通知书</w:t>
      </w:r>
    </w:p>
    <w:p w14:paraId="2005059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2、合同文件</w:t>
      </w:r>
    </w:p>
    <w:p w14:paraId="7BB322A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3、国家相关规范及标准</w:t>
      </w:r>
    </w:p>
    <w:p w14:paraId="22463DFC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4、技术规格及参数表</w:t>
      </w:r>
      <w:bookmarkStart w:id="0" w:name="_GoBack"/>
      <w:bookmarkEnd w:id="0"/>
    </w:p>
    <w:p w14:paraId="7BC4BF31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5、</w:t>
      </w:r>
      <w:r>
        <w:rPr>
          <w:rFonts w:hint="eastAsia" w:ascii="仿宋" w:hAnsi="仿宋" w:eastAsia="仿宋" w:cs="仿宋_GB2312"/>
          <w:sz w:val="24"/>
          <w:lang w:eastAsia="zh-CN"/>
        </w:rPr>
        <w:t>招标</w:t>
      </w:r>
      <w:r>
        <w:rPr>
          <w:rFonts w:hint="eastAsia" w:ascii="仿宋" w:hAnsi="仿宋" w:eastAsia="仿宋" w:cs="仿宋_GB2312"/>
          <w:sz w:val="24"/>
        </w:rPr>
        <w:t>文件</w:t>
      </w:r>
    </w:p>
    <w:p w14:paraId="45E7A20D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6、</w:t>
      </w:r>
      <w:r>
        <w:rPr>
          <w:rFonts w:hint="eastAsia" w:ascii="仿宋" w:hAnsi="仿宋" w:eastAsia="仿宋" w:cs="仿宋_GB2312"/>
          <w:sz w:val="24"/>
          <w:lang w:eastAsia="zh-CN"/>
        </w:rPr>
        <w:t>投标</w:t>
      </w:r>
      <w:r>
        <w:rPr>
          <w:rFonts w:hint="eastAsia" w:ascii="仿宋" w:hAnsi="仿宋" w:eastAsia="仿宋" w:cs="仿宋_GB2312"/>
          <w:sz w:val="24"/>
        </w:rPr>
        <w:t>响应文件</w:t>
      </w:r>
    </w:p>
    <w:p w14:paraId="6240B24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十五、合同生效及其它</w:t>
      </w:r>
    </w:p>
    <w:p w14:paraId="67031FCF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1、合同未尽事宜、由甲、乙双方协商，作为合同补充，与原合同具有同等法律效力。</w:t>
      </w:r>
    </w:p>
    <w:p w14:paraId="7DE82AE0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2、本合同正本一式</w:t>
      </w:r>
      <w:r>
        <w:rPr>
          <w:rFonts w:hint="eastAsia" w:ascii="仿宋" w:hAnsi="仿宋" w:eastAsia="仿宋" w:cs="仿宋_GB2312"/>
          <w:sz w:val="24"/>
          <w:u w:val="single"/>
        </w:rPr>
        <w:t xml:space="preserve">    </w:t>
      </w:r>
      <w:r>
        <w:rPr>
          <w:rFonts w:hint="eastAsia" w:ascii="仿宋" w:hAnsi="仿宋" w:eastAsia="仿宋" w:cs="仿宋_GB2312"/>
          <w:sz w:val="24"/>
        </w:rPr>
        <w:t>份，甲方、乙方双方分别执</w:t>
      </w:r>
      <w:r>
        <w:rPr>
          <w:rFonts w:hint="eastAsia" w:ascii="仿宋" w:hAnsi="仿宋" w:eastAsia="仿宋" w:cs="仿宋_GB2312"/>
          <w:sz w:val="24"/>
          <w:u w:val="single"/>
        </w:rPr>
        <w:t xml:space="preserve">    </w:t>
      </w:r>
      <w:r>
        <w:rPr>
          <w:rFonts w:hint="eastAsia" w:ascii="仿宋" w:hAnsi="仿宋" w:eastAsia="仿宋" w:cs="仿宋_GB2312"/>
          <w:sz w:val="24"/>
        </w:rPr>
        <w:t>份，</w:t>
      </w:r>
      <w:r>
        <w:rPr>
          <w:rFonts w:hint="eastAsia" w:ascii="仿宋" w:hAnsi="仿宋" w:eastAsia="仿宋" w:cs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_GB2312"/>
          <w:sz w:val="24"/>
        </w:rPr>
        <w:t>备案</w:t>
      </w:r>
      <w:r>
        <w:rPr>
          <w:rFonts w:hint="eastAsia" w:ascii="仿宋" w:hAnsi="仿宋" w:eastAsia="仿宋" w:cs="仿宋_GB2312"/>
          <w:sz w:val="24"/>
          <w:u w:val="single"/>
        </w:rPr>
        <w:t xml:space="preserve">  </w:t>
      </w:r>
      <w:r>
        <w:rPr>
          <w:rFonts w:hint="eastAsia" w:ascii="仿宋" w:hAnsi="仿宋" w:eastAsia="仿宋" w:cs="仿宋_GB2312"/>
          <w:sz w:val="24"/>
        </w:rPr>
        <w:t>份。</w:t>
      </w:r>
    </w:p>
    <w:p w14:paraId="4EC1DC0B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3、合同经甲乙双方盖章、签字后生效，合同签订地点为</w:t>
      </w:r>
      <w:r>
        <w:rPr>
          <w:rFonts w:hint="eastAsia" w:ascii="仿宋" w:hAnsi="仿宋" w:eastAsia="仿宋" w:cs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_GB2312"/>
          <w:sz w:val="24"/>
        </w:rPr>
        <w:t>。</w:t>
      </w:r>
    </w:p>
    <w:p w14:paraId="7E2377D2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4、生效时间：</w:t>
      </w:r>
      <w:r>
        <w:rPr>
          <w:rFonts w:hint="eastAsia" w:ascii="仿宋" w:hAnsi="仿宋" w:eastAsia="仿宋" w:cs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_GB2312"/>
          <w:sz w:val="24"/>
        </w:rPr>
        <w:t>年</w:t>
      </w:r>
      <w:r>
        <w:rPr>
          <w:rFonts w:hint="eastAsia" w:ascii="仿宋" w:hAnsi="仿宋" w:eastAsia="仿宋" w:cs="仿宋_GB2312"/>
          <w:sz w:val="24"/>
          <w:u w:val="single"/>
        </w:rPr>
        <w:t xml:space="preserve"> </w:t>
      </w:r>
      <w:r>
        <w:rPr>
          <w:rFonts w:ascii="仿宋" w:hAnsi="仿宋" w:eastAsia="仿宋" w:cs="仿宋_GB2312"/>
          <w:sz w:val="24"/>
          <w:u w:val="single"/>
        </w:rPr>
        <w:t xml:space="preserve"> </w:t>
      </w:r>
      <w:r>
        <w:rPr>
          <w:rFonts w:hint="eastAsia" w:ascii="仿宋" w:hAnsi="仿宋" w:eastAsia="仿宋" w:cs="仿宋_GB2312"/>
          <w:sz w:val="24"/>
          <w:u w:val="single"/>
        </w:rPr>
        <w:t xml:space="preserve"> </w:t>
      </w:r>
      <w:r>
        <w:rPr>
          <w:rFonts w:hint="eastAsia" w:ascii="仿宋" w:hAnsi="仿宋" w:eastAsia="仿宋" w:cs="仿宋_GB2312"/>
          <w:sz w:val="24"/>
        </w:rPr>
        <w:t>月</w:t>
      </w:r>
      <w:r>
        <w:rPr>
          <w:rFonts w:hint="eastAsia" w:ascii="仿宋" w:hAnsi="仿宋" w:eastAsia="仿宋" w:cs="仿宋_GB2312"/>
          <w:sz w:val="24"/>
          <w:u w:val="single"/>
        </w:rPr>
        <w:t xml:space="preserve">  </w:t>
      </w:r>
      <w:r>
        <w:rPr>
          <w:rFonts w:ascii="仿宋" w:hAnsi="仿宋" w:eastAsia="仿宋" w:cs="仿宋_GB2312"/>
          <w:sz w:val="24"/>
          <w:u w:val="single"/>
        </w:rPr>
        <w:t xml:space="preserve"> </w:t>
      </w:r>
      <w:r>
        <w:rPr>
          <w:rFonts w:hint="eastAsia" w:ascii="仿宋" w:hAnsi="仿宋" w:eastAsia="仿宋" w:cs="仿宋_GB2312"/>
          <w:sz w:val="24"/>
        </w:rPr>
        <w:t>日</w:t>
      </w:r>
    </w:p>
    <w:p w14:paraId="31B8ADB9">
      <w:pPr>
        <w:tabs>
          <w:tab w:val="left" w:pos="980"/>
        </w:tabs>
        <w:kinsoku w:val="0"/>
        <w:spacing w:line="500" w:lineRule="exact"/>
        <w:ind w:firstLine="560"/>
        <w:rPr>
          <w:rFonts w:hint="eastAsia" w:ascii="仿宋" w:hAnsi="仿宋" w:eastAsia="仿宋" w:cs="仿宋_GB2312"/>
          <w:sz w:val="24"/>
        </w:rPr>
      </w:pPr>
    </w:p>
    <w:p w14:paraId="14ED648E">
      <w:pPr>
        <w:pStyle w:val="11"/>
        <w:rPr>
          <w:rFonts w:hint="eastAsia" w:ascii="仿宋" w:hAnsi="仿宋" w:eastAsia="仿宋"/>
        </w:rPr>
      </w:pPr>
    </w:p>
    <w:p w14:paraId="723766F6">
      <w:pPr>
        <w:pStyle w:val="11"/>
        <w:rPr>
          <w:rFonts w:hint="eastAsia" w:ascii="仿宋" w:hAnsi="仿宋" w:eastAsia="仿宋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2EE0F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5275E13B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甲方名称</w:t>
            </w:r>
            <w:r>
              <w:rPr>
                <w:rFonts w:hint="eastAsia" w:ascii="仿宋" w:hAnsi="仿宋" w:eastAsia="仿宋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</w:t>
            </w:r>
          </w:p>
          <w:p w14:paraId="0F4E63A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地址：</w:t>
            </w:r>
          </w:p>
          <w:p w14:paraId="4D511777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代表人（签字）：</w:t>
            </w:r>
          </w:p>
          <w:p w14:paraId="3AFE135C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电话：</w:t>
            </w:r>
          </w:p>
          <w:p w14:paraId="4039962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开户银行：</w:t>
            </w:r>
          </w:p>
          <w:p w14:paraId="7C430972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帐号：</w:t>
            </w:r>
          </w:p>
        </w:tc>
        <w:tc>
          <w:tcPr>
            <w:tcW w:w="4643" w:type="dxa"/>
          </w:tcPr>
          <w:p w14:paraId="32CE5719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乙方名称</w:t>
            </w:r>
            <w:r>
              <w:rPr>
                <w:rFonts w:hint="eastAsia" w:ascii="仿宋" w:hAnsi="仿宋" w:eastAsia="仿宋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</w:t>
            </w:r>
          </w:p>
          <w:p w14:paraId="30F01726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地址：</w:t>
            </w:r>
          </w:p>
          <w:p w14:paraId="05B4E812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代表人（签字）：</w:t>
            </w:r>
          </w:p>
          <w:p w14:paraId="0837B729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电话：</w:t>
            </w:r>
          </w:p>
          <w:p w14:paraId="5C7A5159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开户银行：</w:t>
            </w:r>
          </w:p>
          <w:p w14:paraId="5B8F98AD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帐号：</w:t>
            </w:r>
          </w:p>
        </w:tc>
      </w:tr>
    </w:tbl>
    <w:p w14:paraId="1FE7E5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520C3"/>
    <w:rsid w:val="00163566"/>
    <w:rsid w:val="00204D22"/>
    <w:rsid w:val="00511069"/>
    <w:rsid w:val="005F0284"/>
    <w:rsid w:val="00614B09"/>
    <w:rsid w:val="006765DC"/>
    <w:rsid w:val="006D00BF"/>
    <w:rsid w:val="00707424"/>
    <w:rsid w:val="008325C1"/>
    <w:rsid w:val="00A324D5"/>
    <w:rsid w:val="00AF3757"/>
    <w:rsid w:val="00B20265"/>
    <w:rsid w:val="00BD2D7B"/>
    <w:rsid w:val="00EE5228"/>
    <w:rsid w:val="00F046B5"/>
    <w:rsid w:val="00FD5616"/>
    <w:rsid w:val="521520C3"/>
    <w:rsid w:val="7D2D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semiHidden/>
    <w:qFormat/>
    <w:uiPriority w:val="0"/>
    <w:rPr>
      <w:rFonts w:ascii="黑体" w:hAnsi="黑体" w:eastAsia="黑体" w:cs="黑体"/>
      <w:sz w:val="16"/>
      <w:szCs w:val="16"/>
      <w:lang w:eastAsia="en-US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1">
    <w:name w:val="正文缩进1"/>
    <w:basedOn w:val="1"/>
    <w:qFormat/>
    <w:uiPriority w:val="0"/>
    <w:pPr>
      <w:ind w:firstLine="420" w:firstLineChars="200"/>
    </w:pPr>
    <w:rPr>
      <w:rFonts w:ascii="Times New Roman" w:hAnsi="Times New Roman" w:eastAsia="Arial Unicode MS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2630</Words>
  <Characters>2698</Characters>
  <Lines>92</Lines>
  <Paragraphs>91</Paragraphs>
  <TotalTime>1</TotalTime>
  <ScaleCrop>false</ScaleCrop>
  <LinksUpToDate>false</LinksUpToDate>
  <CharactersWithSpaces>2815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2025-10-27T08:24:00Z</dcterms:created>
  <dc:creator>j@x</dc:creator>
  <cp:lastModifiedBy>紫，宝</cp:lastModifiedBy>
  <dcterms:modified xsi:type="dcterms:W3CDTF">2026-08-20T10:03:49Z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C4D93B529E544CB4888F593ED2848BAB_11</vt:lpwstr>
  </property>
  <property fmtid="{D5CDD505-2E9C-101B-9397-08002B2CF9AE}" pid="4" name="KSOTemplateDocerSaveRecord">
    <vt:lpwstr>eyJoZGlkIjoiM2ExZTQ3NGJmNjkyY2E2MWE3Y2Y0OTE5YzYzYjA5NmIiLCJ1c2VySWQiOiI0MTY2NzI5MDIifQ==</vt:lpwstr>
  </property>
</Properties>
</file>