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版本号：【KRDL】K4-260506320260526003</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雁塔校区图书馆整体环境提升项目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【KRDL】K4-2605063</w:t>
      </w:r>
      <w:r>
        <w:br/>
      </w:r>
      <w:r>
        <w:br/>
      </w:r>
      <w:r>
        <w:br/>
      </w:r>
    </w:p>
    <w:p>
      <w:pPr>
        <w:pStyle w:val="null3"/>
        <w:jc w:val="center"/>
        <w:outlineLvl w:val="2"/>
      </w:pPr>
      <w:r>
        <w:rPr>
          <w:rFonts w:ascii="仿宋_GB2312" w:hAnsi="仿宋_GB2312" w:cs="仿宋_GB2312" w:eastAsia="仿宋_GB2312"/>
          <w:sz w:val="28"/>
          <w:b/>
        </w:rPr>
        <w:t>西安建筑科技大学</w:t>
      </w:r>
    </w:p>
    <w:p>
      <w:pPr>
        <w:pStyle w:val="null3"/>
        <w:jc w:val="center"/>
        <w:outlineLvl w:val="2"/>
      </w:pPr>
      <w:r>
        <w:rPr>
          <w:rFonts w:ascii="仿宋_GB2312" w:hAnsi="仿宋_GB2312" w:cs="仿宋_GB2312" w:eastAsia="仿宋_GB2312"/>
          <w:sz w:val="28"/>
          <w:b/>
        </w:rPr>
        <w:t>开瑞项目管理有限公司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2026年05月26日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开瑞项目管理有限公司</w:t>
      </w:r>
      <w:r>
        <w:rPr>
          <w:rFonts w:ascii="仿宋_GB2312" w:hAnsi="仿宋_GB2312" w:cs="仿宋_GB2312" w:eastAsia="仿宋_GB2312"/>
        </w:rPr>
        <w:t>（以下简称“代理机构”）受</w:t>
      </w:r>
      <w:r>
        <w:rPr>
          <w:rFonts w:ascii="仿宋_GB2312" w:hAnsi="仿宋_GB2312" w:cs="仿宋_GB2312" w:eastAsia="仿宋_GB2312"/>
        </w:rPr>
        <w:t>西安建筑科技大学</w:t>
      </w:r>
      <w:r>
        <w:rPr>
          <w:rFonts w:ascii="仿宋_GB2312" w:hAnsi="仿宋_GB2312" w:cs="仿宋_GB2312" w:eastAsia="仿宋_GB2312"/>
        </w:rPr>
        <w:t>委托，拟对</w:t>
      </w:r>
      <w:r>
        <w:rPr>
          <w:rFonts w:ascii="仿宋_GB2312" w:hAnsi="仿宋_GB2312" w:cs="仿宋_GB2312" w:eastAsia="仿宋_GB2312"/>
        </w:rPr>
        <w:t>雁塔校区图书馆整体环境提升项目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【KRDL】K4-2605063</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雁塔校区图书馆整体环境提升项目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西安建筑科技大学雁塔校区图书馆整体环境老化明显，墙面、顶面存在墙皮脱落、开裂等破损；卫生间及相关区域设施陈旧锈蚀、地面墙面脏污，给排水、电气及部分暖气片等配套设施也老化损坏，整体环境需改善提升。本项目工程内容涉及公区走廊墙顶地维修、一至五层自修室墙面维修、中厅晨读区墙面维修、安装暖气台板、部分暖气片拆除更换，维修面积13000㎡；一至五层西北角卫生间拆除5间、1-5层东侧卫生间维修10间。具体以本项目竞争性磋商文件、工程量清单及图纸为准。</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采购包1（雁塔校区图书馆整体环境提升项目）：属于专门面向中小企业采购。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1、主体资格：供应商为向采购人提供工程及相应服务的法人或其他组织；</w:t>
      </w:r>
    </w:p>
    <w:p>
      <w:pPr>
        <w:pStyle w:val="null3"/>
      </w:pPr>
      <w:r>
        <w:rPr>
          <w:rFonts w:ascii="仿宋_GB2312" w:hAnsi="仿宋_GB2312" w:cs="仿宋_GB2312" w:eastAsia="仿宋_GB2312"/>
        </w:rPr>
        <w:t>2、社会保障资金缴纳证明：供应商提供自2025年5月至今已缴纳的至少一个月的社会保障资金缴存单据或社保机构开具的社会保险参保缴费情况证明，单据或证明上应有社保机构或代收机构的公章。依法不需要缴纳社会保障资金的供应商应提供相关文件证明；</w:t>
      </w:r>
    </w:p>
    <w:p>
      <w:pPr>
        <w:pStyle w:val="null3"/>
      </w:pPr>
      <w:r>
        <w:rPr>
          <w:rFonts w:ascii="仿宋_GB2312" w:hAnsi="仿宋_GB2312" w:cs="仿宋_GB2312" w:eastAsia="仿宋_GB2312"/>
        </w:rPr>
        <w:t>3、税收缴纳证明：供应商提供自2025年5月至今已缴纳的至少一个月纳税证明或完税证明，依法免税的单位应提供相关证明材料；</w:t>
      </w:r>
    </w:p>
    <w:p>
      <w:pPr>
        <w:pStyle w:val="null3"/>
      </w:pPr>
      <w:r>
        <w:rPr>
          <w:rFonts w:ascii="仿宋_GB2312" w:hAnsi="仿宋_GB2312" w:cs="仿宋_GB2312" w:eastAsia="仿宋_GB2312"/>
        </w:rPr>
        <w:t>4、财务状况证明：供应商提供2024或2025年度经审计的完整财务审计报告或在开标日期前六个月内其基本开户银行出具的资信证明；</w:t>
      </w:r>
    </w:p>
    <w:p>
      <w:pPr>
        <w:pStyle w:val="null3"/>
      </w:pPr>
      <w:r>
        <w:rPr>
          <w:rFonts w:ascii="仿宋_GB2312" w:hAnsi="仿宋_GB2312" w:cs="仿宋_GB2312" w:eastAsia="仿宋_GB2312"/>
        </w:rPr>
        <w:t>5、供应商资质要求：供应商须具备建设行政主管部门颁发合法有效的建筑工程施工总承包三级(含)以上或建筑装修装饰工程专业承包二级(含)以上资质，并具备有效的安全生产许可证，且在人员、设备、资金等方面具备相应施工能力；</w:t>
      </w:r>
    </w:p>
    <w:p>
      <w:pPr>
        <w:pStyle w:val="null3"/>
      </w:pPr>
      <w:r>
        <w:rPr>
          <w:rFonts w:ascii="仿宋_GB2312" w:hAnsi="仿宋_GB2312" w:cs="仿宋_GB2312" w:eastAsia="仿宋_GB2312"/>
        </w:rPr>
        <w:t>6、供应商拟派项目经理资质和专业要求：供应商拟派项目经理具备合法有效的建筑工程专业注册建造师二级（含）以上执业资格及安全生产考核合格证书（安全B证），在本单位注册且无在建工程；</w:t>
      </w:r>
    </w:p>
    <w:p>
      <w:pPr>
        <w:pStyle w:val="null3"/>
      </w:pPr>
      <w:r>
        <w:rPr>
          <w:rFonts w:ascii="仿宋_GB2312" w:hAnsi="仿宋_GB2312" w:cs="仿宋_GB2312" w:eastAsia="仿宋_GB2312"/>
        </w:rPr>
        <w:t>7、信誉要求：供应商未被“信用中国”网站列入“重大税收违法失信主体名单”；未被“中国执行信息公开网”列入“失信被执行人”；未被“中国政府采购网”网站列入“政府采购严重违法失信行为记录名单”；未被“国家企业信用信息公示系统”网站“列入严重违法失信名单（黑名单）信息”； 同时拟派项目经理未被列入“信用中国”网站的“重点领域严重失信主体名单”中的“安全生产严重失信主体名单（自然人）”；未被“中国执行信息公开网”列入失信被执行人。</w:t>
      </w:r>
    </w:p>
    <w:p>
      <w:pPr>
        <w:pStyle w:val="null3"/>
      </w:pPr>
      <w:r>
        <w:rPr>
          <w:rFonts w:ascii="仿宋_GB2312" w:hAnsi="仿宋_GB2312" w:cs="仿宋_GB2312" w:eastAsia="仿宋_GB2312"/>
        </w:rPr>
        <w:t>8、其他要求：供应商及其拟派项目经理须在“陕西省住房和城乡建设厅”官方网站可查询；如供应商为外省进陕企业，还须同时提供“陕西省住房和城乡建设厅”官网企业库外省进陕施工企业信息首页截图；</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西安建筑科技大学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西安市雁塔路中段13号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710055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胡老师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029-82202221</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开瑞项目管理有限公司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陕西省西安市莲湖区高新二路1号招商银行大厦19层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姚瑶、代光艳、路坦、贾亚妮、刘如拉、王昭、刘昆、张晨、王森、靳祥德、成荔、彭明杨、王莉</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029-89581863、15229797656、17302920968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采购包1：2,006,400.00元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采购包1保证金金额：30,004.00元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开户名称：开瑞项目管理有限公司</w:t>
            </w:r>
          </w:p>
          <w:p>
            <w:pPr>
              <w:pStyle w:val="null3"/>
            </w:pPr>
            <w:r>
              <w:rPr>
                <w:rFonts w:ascii="仿宋_GB2312" w:hAnsi="仿宋_GB2312" w:cs="仿宋_GB2312" w:eastAsia="仿宋_GB2312"/>
              </w:rPr>
              <w:t>开户银行：招商银行股份有限公司西安分行营业部</w:t>
            </w:r>
          </w:p>
          <w:p>
            <w:pPr>
              <w:pStyle w:val="null3"/>
            </w:pPr>
            <w:r>
              <w:rPr>
                <w:rFonts w:ascii="仿宋_GB2312" w:hAnsi="仿宋_GB2312" w:cs="仿宋_GB2312" w:eastAsia="仿宋_GB2312"/>
              </w:rPr>
              <w:t>银行账号：129905724510703</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本采购包履约保证金为合同金额的3%</w:t>
            </w:r>
          </w:p>
          <w:p>
            <w:pPr>
              <w:pStyle w:val="null3"/>
            </w:pPr>
            <w:r>
              <w:rPr>
                <w:rFonts w:ascii="仿宋_GB2312" w:hAnsi="仿宋_GB2312" w:cs="仿宋_GB2312" w:eastAsia="仿宋_GB2312"/>
              </w:rPr>
              <w:t>说明：成交供应商凭成交通知书向采购人缴纳成交金额的3%作为履约保证金，待合同（含保修期）履约完毕后无息退还。若保修期内出现质量问题未及时处理或处理不当造成事故的，履约保证金不予退还。</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代理服务费收费标准：参照国家计委颁布的《招标代理服务收费管理暂行办法》（计价格[2002]1980号）及发改办价格[2003]857号文件的规定标准下浮25%收取，本项目代理服务费按服务计取。 备注：在对采购代理服务费或者响应保证金转账时需备注项目名称+采购包名称+采购代理服务费或响应保证金。</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采购包1：组织现场踏勘：是</w:t>
            </w:r>
          </w:p>
          <w:p>
            <w:pPr>
              <w:pStyle w:val="null3"/>
              <w:ind w:firstLine="975"/>
            </w:pPr>
            <w:r>
              <w:rPr>
                <w:rFonts w:ascii="仿宋_GB2312" w:hAnsi="仿宋_GB2312" w:cs="仿宋_GB2312" w:eastAsia="仿宋_GB2312"/>
              </w:rPr>
              <w:t>踏勘时间：2026-05-26 09:30:00</w:t>
            </w:r>
          </w:p>
          <w:p>
            <w:pPr>
              <w:pStyle w:val="null3"/>
              <w:ind w:firstLine="975"/>
            </w:pPr>
            <w:r>
              <w:rPr>
                <w:rFonts w:ascii="仿宋_GB2312" w:hAnsi="仿宋_GB2312" w:cs="仿宋_GB2312" w:eastAsia="仿宋_GB2312"/>
              </w:rPr>
              <w:t>踏勘地点：西安建筑科技大学雁塔校区北院图书馆</w:t>
            </w:r>
          </w:p>
          <w:p>
            <w:pPr>
              <w:pStyle w:val="null3"/>
              <w:ind w:firstLine="975"/>
            </w:pPr>
            <w:r>
              <w:rPr>
                <w:rFonts w:ascii="仿宋_GB2312" w:hAnsi="仿宋_GB2312" w:cs="仿宋_GB2312" w:eastAsia="仿宋_GB2312"/>
              </w:rPr>
              <w:t>联系人：屈延洁</w:t>
            </w:r>
          </w:p>
          <w:p>
            <w:pPr>
              <w:pStyle w:val="null3"/>
              <w:ind w:firstLine="975"/>
            </w:pPr>
            <w:r>
              <w:rPr>
                <w:rFonts w:ascii="仿宋_GB2312" w:hAnsi="仿宋_GB2312" w:cs="仿宋_GB2312" w:eastAsia="仿宋_GB2312"/>
              </w:rPr>
              <w:t>联系电话号码：17391959019</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西安建筑科技大学</w:t>
      </w:r>
      <w:r>
        <w:rPr>
          <w:rFonts w:ascii="仿宋_GB2312" w:hAnsi="仿宋_GB2312" w:cs="仿宋_GB2312" w:eastAsia="仿宋_GB2312"/>
        </w:rPr>
        <w:t>和</w:t>
      </w:r>
      <w:r>
        <w:rPr>
          <w:rFonts w:ascii="仿宋_GB2312" w:hAnsi="仿宋_GB2312" w:cs="仿宋_GB2312" w:eastAsia="仿宋_GB2312"/>
        </w:rPr>
        <w:t>开瑞项目管理有限公司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西安建筑科技大学</w:t>
      </w:r>
      <w:r>
        <w:rPr>
          <w:rFonts w:ascii="仿宋_GB2312" w:hAnsi="仿宋_GB2312" w:cs="仿宋_GB2312" w:eastAsia="仿宋_GB2312"/>
        </w:rPr>
        <w:t>负责解释。除上述磋商文件内容，其他内容由</w:t>
      </w:r>
      <w:r>
        <w:rPr>
          <w:rFonts w:ascii="仿宋_GB2312" w:hAnsi="仿宋_GB2312" w:cs="仿宋_GB2312" w:eastAsia="仿宋_GB2312"/>
        </w:rPr>
        <w:t>开瑞项目管理有限公司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西安建筑科技大学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开瑞项目管理有限公司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以竞争性磋商文件、响应文件及合同要求为准。</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开瑞项目管理有限公司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开瑞项目管理有限公司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开瑞项目管理有限公司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联系人：代光艳、刘如拉</w:t>
      </w:r>
    </w:p>
    <w:p>
      <w:pPr>
        <w:pStyle w:val="null3"/>
      </w:pPr>
      <w:r>
        <w:rPr>
          <w:rFonts w:ascii="仿宋_GB2312" w:hAnsi="仿宋_GB2312" w:cs="仿宋_GB2312" w:eastAsia="仿宋_GB2312"/>
        </w:rPr>
        <w:t>联系电话：15229797656</w:t>
      </w:r>
    </w:p>
    <w:p>
      <w:pPr>
        <w:pStyle w:val="null3"/>
      </w:pPr>
      <w:r>
        <w:rPr>
          <w:rFonts w:ascii="仿宋_GB2312" w:hAnsi="仿宋_GB2312" w:cs="仿宋_GB2312" w:eastAsia="仿宋_GB2312"/>
        </w:rPr>
        <w:t>地址：陕西省西安市莲湖区高新二路1号招商银行大厦19层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2,006,400.00</w:t>
      </w:r>
    </w:p>
    <w:p>
      <w:pPr>
        <w:pStyle w:val="null3"/>
      </w:pPr>
      <w:r>
        <w:rPr>
          <w:rFonts w:ascii="仿宋_GB2312" w:hAnsi="仿宋_GB2312" w:cs="仿宋_GB2312" w:eastAsia="仿宋_GB2312"/>
        </w:rPr>
        <w:t>采购包最高限价（元）: 2,006,400.00</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雁塔校区图书馆整体环境提升</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2,006,400.00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标的名称：雁塔校区图书馆整体环境提升</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82"/>
            </w:pPr>
            <w:r>
              <w:rPr>
                <w:rFonts w:ascii="仿宋_GB2312" w:hAnsi="仿宋_GB2312" w:cs="仿宋_GB2312" w:eastAsia="仿宋_GB2312"/>
                <w:sz w:val="24"/>
                <w:b/>
              </w:rPr>
              <w:t>一、项目概况</w:t>
            </w:r>
          </w:p>
          <w:p>
            <w:pPr>
              <w:pStyle w:val="null3"/>
              <w:ind w:firstLine="480"/>
            </w:pPr>
            <w:r>
              <w:rPr>
                <w:rFonts w:ascii="仿宋_GB2312" w:hAnsi="仿宋_GB2312" w:cs="仿宋_GB2312" w:eastAsia="仿宋_GB2312"/>
                <w:sz w:val="24"/>
              </w:rPr>
              <w:t>西安建筑科技大学雁塔校区</w:t>
            </w:r>
            <w:r>
              <w:rPr>
                <w:rFonts w:ascii="仿宋_GB2312" w:hAnsi="仿宋_GB2312" w:cs="仿宋_GB2312" w:eastAsia="仿宋_GB2312"/>
                <w:sz w:val="24"/>
              </w:rPr>
              <w:t>图书馆整体环境老化明显，墙面、顶面存在墙皮脱落、开裂等破损；卫生间及相关区域设施陈旧锈蚀、地面墙面脏污，给排水、电气及部分暖气片等配套设施也老化损坏，整体环境需改善提升。本项目工程内容涉及公区走廊墙顶地维修、一至五层自修室墙面维修、中厅晨读区墙面维修、安装暖气台板、部分暖气片拆除更换，维修面积</w:t>
            </w:r>
            <w:r>
              <w:rPr>
                <w:rFonts w:ascii="仿宋_GB2312" w:hAnsi="仿宋_GB2312" w:cs="仿宋_GB2312" w:eastAsia="仿宋_GB2312"/>
                <w:sz w:val="24"/>
              </w:rPr>
              <w:t>13000㎡；一至五层西北角卫生间拆除5间、1-5层东侧卫生间维修10间。</w:t>
            </w:r>
            <w:r>
              <w:rPr>
                <w:rFonts w:ascii="仿宋_GB2312" w:hAnsi="仿宋_GB2312" w:cs="仿宋_GB2312" w:eastAsia="仿宋_GB2312"/>
                <w:sz w:val="24"/>
              </w:rPr>
              <w:t>具体以本项目竞争性磋商文件、工程量清单及图纸为准。</w:t>
            </w:r>
          </w:p>
          <w:p>
            <w:pPr>
              <w:pStyle w:val="null3"/>
              <w:ind w:firstLine="482"/>
              <w:jc w:val="both"/>
            </w:pPr>
            <w:r>
              <w:rPr>
                <w:rFonts w:ascii="仿宋_GB2312" w:hAnsi="仿宋_GB2312" w:cs="仿宋_GB2312" w:eastAsia="仿宋_GB2312"/>
                <w:sz w:val="24"/>
                <w:b/>
              </w:rPr>
              <w:t>二、</w:t>
            </w:r>
            <w:r>
              <w:rPr>
                <w:rFonts w:ascii="仿宋_GB2312" w:hAnsi="仿宋_GB2312" w:cs="仿宋_GB2312" w:eastAsia="仿宋_GB2312"/>
                <w:sz w:val="24"/>
                <w:b/>
              </w:rPr>
              <w:t>工程技术标准及要求</w:t>
            </w:r>
          </w:p>
          <w:p>
            <w:pPr>
              <w:pStyle w:val="null3"/>
              <w:ind w:firstLine="480"/>
              <w:jc w:val="both"/>
            </w:pPr>
            <w:r>
              <w:rPr>
                <w:rFonts w:ascii="仿宋_GB2312" w:hAnsi="仿宋_GB2312" w:cs="仿宋_GB2312" w:eastAsia="仿宋_GB2312"/>
                <w:sz w:val="24"/>
              </w:rPr>
              <w:t>项目需执行的国家标准、行业标准、地方标准或者其他标准、规范等：</w:t>
            </w:r>
          </w:p>
          <w:tbl>
            <w:tblPr>
              <w:tblInd w:type="dxa" w:w="390"/>
              <w:tblBorders>
                <w:top w:val="none" w:color="000000" w:sz="4"/>
                <w:left w:val="none" w:color="000000" w:sz="4"/>
                <w:bottom w:val="none" w:color="000000" w:sz="4"/>
                <w:right w:val="none" w:color="000000" w:sz="4"/>
                <w:insideH w:val="none"/>
                <w:insideV w:val="none"/>
              </w:tblBorders>
            </w:tblPr>
            <w:tblGrid>
              <w:gridCol w:w="337"/>
              <w:gridCol w:w="2216"/>
            </w:tblGrid>
            <w:tr>
              <w:tc>
                <w:tcPr>
                  <w:tcW w:type="dxa" w:w="33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序号</w:t>
                  </w:r>
                </w:p>
              </w:tc>
              <w:tc>
                <w:tcPr>
                  <w:tcW w:type="dxa" w:w="221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标准、规范、规程名称</w:t>
                  </w:r>
                </w:p>
              </w:tc>
            </w:tr>
            <w:tr>
              <w:tc>
                <w:tcPr>
                  <w:tcW w:type="dxa" w:w="33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221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建筑工程施工质量验收统一标准（</w:t>
                  </w:r>
                  <w:r>
                    <w:rPr>
                      <w:rFonts w:ascii="仿宋_GB2312" w:hAnsi="仿宋_GB2312" w:cs="仿宋_GB2312" w:eastAsia="仿宋_GB2312"/>
                      <w:sz w:val="24"/>
                    </w:rPr>
                    <w:t>GB50300-2013）</w:t>
                  </w:r>
                </w:p>
              </w:tc>
            </w:tr>
          </w:tbl>
          <w:p>
            <w:pPr>
              <w:pStyle w:val="null3"/>
              <w:ind w:firstLine="480"/>
              <w:jc w:val="both"/>
            </w:pPr>
            <w:r>
              <w:rPr>
                <w:rFonts w:ascii="仿宋_GB2312" w:hAnsi="仿宋_GB2312" w:cs="仿宋_GB2312" w:eastAsia="仿宋_GB2312"/>
                <w:sz w:val="24"/>
              </w:rPr>
              <w:t>1.本工程的施工过程和成果必须符合国家有关工程建设标准强制性条文和国家或有关部门关于工程施工方面现行的标准、规范、规程、定额、办法、示例，以及陕西省关于工程施工方面的文件、规定，同时满足中华人民共和国住建部发布的《工程建设标准强制性条文》的规定。</w:t>
            </w:r>
          </w:p>
          <w:p>
            <w:pPr>
              <w:pStyle w:val="null3"/>
              <w:ind w:firstLine="480"/>
              <w:jc w:val="both"/>
            </w:pPr>
            <w:r>
              <w:rPr>
                <w:rFonts w:ascii="仿宋_GB2312" w:hAnsi="仿宋_GB2312" w:cs="仿宋_GB2312" w:eastAsia="仿宋_GB2312"/>
                <w:sz w:val="24"/>
              </w:rPr>
              <w:t>2.本工程其他技术标准及要求执行现行规范和采购人实际需求。</w:t>
            </w:r>
          </w:p>
          <w:p>
            <w:pPr>
              <w:pStyle w:val="null3"/>
              <w:ind w:firstLine="480"/>
              <w:jc w:val="both"/>
            </w:pPr>
            <w:r>
              <w:rPr>
                <w:rFonts w:ascii="仿宋_GB2312" w:hAnsi="仿宋_GB2312" w:cs="仿宋_GB2312" w:eastAsia="仿宋_GB2312"/>
                <w:sz w:val="24"/>
              </w:rPr>
              <w:t>3.在施工过程中，如果国家或有关部门颁布了新的技术部分准或规范，则承包人应采用新的标准或规范进行施工。</w:t>
            </w:r>
          </w:p>
          <w:p>
            <w:pPr>
              <w:pStyle w:val="null3"/>
              <w:ind w:firstLine="480"/>
              <w:jc w:val="both"/>
            </w:pPr>
            <w:r>
              <w:rPr>
                <w:rFonts w:ascii="仿宋_GB2312" w:hAnsi="仿宋_GB2312" w:cs="仿宋_GB2312" w:eastAsia="仿宋_GB2312"/>
                <w:sz w:val="24"/>
              </w:rPr>
              <w:t>4.采购人提供工程的施工方案和相关技术文件，是采购人现有的能被供应商利用的资料，采购人对供应商做出的任何推论、理解均不负责任。</w:t>
            </w:r>
          </w:p>
          <w:p>
            <w:pPr>
              <w:pStyle w:val="null3"/>
              <w:ind w:firstLine="480"/>
              <w:jc w:val="left"/>
            </w:pPr>
            <w:r>
              <w:rPr>
                <w:rFonts w:ascii="仿宋_GB2312" w:hAnsi="仿宋_GB2312" w:cs="仿宋_GB2312" w:eastAsia="仿宋_GB2312"/>
                <w:sz w:val="24"/>
              </w:rPr>
              <w:t>5.供应商应先到工程地点踏勘以充分了解工地位置、地质情况、进出场道路、拆迁干扰、储存空间、运输能力、装卸限制、行车干扰及任何其它足以影响承包价格的情况，了解施工规范、标准以及施工现场实际等情况，并应考虑现有人、材、机市场水平和供应、投标风险、不利的施工因素等，任何因忽视或误解工地情况而导致的索赔或工期延长申请将不获批准。</w:t>
            </w:r>
          </w:p>
          <w:p>
            <w:pPr>
              <w:pStyle w:val="null3"/>
              <w:ind w:firstLine="480"/>
              <w:jc w:val="both"/>
            </w:pPr>
            <w:r>
              <w:rPr>
                <w:rFonts w:ascii="仿宋_GB2312" w:hAnsi="仿宋_GB2312" w:cs="仿宋_GB2312" w:eastAsia="仿宋_GB2312"/>
                <w:sz w:val="24"/>
              </w:rPr>
              <w:t>6.供应商取得验收手续后，及时通知采购人验收，并按采购人的要求提交竣工验收申请报告及竣工资料，采购人应及时组织验收，并在验收后10个工作日内作出合格或不合格的验收意见，验收不合格的，供应商应返工，直至采购人验收合格为止，返工的一切费用由供应商承担，且工期不予顺延。如供应商在规定时间内未能组织验收的，需及时通知采购人，双方另行商定验收日期。</w:t>
            </w:r>
          </w:p>
          <w:p>
            <w:pPr>
              <w:pStyle w:val="null3"/>
              <w:ind w:firstLine="480"/>
              <w:jc w:val="both"/>
            </w:pPr>
            <w:r>
              <w:rPr>
                <w:rFonts w:ascii="仿宋_GB2312" w:hAnsi="仿宋_GB2312" w:cs="仿宋_GB2312" w:eastAsia="仿宋_GB2312"/>
                <w:sz w:val="24"/>
              </w:rPr>
              <w:t>7.成交供应商未经采购人及有关部门同意，不得擅自变更本项目在竞争性磋商过程承诺中认定的采购范围、实施组织方案和项目经理（响应文件中应明确项目经理的姓名及联系方法，以备检查）</w:t>
            </w:r>
          </w:p>
          <w:p>
            <w:pPr>
              <w:pStyle w:val="null3"/>
              <w:ind w:firstLine="480"/>
              <w:jc w:val="both"/>
            </w:pPr>
            <w:r>
              <w:rPr>
                <w:rFonts w:ascii="仿宋_GB2312" w:hAnsi="仿宋_GB2312" w:cs="仿宋_GB2312" w:eastAsia="仿宋_GB2312"/>
                <w:sz w:val="24"/>
              </w:rPr>
              <w:t>8.成交供应商必须自行施工，不得转包、分包。</w:t>
            </w:r>
          </w:p>
          <w:p>
            <w:pPr>
              <w:pStyle w:val="null3"/>
              <w:ind w:firstLine="480"/>
              <w:jc w:val="both"/>
            </w:pPr>
            <w:r>
              <w:rPr>
                <w:rFonts w:ascii="仿宋_GB2312" w:hAnsi="仿宋_GB2312" w:cs="仿宋_GB2312" w:eastAsia="仿宋_GB2312"/>
                <w:sz w:val="24"/>
              </w:rPr>
              <w:t>9.成交供应商在施工过程中不得影响学校的日常生活、工作秩序。</w:t>
            </w:r>
          </w:p>
          <w:p>
            <w:pPr>
              <w:pStyle w:val="null3"/>
              <w:ind w:firstLine="480"/>
              <w:jc w:val="both"/>
            </w:pPr>
            <w:r>
              <w:rPr>
                <w:rFonts w:ascii="仿宋_GB2312" w:hAnsi="仿宋_GB2312" w:cs="仿宋_GB2312" w:eastAsia="仿宋_GB2312"/>
                <w:sz w:val="24"/>
              </w:rPr>
              <w:t>10.现场垃圾清运、治污减霾工作由成交供应商全权负责，供应商应负责做好项目的扬尘防治工作及垃圾清运工作。</w:t>
            </w:r>
          </w:p>
          <w:p>
            <w:pPr>
              <w:pStyle w:val="null3"/>
              <w:ind w:firstLine="482"/>
              <w:jc w:val="both"/>
            </w:pPr>
            <w:r>
              <w:rPr>
                <w:rFonts w:ascii="仿宋_GB2312" w:hAnsi="仿宋_GB2312" w:cs="仿宋_GB2312" w:eastAsia="仿宋_GB2312"/>
                <w:sz w:val="24"/>
                <w:b/>
              </w:rPr>
              <w:t>二</w:t>
            </w:r>
            <w:r>
              <w:rPr>
                <w:rFonts w:ascii="仿宋_GB2312" w:hAnsi="仿宋_GB2312" w:cs="仿宋_GB2312" w:eastAsia="仿宋_GB2312"/>
                <w:sz w:val="24"/>
                <w:b/>
              </w:rPr>
              <w:t>、工程量清单、图纸及主要材料</w:t>
            </w:r>
          </w:p>
          <w:p>
            <w:pPr>
              <w:pStyle w:val="null3"/>
              <w:ind w:firstLine="482"/>
              <w:jc w:val="both"/>
            </w:pPr>
            <w:r>
              <w:rPr>
                <w:rFonts w:ascii="仿宋_GB2312" w:hAnsi="仿宋_GB2312" w:cs="仿宋_GB2312" w:eastAsia="仿宋_GB2312"/>
                <w:sz w:val="24"/>
                <w:b/>
              </w:rPr>
              <w:t>（一）工程量清单：</w:t>
            </w:r>
            <w:r>
              <w:rPr>
                <w:rFonts w:ascii="仿宋_GB2312" w:hAnsi="仿宋_GB2312" w:cs="仿宋_GB2312" w:eastAsia="仿宋_GB2312"/>
                <w:sz w:val="24"/>
              </w:rPr>
              <w:t>详见附件。</w:t>
            </w:r>
          </w:p>
          <w:p>
            <w:pPr>
              <w:pStyle w:val="null3"/>
              <w:ind w:firstLine="482"/>
              <w:jc w:val="both"/>
            </w:pPr>
            <w:r>
              <w:rPr>
                <w:rFonts w:ascii="仿宋_GB2312" w:hAnsi="仿宋_GB2312" w:cs="仿宋_GB2312" w:eastAsia="仿宋_GB2312"/>
                <w:sz w:val="24"/>
                <w:b/>
              </w:rPr>
              <w:t>（二）图纸：</w:t>
            </w:r>
            <w:r>
              <w:rPr>
                <w:rFonts w:ascii="仿宋_GB2312" w:hAnsi="仿宋_GB2312" w:cs="仿宋_GB2312" w:eastAsia="仿宋_GB2312"/>
                <w:sz w:val="24"/>
              </w:rPr>
              <w:t>详见附件。</w:t>
            </w:r>
          </w:p>
          <w:p>
            <w:pPr>
              <w:pStyle w:val="null3"/>
              <w:ind w:firstLine="482"/>
              <w:jc w:val="both"/>
            </w:pPr>
            <w:r>
              <w:rPr>
                <w:rFonts w:ascii="仿宋_GB2312" w:hAnsi="仿宋_GB2312" w:cs="仿宋_GB2312" w:eastAsia="仿宋_GB2312"/>
                <w:sz w:val="24"/>
                <w:b/>
              </w:rPr>
              <w:t>（</w:t>
            </w:r>
            <w:r>
              <w:rPr>
                <w:rFonts w:ascii="仿宋_GB2312" w:hAnsi="仿宋_GB2312" w:cs="仿宋_GB2312" w:eastAsia="仿宋_GB2312"/>
                <w:sz w:val="24"/>
                <w:b/>
              </w:rPr>
              <w:t>三</w:t>
            </w:r>
            <w:r>
              <w:rPr>
                <w:rFonts w:ascii="仿宋_GB2312" w:hAnsi="仿宋_GB2312" w:cs="仿宋_GB2312" w:eastAsia="仿宋_GB2312"/>
                <w:sz w:val="24"/>
                <w:b/>
              </w:rPr>
              <w:t>）主要材料技术参数要求</w:t>
            </w:r>
          </w:p>
          <w:tbl>
            <w:tblPr>
              <w:tblBorders>
                <w:top w:val="none" w:color="000000" w:sz="4"/>
                <w:left w:val="none" w:color="000000" w:sz="4"/>
                <w:bottom w:val="none" w:color="000000" w:sz="4"/>
                <w:right w:val="none" w:color="000000" w:sz="4"/>
                <w:insideH w:val="none"/>
                <w:insideV w:val="none"/>
              </w:tblBorders>
            </w:tblPr>
            <w:tblGrid>
              <w:gridCol w:w="202"/>
              <w:gridCol w:w="220"/>
              <w:gridCol w:w="247"/>
              <w:gridCol w:w="1709"/>
            </w:tblGrid>
            <w:tr>
              <w:tc>
                <w:tcPr>
                  <w:tcW w:type="dxa" w:w="20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序号</w:t>
                  </w:r>
                </w:p>
              </w:tc>
              <w:tc>
                <w:tcPr>
                  <w:tcW w:type="dxa" w:w="22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类别</w:t>
                  </w:r>
                </w:p>
              </w:tc>
              <w:tc>
                <w:tcPr>
                  <w:tcW w:type="dxa" w:w="24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材料名称</w:t>
                  </w:r>
                </w:p>
              </w:tc>
              <w:tc>
                <w:tcPr>
                  <w:tcW w:type="dxa" w:w="170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参数、标准、要求</w:t>
                  </w:r>
                </w:p>
              </w:tc>
            </w:tr>
            <w:tr>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22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装饰装修</w:t>
                  </w: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乳胶漆</w:t>
                  </w:r>
                </w:p>
              </w:tc>
              <w:tc>
                <w:tcPr>
                  <w:tcW w:type="dxa" w:w="17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 乳胶漆挥发性有机化合物含量（60°光泽≤10）≤50g/L</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2. 乳胶漆挥发性有机化合物含量（60°光泽＞10）≤80g/L</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3. 乳胶漆甲醛含量（乙酰丙酮法）≤30mg/kg</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4. 乳胶漆苯、甲苯、乙苯、二甲苯总和≤80mg/kg</w:t>
                  </w:r>
                </w:p>
                <w:p>
                  <w:pPr>
                    <w:pStyle w:val="null3"/>
                    <w:jc w:val="left"/>
                  </w:pPr>
                  <w:r>
                    <w:rPr>
                      <w:rFonts w:ascii="仿宋_GB2312" w:hAnsi="仿宋_GB2312" w:cs="仿宋_GB2312" w:eastAsia="仿宋_GB2312"/>
                      <w:sz w:val="24"/>
                    </w:rPr>
                    <w:t>5.耐洗刷性：≥6000 次</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非工程款竹炭净味漆，</w:t>
                  </w:r>
                  <w:r>
                    <w:rPr>
                      <w:rFonts w:ascii="仿宋_GB2312" w:hAnsi="仿宋_GB2312" w:cs="仿宋_GB2312" w:eastAsia="仿宋_GB2312"/>
                      <w:sz w:val="24"/>
                    </w:rPr>
                    <w:t>甲醛净化效率</w:t>
                  </w:r>
                  <w:r>
                    <w:rPr>
                      <w:rFonts w:ascii="仿宋_GB2312" w:hAnsi="仿宋_GB2312" w:cs="仿宋_GB2312" w:eastAsia="仿宋_GB2312"/>
                      <w:sz w:val="24"/>
                    </w:rPr>
                    <w:t>≥80%，竹炭颗粒细度≤50纳米，VOC≤10g/L，符合GB18582-2020标准，未添加香精、溶剂，游离甲醛≤5mg/kg，通过CNAS认证，</w:t>
                  </w:r>
                  <w:r>
                    <w:rPr>
                      <w:rFonts w:ascii="仿宋_GB2312" w:hAnsi="仿宋_GB2312" w:cs="仿宋_GB2312" w:eastAsia="仿宋_GB2312"/>
                      <w:sz w:val="24"/>
                    </w:rPr>
                    <w:t>节能环保产品，符合本项目工程量清单、施工图纸相关要求，符合</w:t>
                  </w:r>
                  <w:r>
                    <w:rPr>
                      <w:rFonts w:ascii="仿宋_GB2312" w:hAnsi="仿宋_GB2312" w:cs="仿宋_GB2312" w:eastAsia="仿宋_GB2312"/>
                      <w:sz w:val="24"/>
                    </w:rPr>
                    <w:t>国家相关标准、规范</w:t>
                  </w:r>
                  <w:r>
                    <w:rPr>
                      <w:rFonts w:ascii="仿宋_GB2312" w:hAnsi="仿宋_GB2312" w:cs="仿宋_GB2312" w:eastAsia="仿宋_GB2312"/>
                      <w:sz w:val="24"/>
                    </w:rPr>
                    <w:t>。</w:t>
                  </w:r>
                </w:p>
              </w:tc>
            </w:tr>
            <w:tr>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220"/>
                  <w:vMerge/>
                  <w:tcBorders>
                    <w:top w:val="none" w:color="000000" w:sz="4"/>
                    <w:left w:val="single" w:color="000000" w:sz="4"/>
                    <w:bottom w:val="single" w:color="000000" w:sz="4"/>
                    <w:right w:val="single" w:color="000000" w:sz="4"/>
                  </w:tcBorders>
                </w:tcP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墙地瓷砖</w:t>
                  </w:r>
                </w:p>
              </w:tc>
              <w:tc>
                <w:tcPr>
                  <w:tcW w:type="dxa" w:w="17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通过</w:t>
                  </w:r>
                  <w:r>
                    <w:rPr>
                      <w:rFonts w:ascii="仿宋_GB2312" w:hAnsi="仿宋_GB2312" w:cs="仿宋_GB2312" w:eastAsia="仿宋_GB2312"/>
                      <w:sz w:val="24"/>
                    </w:rPr>
                    <w:t>3C认证，执行标准GB/T4100-2015附录G，干压陶瓷E≤0.5%BIa类M，吸水率≤0.5%，摩擦系数≥0.5，符合GB6566-2010建筑材料放射性核素限量中放射性水平A类。</w:t>
                  </w:r>
                  <w:r>
                    <w:rPr>
                      <w:rFonts w:ascii="仿宋_GB2312" w:hAnsi="仿宋_GB2312" w:cs="仿宋_GB2312" w:eastAsia="仿宋_GB2312"/>
                      <w:sz w:val="24"/>
                    </w:rPr>
                    <w:t>产品内照射指数</w:t>
                  </w:r>
                  <w:r>
                    <w:rPr>
                      <w:rFonts w:ascii="仿宋_GB2312" w:hAnsi="仿宋_GB2312" w:cs="仿宋_GB2312" w:eastAsia="仿宋_GB2312"/>
                      <w:sz w:val="24"/>
                    </w:rPr>
                    <w:t>IRa≤0.9</w:t>
                  </w:r>
                  <w:r>
                    <w:rPr>
                      <w:rFonts w:ascii="仿宋_GB2312" w:hAnsi="仿宋_GB2312" w:cs="仿宋_GB2312" w:eastAsia="仿宋_GB2312"/>
                      <w:sz w:val="24"/>
                    </w:rPr>
                    <w:t>，</w:t>
                  </w:r>
                  <w:r>
                    <w:rPr>
                      <w:rFonts w:ascii="仿宋_GB2312" w:hAnsi="仿宋_GB2312" w:cs="仿宋_GB2312" w:eastAsia="仿宋_GB2312"/>
                      <w:sz w:val="24"/>
                    </w:rPr>
                    <w:t>外照射指数</w:t>
                  </w:r>
                  <w:r>
                    <w:rPr>
                      <w:rFonts w:ascii="仿宋_GB2312" w:hAnsi="仿宋_GB2312" w:cs="仿宋_GB2312" w:eastAsia="仿宋_GB2312"/>
                      <w:sz w:val="24"/>
                    </w:rPr>
                    <w:t>Ir≤1.2</w:t>
                  </w:r>
                  <w:r>
                    <w:rPr>
                      <w:rFonts w:ascii="仿宋_GB2312" w:hAnsi="仿宋_GB2312" w:cs="仿宋_GB2312" w:eastAsia="仿宋_GB2312"/>
                      <w:sz w:val="24"/>
                    </w:rPr>
                    <w:t>，</w:t>
                  </w:r>
                  <w:r>
                    <w:rPr>
                      <w:rFonts w:ascii="仿宋_GB2312" w:hAnsi="仿宋_GB2312" w:cs="仿宋_GB2312" w:eastAsia="仿宋_GB2312"/>
                      <w:sz w:val="24"/>
                    </w:rPr>
                    <w:t>耐污染性</w:t>
                  </w:r>
                  <w:r>
                    <w:rPr>
                      <w:rFonts w:ascii="仿宋_GB2312" w:hAnsi="仿宋_GB2312" w:cs="仿宋_GB2312" w:eastAsia="仿宋_GB2312"/>
                      <w:sz w:val="24"/>
                    </w:rPr>
                    <w:t>≥3 级</w:t>
                  </w:r>
                  <w:r>
                    <w:rPr>
                      <w:rFonts w:ascii="仿宋_GB2312" w:hAnsi="仿宋_GB2312" w:cs="仿宋_GB2312" w:eastAsia="仿宋_GB2312"/>
                      <w:sz w:val="24"/>
                    </w:rPr>
                    <w:t>，</w:t>
                  </w:r>
                  <w:r>
                    <w:rPr>
                      <w:rFonts w:ascii="仿宋_GB2312" w:hAnsi="仿宋_GB2312" w:cs="仿宋_GB2312" w:eastAsia="仿宋_GB2312"/>
                      <w:sz w:val="24"/>
                    </w:rPr>
                    <w:t>节能环保产品，符合本项目工程量清单、施工图纸相关要求，符合</w:t>
                  </w:r>
                  <w:r>
                    <w:rPr>
                      <w:rFonts w:ascii="仿宋_GB2312" w:hAnsi="仿宋_GB2312" w:cs="仿宋_GB2312" w:eastAsia="仿宋_GB2312"/>
                      <w:sz w:val="24"/>
                    </w:rPr>
                    <w:t>国家相关标准、规范</w:t>
                  </w:r>
                  <w:r>
                    <w:rPr>
                      <w:rFonts w:ascii="仿宋_GB2312" w:hAnsi="仿宋_GB2312" w:cs="仿宋_GB2312" w:eastAsia="仿宋_GB2312"/>
                      <w:sz w:val="24"/>
                    </w:rPr>
                    <w:t>。</w:t>
                  </w:r>
                </w:p>
              </w:tc>
            </w:tr>
            <w:tr>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220"/>
                  <w:vMerge/>
                  <w:tcBorders>
                    <w:top w:val="none" w:color="000000" w:sz="4"/>
                    <w:left w:val="single" w:color="000000" w:sz="4"/>
                    <w:bottom w:val="single" w:color="000000" w:sz="4"/>
                    <w:right w:val="single" w:color="000000" w:sz="4"/>
                  </w:tcBorders>
                </w:tcP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不锈钢</w:t>
                  </w:r>
                </w:p>
              </w:tc>
              <w:tc>
                <w:tcPr>
                  <w:tcW w:type="dxa" w:w="17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1.2mm厚304哑光不锈钢,节能环保产品，符合本项目工程量清单、施工图纸相关要求，符合</w:t>
                  </w:r>
                  <w:r>
                    <w:rPr>
                      <w:rFonts w:ascii="仿宋_GB2312" w:hAnsi="仿宋_GB2312" w:cs="仿宋_GB2312" w:eastAsia="仿宋_GB2312"/>
                      <w:sz w:val="24"/>
                    </w:rPr>
                    <w:t>国家相关标准、规范</w:t>
                  </w:r>
                  <w:r>
                    <w:rPr>
                      <w:rFonts w:ascii="仿宋_GB2312" w:hAnsi="仿宋_GB2312" w:cs="仿宋_GB2312" w:eastAsia="仿宋_GB2312"/>
                      <w:sz w:val="24"/>
                    </w:rPr>
                    <w:t>。</w:t>
                  </w:r>
                </w:p>
              </w:tc>
            </w:tr>
            <w:tr>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220"/>
                  <w:vMerge/>
                  <w:tcBorders>
                    <w:top w:val="none" w:color="000000" w:sz="4"/>
                    <w:left w:val="single" w:color="000000" w:sz="4"/>
                    <w:bottom w:val="single" w:color="000000" w:sz="4"/>
                    <w:right w:val="single" w:color="000000" w:sz="4"/>
                  </w:tcBorders>
                </w:tcP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人造石</w:t>
                  </w:r>
                </w:p>
              </w:tc>
              <w:tc>
                <w:tcPr>
                  <w:tcW w:type="dxa" w:w="17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20、18mm厚，防水、防渗、防霉，抗压≥160MPa，抗冲击≥15kg/㎡，弯曲强度≥40MPa，耐磨≤0.02g/cm</w:t>
                  </w:r>
                  <w:r>
                    <w:rPr>
                      <w:rFonts w:ascii="仿宋_GB2312" w:hAnsi="仿宋_GB2312" w:cs="仿宋_GB2312" w:eastAsia="仿宋_GB2312"/>
                      <w:sz w:val="24"/>
                      <w:vertAlign w:val="superscript"/>
                    </w:rPr>
                    <w:t>2</w:t>
                  </w:r>
                  <w:r>
                    <w:rPr>
                      <w:rFonts w:ascii="仿宋_GB2312" w:hAnsi="仿宋_GB2312" w:cs="仿宋_GB2312" w:eastAsia="仿宋_GB2312"/>
                      <w:sz w:val="24"/>
                    </w:rPr>
                    <w:t>，抗菌率</w:t>
                  </w:r>
                  <w:r>
                    <w:rPr>
                      <w:rFonts w:ascii="仿宋_GB2312" w:hAnsi="仿宋_GB2312" w:cs="仿宋_GB2312" w:eastAsia="仿宋_GB2312"/>
                      <w:sz w:val="24"/>
                    </w:rPr>
                    <w:t>≥99%，耐温差-20℃~120℃，耐酸碱10%盐酸，耐污≥4级，甲醛符合GB18580-2017，E0级≤0.05mg/m³，VOC含量≤100g/L，放射性核素内照≤1.0外照≤1.3，符合</w:t>
                  </w:r>
                  <w:r>
                    <w:rPr>
                      <w:rFonts w:ascii="仿宋_GB2312" w:hAnsi="仿宋_GB2312" w:cs="仿宋_GB2312" w:eastAsia="仿宋_GB2312"/>
                      <w:sz w:val="24"/>
                    </w:rPr>
                    <w:t>国家相关标准、规范</w:t>
                  </w:r>
                  <w:r>
                    <w:rPr>
                      <w:rFonts w:ascii="仿宋_GB2312" w:hAnsi="仿宋_GB2312" w:cs="仿宋_GB2312" w:eastAsia="仿宋_GB2312"/>
                      <w:sz w:val="24"/>
                    </w:rPr>
                    <w:t>，</w:t>
                  </w:r>
                  <w:r>
                    <w:rPr>
                      <w:rFonts w:ascii="仿宋_GB2312" w:hAnsi="仿宋_GB2312" w:cs="仿宋_GB2312" w:eastAsia="仿宋_GB2312"/>
                      <w:sz w:val="24"/>
                    </w:rPr>
                    <w:t>满足设计需求</w:t>
                  </w:r>
                  <w:r>
                    <w:rPr>
                      <w:rFonts w:ascii="仿宋_GB2312" w:hAnsi="仿宋_GB2312" w:cs="仿宋_GB2312" w:eastAsia="仿宋_GB2312"/>
                      <w:sz w:val="24"/>
                    </w:rPr>
                    <w:t>。</w:t>
                  </w:r>
                </w:p>
              </w:tc>
            </w:tr>
            <w:tr>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w:t>
                  </w:r>
                </w:p>
              </w:tc>
              <w:tc>
                <w:tcPr>
                  <w:tcW w:type="dxa" w:w="220"/>
                  <w:vMerge/>
                  <w:tcBorders>
                    <w:top w:val="none" w:color="000000" w:sz="4"/>
                    <w:left w:val="single" w:color="000000" w:sz="4"/>
                    <w:bottom w:val="single" w:color="000000" w:sz="4"/>
                    <w:right w:val="single" w:color="000000" w:sz="4"/>
                  </w:tcBorders>
                </w:tcP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阻燃木工板</w:t>
                  </w:r>
                </w:p>
              </w:tc>
              <w:tc>
                <w:tcPr>
                  <w:tcW w:type="dxa" w:w="17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15mm厚，节能环保产品，符合本项目工程量清单、施工图纸相关要求，符合</w:t>
                  </w:r>
                  <w:r>
                    <w:rPr>
                      <w:rFonts w:ascii="仿宋_GB2312" w:hAnsi="仿宋_GB2312" w:cs="仿宋_GB2312" w:eastAsia="仿宋_GB2312"/>
                      <w:sz w:val="24"/>
                    </w:rPr>
                    <w:t>国家相关标准、规范</w:t>
                  </w:r>
                  <w:r>
                    <w:rPr>
                      <w:rFonts w:ascii="仿宋_GB2312" w:hAnsi="仿宋_GB2312" w:cs="仿宋_GB2312" w:eastAsia="仿宋_GB2312"/>
                      <w:sz w:val="24"/>
                    </w:rPr>
                    <w:t>。</w:t>
                  </w:r>
                </w:p>
              </w:tc>
            </w:tr>
            <w:tr>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w:t>
                  </w:r>
                </w:p>
              </w:tc>
              <w:tc>
                <w:tcPr>
                  <w:tcW w:type="dxa" w:w="220"/>
                  <w:vMerge/>
                  <w:tcBorders>
                    <w:top w:val="none" w:color="000000" w:sz="4"/>
                    <w:left w:val="single" w:color="000000" w:sz="4"/>
                    <w:bottom w:val="single" w:color="000000" w:sz="4"/>
                    <w:right w:val="single" w:color="000000" w:sz="4"/>
                  </w:tcBorders>
                </w:tcP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石膏板</w:t>
                  </w:r>
                </w:p>
              </w:tc>
              <w:tc>
                <w:tcPr>
                  <w:tcW w:type="dxa" w:w="17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9/12mm厚节能环保产品，符合本项目工程量清单、施工图纸相关要求，符合</w:t>
                  </w:r>
                  <w:r>
                    <w:rPr>
                      <w:rFonts w:ascii="仿宋_GB2312" w:hAnsi="仿宋_GB2312" w:cs="仿宋_GB2312" w:eastAsia="仿宋_GB2312"/>
                      <w:sz w:val="24"/>
                    </w:rPr>
                    <w:t>国家相关标准、规范</w:t>
                  </w:r>
                  <w:r>
                    <w:rPr>
                      <w:rFonts w:ascii="仿宋_GB2312" w:hAnsi="仿宋_GB2312" w:cs="仿宋_GB2312" w:eastAsia="仿宋_GB2312"/>
                      <w:sz w:val="24"/>
                    </w:rPr>
                    <w:t>。</w:t>
                  </w:r>
                </w:p>
              </w:tc>
            </w:tr>
            <w:tr>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w:t>
                  </w:r>
                </w:p>
              </w:tc>
              <w:tc>
                <w:tcPr>
                  <w:tcW w:type="dxa" w:w="220"/>
                  <w:vMerge/>
                  <w:tcBorders>
                    <w:top w:val="none" w:color="000000" w:sz="4"/>
                    <w:left w:val="single" w:color="000000" w:sz="4"/>
                    <w:bottom w:val="single" w:color="000000" w:sz="4"/>
                    <w:right w:val="single" w:color="000000" w:sz="4"/>
                  </w:tcBorders>
                </w:tcP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轻钢龙骨</w:t>
                  </w:r>
                </w:p>
              </w:tc>
              <w:tc>
                <w:tcPr>
                  <w:tcW w:type="dxa" w:w="17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节能环保产品，符合本项目工程量清单、施工图纸相关要求，</w:t>
                  </w:r>
                  <w:r>
                    <w:rPr>
                      <w:rFonts w:ascii="仿宋_GB2312" w:hAnsi="仿宋_GB2312" w:cs="仿宋_GB2312" w:eastAsia="仿宋_GB2312"/>
                      <w:sz w:val="24"/>
                    </w:rPr>
                    <w:t>符合国家相关标准、规范</w:t>
                  </w:r>
                  <w:r>
                    <w:rPr>
                      <w:rFonts w:ascii="仿宋_GB2312" w:hAnsi="仿宋_GB2312" w:cs="仿宋_GB2312" w:eastAsia="仿宋_GB2312"/>
                      <w:sz w:val="24"/>
                    </w:rPr>
                    <w:t>。</w:t>
                  </w:r>
                </w:p>
              </w:tc>
            </w:tr>
            <w:tr>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w:t>
                  </w:r>
                </w:p>
              </w:tc>
              <w:tc>
                <w:tcPr>
                  <w:tcW w:type="dxa" w:w="220"/>
                  <w:vMerge/>
                  <w:tcBorders>
                    <w:top w:val="none" w:color="000000" w:sz="4"/>
                    <w:left w:val="single" w:color="000000" w:sz="4"/>
                    <w:bottom w:val="single" w:color="000000" w:sz="4"/>
                    <w:right w:val="single" w:color="000000" w:sz="4"/>
                  </w:tcBorders>
                </w:tcP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玻璃</w:t>
                  </w:r>
                </w:p>
              </w:tc>
              <w:tc>
                <w:tcPr>
                  <w:tcW w:type="dxa" w:w="17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钢化白浮法玻璃，</w:t>
                  </w:r>
                  <w:r>
                    <w:rPr>
                      <w:rFonts w:ascii="仿宋_GB2312" w:hAnsi="仿宋_GB2312" w:cs="仿宋_GB2312" w:eastAsia="仿宋_GB2312"/>
                      <w:sz w:val="24"/>
                    </w:rPr>
                    <w:t>符合本项目工程量清单、施工图纸相关要求，</w:t>
                  </w:r>
                  <w:r>
                    <w:rPr>
                      <w:rFonts w:ascii="仿宋_GB2312" w:hAnsi="仿宋_GB2312" w:cs="仿宋_GB2312" w:eastAsia="仿宋_GB2312"/>
                      <w:sz w:val="24"/>
                    </w:rPr>
                    <w:t>符合国家相关标准、规范</w:t>
                  </w:r>
                  <w:r>
                    <w:rPr>
                      <w:rFonts w:ascii="仿宋_GB2312" w:hAnsi="仿宋_GB2312" w:cs="仿宋_GB2312" w:eastAsia="仿宋_GB2312"/>
                      <w:sz w:val="24"/>
                    </w:rPr>
                    <w:t>。</w:t>
                  </w:r>
                </w:p>
              </w:tc>
            </w:tr>
            <w:tr>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w:t>
                  </w:r>
                </w:p>
              </w:tc>
              <w:tc>
                <w:tcPr>
                  <w:tcW w:type="dxa" w:w="220"/>
                  <w:vMerge/>
                  <w:tcBorders>
                    <w:top w:val="none" w:color="000000" w:sz="4"/>
                    <w:left w:val="single" w:color="000000" w:sz="4"/>
                    <w:bottom w:val="single" w:color="000000" w:sz="4"/>
                    <w:right w:val="single" w:color="000000" w:sz="4"/>
                  </w:tcBorders>
                </w:tcP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铝合金</w:t>
                  </w:r>
                </w:p>
              </w:tc>
              <w:tc>
                <w:tcPr>
                  <w:tcW w:type="dxa" w:w="17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90系列铝合金厚度1.4mm，</w:t>
                  </w:r>
                  <w:r>
                    <w:rPr>
                      <w:rFonts w:ascii="仿宋_GB2312" w:hAnsi="仿宋_GB2312" w:cs="仿宋_GB2312" w:eastAsia="仿宋_GB2312"/>
                      <w:sz w:val="24"/>
                    </w:rPr>
                    <w:t>符合国家相关标准、规范</w:t>
                  </w:r>
                  <w:r>
                    <w:rPr>
                      <w:rFonts w:ascii="仿宋_GB2312" w:hAnsi="仿宋_GB2312" w:cs="仿宋_GB2312" w:eastAsia="仿宋_GB2312"/>
                      <w:sz w:val="24"/>
                    </w:rPr>
                    <w:t>。</w:t>
                  </w:r>
                </w:p>
              </w:tc>
            </w:tr>
            <w:tr>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w:t>
                  </w:r>
                </w:p>
              </w:tc>
              <w:tc>
                <w:tcPr>
                  <w:tcW w:type="dxa" w:w="220"/>
                  <w:vMerge/>
                  <w:tcBorders>
                    <w:top w:val="none" w:color="000000" w:sz="4"/>
                    <w:left w:val="single" w:color="000000" w:sz="4"/>
                    <w:bottom w:val="single" w:color="000000" w:sz="4"/>
                    <w:right w:val="single" w:color="000000" w:sz="4"/>
                  </w:tcBorders>
                </w:tcP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玻璃胶</w:t>
                  </w:r>
                </w:p>
              </w:tc>
              <w:tc>
                <w:tcPr>
                  <w:tcW w:type="dxa" w:w="17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1.单位产品总挥发性有机物（TVOC）含量≤80g/kg</w:t>
                  </w:r>
                </w:p>
                <w:p>
                  <w:pPr>
                    <w:pStyle w:val="null3"/>
                    <w:jc w:val="left"/>
                  </w:pPr>
                  <w:r>
                    <w:rPr>
                      <w:rFonts w:ascii="仿宋_GB2312" w:hAnsi="仿宋_GB2312" w:cs="仿宋_GB2312" w:eastAsia="仿宋_GB2312"/>
                      <w:sz w:val="24"/>
                    </w:rPr>
                    <w:t>2.不得检出烷烃增塑剂（红外光谱）</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3. 密封胶分级达到 20HM、25HM、20LM</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4.符合《胶粘剂中有害物质限量》</w:t>
                  </w:r>
                  <w:r>
                    <w:rPr>
                      <w:rFonts w:ascii="仿宋_GB2312" w:hAnsi="仿宋_GB2312" w:cs="仿宋_GB2312" w:eastAsia="仿宋_GB2312"/>
                      <w:sz w:val="24"/>
                    </w:rPr>
                    <w:t>GB</w:t>
                  </w:r>
                  <w:r>
                    <w:rPr>
                      <w:rFonts w:ascii="仿宋_GB2312" w:hAnsi="仿宋_GB2312" w:cs="仿宋_GB2312" w:eastAsia="仿宋_GB2312"/>
                      <w:sz w:val="24"/>
                    </w:rPr>
                    <w:t xml:space="preserve"> </w:t>
                  </w:r>
                  <w:r>
                    <w:rPr>
                      <w:rFonts w:ascii="仿宋_GB2312" w:hAnsi="仿宋_GB2312" w:cs="仿宋_GB2312" w:eastAsia="仿宋_GB2312"/>
                      <w:sz w:val="24"/>
                    </w:rPr>
                    <w:t>18583-2008</w:t>
                  </w:r>
                  <w:r>
                    <w:rPr>
                      <w:rFonts w:ascii="仿宋_GB2312" w:hAnsi="仿宋_GB2312" w:cs="仿宋_GB2312" w:eastAsia="仿宋_GB2312"/>
                      <w:sz w:val="24"/>
                    </w:rPr>
                    <w:t>。</w:t>
                  </w:r>
                </w:p>
              </w:tc>
            </w:tr>
            <w:tr>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11</w:t>
                  </w:r>
                </w:p>
              </w:tc>
              <w:tc>
                <w:tcPr>
                  <w:tcW w:type="dxa" w:w="220"/>
                  <w:vMerge/>
                  <w:tcBorders>
                    <w:top w:val="none" w:color="000000" w:sz="4"/>
                    <w:left w:val="single" w:color="000000" w:sz="4"/>
                    <w:bottom w:val="single" w:color="000000" w:sz="4"/>
                    <w:right w:val="single" w:color="000000" w:sz="4"/>
                  </w:tcBorders>
                </w:tcP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结构胶</w:t>
                  </w:r>
                </w:p>
              </w:tc>
              <w:tc>
                <w:tcPr>
                  <w:tcW w:type="dxa" w:w="17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1.单位产品总挥发性有机物（TVOC）含量≤80g/kg</w:t>
                  </w:r>
                </w:p>
                <w:p>
                  <w:pPr>
                    <w:pStyle w:val="null3"/>
                    <w:jc w:val="left"/>
                  </w:pPr>
                  <w:r>
                    <w:rPr>
                      <w:rFonts w:ascii="仿宋_GB2312" w:hAnsi="仿宋_GB2312" w:cs="仿宋_GB2312" w:eastAsia="仿宋_GB2312"/>
                      <w:sz w:val="24"/>
                    </w:rPr>
                    <w:t>2.不得检出烷烃增塑剂（红外光谱）</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3.23℃拉伸粘结强度标准值≥0.6MPa</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4.粘结破坏面积≤5%</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4.符合《胶粘剂中有害物质限量》</w:t>
                  </w:r>
                  <w:r>
                    <w:rPr>
                      <w:rFonts w:ascii="仿宋_GB2312" w:hAnsi="仿宋_GB2312" w:cs="仿宋_GB2312" w:eastAsia="仿宋_GB2312"/>
                      <w:sz w:val="24"/>
                    </w:rPr>
                    <w:t>GB</w:t>
                  </w:r>
                  <w:r>
                    <w:rPr>
                      <w:rFonts w:ascii="仿宋_GB2312" w:hAnsi="仿宋_GB2312" w:cs="仿宋_GB2312" w:eastAsia="仿宋_GB2312"/>
                      <w:sz w:val="24"/>
                    </w:rPr>
                    <w:t xml:space="preserve"> </w:t>
                  </w:r>
                  <w:r>
                    <w:rPr>
                      <w:rFonts w:ascii="仿宋_GB2312" w:hAnsi="仿宋_GB2312" w:cs="仿宋_GB2312" w:eastAsia="仿宋_GB2312"/>
                      <w:sz w:val="24"/>
                    </w:rPr>
                    <w:t>18583-2008</w:t>
                  </w:r>
                  <w:r>
                    <w:rPr>
                      <w:rFonts w:ascii="仿宋_GB2312" w:hAnsi="仿宋_GB2312" w:cs="仿宋_GB2312" w:eastAsia="仿宋_GB2312"/>
                      <w:sz w:val="24"/>
                    </w:rPr>
                    <w:t>。</w:t>
                  </w:r>
                </w:p>
              </w:tc>
            </w:tr>
            <w:tr>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12</w:t>
                  </w:r>
                </w:p>
              </w:tc>
              <w:tc>
                <w:tcPr>
                  <w:tcW w:type="dxa" w:w="220"/>
                  <w:vMerge/>
                  <w:tcBorders>
                    <w:top w:val="none" w:color="000000" w:sz="4"/>
                    <w:left w:val="single" w:color="000000" w:sz="4"/>
                    <w:bottom w:val="single" w:color="000000" w:sz="4"/>
                    <w:right w:val="single" w:color="000000" w:sz="4"/>
                  </w:tcBorders>
                </w:tcP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抗倍特板隔断</w:t>
                  </w:r>
                </w:p>
              </w:tc>
              <w:tc>
                <w:tcPr>
                  <w:tcW w:type="dxa" w:w="17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防水防潮，</w:t>
                  </w:r>
                  <w:r>
                    <w:rPr>
                      <w:rFonts w:ascii="仿宋_GB2312" w:hAnsi="仿宋_GB2312" w:cs="仿宋_GB2312" w:eastAsia="仿宋_GB2312"/>
                      <w:sz w:val="24"/>
                    </w:rPr>
                    <w:t>符合国家相关标准、规范。</w:t>
                  </w:r>
                </w:p>
              </w:tc>
            </w:tr>
            <w:tr>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13</w:t>
                  </w:r>
                </w:p>
              </w:tc>
              <w:tc>
                <w:tcPr>
                  <w:tcW w:type="dxa" w:w="220"/>
                  <w:vMerge/>
                  <w:tcBorders>
                    <w:top w:val="none" w:color="000000" w:sz="4"/>
                    <w:left w:val="single" w:color="000000" w:sz="4"/>
                    <w:bottom w:val="single" w:color="000000" w:sz="4"/>
                    <w:right w:val="single" w:color="000000" w:sz="4"/>
                  </w:tcBorders>
                </w:tcP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防水涂料</w:t>
                  </w:r>
                </w:p>
              </w:tc>
              <w:tc>
                <w:tcPr>
                  <w:tcW w:type="dxa" w:w="17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聚氨酯防水涂料</w:t>
                  </w:r>
                  <w:r>
                    <w:rPr>
                      <w:rFonts w:ascii="仿宋_GB2312" w:hAnsi="仿宋_GB2312" w:cs="仿宋_GB2312" w:eastAsia="仿宋_GB2312"/>
                      <w:sz w:val="24"/>
                    </w:rPr>
                    <w:t>,</w:t>
                  </w:r>
                  <w:r>
                    <w:rPr>
                      <w:rFonts w:ascii="仿宋_GB2312" w:hAnsi="仿宋_GB2312" w:cs="仿宋_GB2312" w:eastAsia="仿宋_GB2312"/>
                      <w:sz w:val="24"/>
                    </w:rPr>
                    <w:t>符合本项目工程量清单、施工图纸相关要求，符合</w:t>
                  </w:r>
                  <w:r>
                    <w:rPr>
                      <w:rFonts w:ascii="仿宋_GB2312" w:hAnsi="仿宋_GB2312" w:cs="仿宋_GB2312" w:eastAsia="仿宋_GB2312"/>
                      <w:sz w:val="24"/>
                    </w:rPr>
                    <w:t>国家相关标准、规范</w:t>
                  </w:r>
                  <w:r>
                    <w:rPr>
                      <w:rFonts w:ascii="仿宋_GB2312" w:hAnsi="仿宋_GB2312" w:cs="仿宋_GB2312" w:eastAsia="仿宋_GB2312"/>
                      <w:sz w:val="24"/>
                    </w:rPr>
                    <w:t>。</w:t>
                  </w:r>
                </w:p>
              </w:tc>
            </w:tr>
            <w:tr>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14</w:t>
                  </w:r>
                </w:p>
              </w:tc>
              <w:tc>
                <w:tcPr>
                  <w:tcW w:type="dxa" w:w="22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电气</w:t>
                  </w: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配电箱</w:t>
                  </w:r>
                </w:p>
              </w:tc>
              <w:tc>
                <w:tcPr>
                  <w:tcW w:type="dxa" w:w="17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1.符合本项目工程量清单、施工图纸相关要求和国家相关标准、规范；</w:t>
                  </w:r>
                </w:p>
                <w:p>
                  <w:pPr>
                    <w:pStyle w:val="null3"/>
                    <w:jc w:val="left"/>
                  </w:pPr>
                  <w:r>
                    <w:rPr>
                      <w:rFonts w:ascii="仿宋_GB2312" w:hAnsi="仿宋_GB2312" w:cs="仿宋_GB2312" w:eastAsia="仿宋_GB2312"/>
                      <w:sz w:val="24"/>
                    </w:rPr>
                    <w:t>2.箱体、元器件安装底板均采用大型钢厂冷轧钢板。配电箱箱体为喷塑，颜色为电脑灰色；安装底板应镀锌；</w:t>
                  </w:r>
                </w:p>
                <w:p>
                  <w:pPr>
                    <w:pStyle w:val="null3"/>
                    <w:jc w:val="left"/>
                  </w:pPr>
                  <w:r>
                    <w:rPr>
                      <w:rFonts w:ascii="仿宋_GB2312" w:hAnsi="仿宋_GB2312" w:cs="仿宋_GB2312" w:eastAsia="仿宋_GB2312"/>
                      <w:sz w:val="24"/>
                    </w:rPr>
                    <w:t>3.箱内布线要分色；一次线、铜排、辅料均采用合格产品。</w:t>
                  </w:r>
                </w:p>
                <w:p>
                  <w:pPr>
                    <w:pStyle w:val="null3"/>
                    <w:jc w:val="left"/>
                  </w:pPr>
                  <w:r>
                    <w:rPr>
                      <w:rFonts w:ascii="仿宋_GB2312" w:hAnsi="仿宋_GB2312" w:cs="仿宋_GB2312" w:eastAsia="仿宋_GB2312"/>
                      <w:sz w:val="24"/>
                    </w:rPr>
                    <w:t>4.施工图纸中箱体规格尺寸仅供参考，报价不再因箱体尺寸变化而变化</w:t>
                  </w:r>
                </w:p>
              </w:tc>
            </w:tr>
            <w:tr>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15</w:t>
                  </w:r>
                </w:p>
              </w:tc>
              <w:tc>
                <w:tcPr>
                  <w:tcW w:type="dxa" w:w="220"/>
                  <w:vMerge/>
                  <w:tcBorders>
                    <w:top w:val="none" w:color="000000" w:sz="4"/>
                    <w:left w:val="single" w:color="000000" w:sz="4"/>
                    <w:bottom w:val="single" w:color="000000" w:sz="4"/>
                    <w:right w:val="single" w:color="000000" w:sz="4"/>
                  </w:tcBorders>
                </w:tcP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电线</w:t>
                  </w:r>
                </w:p>
              </w:tc>
              <w:tc>
                <w:tcPr>
                  <w:tcW w:type="dxa" w:w="17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采用低烟低毒阻燃型线缆、矿物绝缘类不燃性电缆等，且导体材料采用铜芯</w:t>
                  </w:r>
                  <w:r>
                    <w:rPr>
                      <w:rFonts w:ascii="仿宋_GB2312" w:hAnsi="仿宋_GB2312" w:cs="仿宋_GB2312" w:eastAsia="仿宋_GB2312"/>
                      <w:sz w:val="24"/>
                    </w:rPr>
                    <w:t>,中国机械工业百强工厂产品，</w:t>
                  </w:r>
                  <w:r>
                    <w:rPr>
                      <w:rFonts w:ascii="仿宋_GB2312" w:hAnsi="仿宋_GB2312" w:cs="仿宋_GB2312" w:eastAsia="仿宋_GB2312"/>
                      <w:sz w:val="24"/>
                    </w:rPr>
                    <w:t>符合本项目工程量清单、施工图纸相关要求，符合</w:t>
                  </w:r>
                  <w:r>
                    <w:rPr>
                      <w:rFonts w:ascii="仿宋_GB2312" w:hAnsi="仿宋_GB2312" w:cs="仿宋_GB2312" w:eastAsia="仿宋_GB2312"/>
                      <w:sz w:val="24"/>
                    </w:rPr>
                    <w:t>国家相关标准、规范</w:t>
                  </w:r>
                  <w:r>
                    <w:rPr>
                      <w:rFonts w:ascii="仿宋_GB2312" w:hAnsi="仿宋_GB2312" w:cs="仿宋_GB2312" w:eastAsia="仿宋_GB2312"/>
                      <w:sz w:val="24"/>
                    </w:rPr>
                    <w:t>。</w:t>
                  </w:r>
                </w:p>
              </w:tc>
            </w:tr>
            <w:tr>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16</w:t>
                  </w:r>
                </w:p>
              </w:tc>
              <w:tc>
                <w:tcPr>
                  <w:tcW w:type="dxa" w:w="220"/>
                  <w:vMerge/>
                  <w:tcBorders>
                    <w:top w:val="none" w:color="000000" w:sz="4"/>
                    <w:left w:val="single" w:color="000000" w:sz="4"/>
                    <w:bottom w:val="single" w:color="000000" w:sz="4"/>
                    <w:right w:val="single" w:color="000000" w:sz="4"/>
                  </w:tcBorders>
                </w:tcP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线管</w:t>
                  </w:r>
                </w:p>
              </w:tc>
              <w:tc>
                <w:tcPr>
                  <w:tcW w:type="dxa" w:w="17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节能环保产品，符合本项目工程量清单、施工图纸相关要求，符合</w:t>
                  </w:r>
                  <w:r>
                    <w:rPr>
                      <w:rFonts w:ascii="仿宋_GB2312" w:hAnsi="仿宋_GB2312" w:cs="仿宋_GB2312" w:eastAsia="仿宋_GB2312"/>
                      <w:sz w:val="24"/>
                    </w:rPr>
                    <w:t>国家相关标准、规范</w:t>
                  </w:r>
                  <w:r>
                    <w:rPr>
                      <w:rFonts w:ascii="仿宋_GB2312" w:hAnsi="仿宋_GB2312" w:cs="仿宋_GB2312" w:eastAsia="仿宋_GB2312"/>
                      <w:sz w:val="24"/>
                    </w:rPr>
                    <w:t>。</w:t>
                  </w:r>
                </w:p>
              </w:tc>
            </w:tr>
            <w:tr>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17</w:t>
                  </w:r>
                </w:p>
              </w:tc>
              <w:tc>
                <w:tcPr>
                  <w:tcW w:type="dxa" w:w="220"/>
                  <w:vMerge/>
                  <w:tcBorders>
                    <w:top w:val="none" w:color="000000" w:sz="4"/>
                    <w:left w:val="single" w:color="000000" w:sz="4"/>
                    <w:bottom w:val="single" w:color="000000" w:sz="4"/>
                    <w:right w:val="single" w:color="000000" w:sz="4"/>
                  </w:tcBorders>
                </w:tcP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开关</w:t>
                  </w:r>
                  <w:r>
                    <w:rPr>
                      <w:rFonts w:ascii="仿宋_GB2312" w:hAnsi="仿宋_GB2312" w:cs="仿宋_GB2312" w:eastAsia="仿宋_GB2312"/>
                      <w:sz w:val="24"/>
                    </w:rPr>
                    <w:t>/插座</w:t>
                  </w:r>
                  <w:r>
                    <w:rPr>
                      <w:rFonts w:ascii="仿宋_GB2312" w:hAnsi="仿宋_GB2312" w:cs="仿宋_GB2312" w:eastAsia="仿宋_GB2312"/>
                      <w:sz w:val="24"/>
                    </w:rPr>
                    <w:t>面板</w:t>
                  </w:r>
                </w:p>
              </w:tc>
              <w:tc>
                <w:tcPr>
                  <w:tcW w:type="dxa" w:w="17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220V，64A/32A/16A/10A等，</w:t>
                  </w:r>
                  <w:r>
                    <w:rPr>
                      <w:rFonts w:ascii="仿宋_GB2312" w:hAnsi="仿宋_GB2312" w:cs="仿宋_GB2312" w:eastAsia="仿宋_GB2312"/>
                      <w:sz w:val="24"/>
                    </w:rPr>
                    <w:t>节能环保产品，符合本项目工程量清单、施工图纸相关要求，符合</w:t>
                  </w:r>
                  <w:r>
                    <w:rPr>
                      <w:rFonts w:ascii="仿宋_GB2312" w:hAnsi="仿宋_GB2312" w:cs="仿宋_GB2312" w:eastAsia="仿宋_GB2312"/>
                      <w:sz w:val="24"/>
                    </w:rPr>
                    <w:t>国家相关标准、规范</w:t>
                  </w:r>
                  <w:r>
                    <w:rPr>
                      <w:rFonts w:ascii="仿宋_GB2312" w:hAnsi="仿宋_GB2312" w:cs="仿宋_GB2312" w:eastAsia="仿宋_GB2312"/>
                      <w:sz w:val="24"/>
                    </w:rPr>
                    <w:t>。</w:t>
                  </w:r>
                </w:p>
              </w:tc>
            </w:tr>
            <w:tr>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18</w:t>
                  </w:r>
                </w:p>
              </w:tc>
              <w:tc>
                <w:tcPr>
                  <w:tcW w:type="dxa" w:w="220"/>
                  <w:vMerge/>
                  <w:tcBorders>
                    <w:top w:val="none" w:color="000000" w:sz="4"/>
                    <w:left w:val="single" w:color="000000" w:sz="4"/>
                    <w:bottom w:val="single" w:color="000000" w:sz="4"/>
                    <w:right w:val="single" w:color="000000" w:sz="4"/>
                  </w:tcBorders>
                </w:tcP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空气开关</w:t>
                  </w:r>
                </w:p>
              </w:tc>
              <w:tc>
                <w:tcPr>
                  <w:tcW w:type="dxa" w:w="17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16/32A等，带漏电保护。节能环保产品，符合本项目工程量清单、施工图纸相关要求，符合</w:t>
                  </w:r>
                  <w:r>
                    <w:rPr>
                      <w:rFonts w:ascii="仿宋_GB2312" w:hAnsi="仿宋_GB2312" w:cs="仿宋_GB2312" w:eastAsia="仿宋_GB2312"/>
                      <w:sz w:val="24"/>
                    </w:rPr>
                    <w:t>国家相关标准、规范</w:t>
                  </w:r>
                  <w:r>
                    <w:rPr>
                      <w:rFonts w:ascii="仿宋_GB2312" w:hAnsi="仿宋_GB2312" w:cs="仿宋_GB2312" w:eastAsia="仿宋_GB2312"/>
                      <w:sz w:val="24"/>
                    </w:rPr>
                    <w:t>。</w:t>
                  </w:r>
                </w:p>
              </w:tc>
            </w:tr>
            <w:tr>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19</w:t>
                  </w:r>
                </w:p>
              </w:tc>
              <w:tc>
                <w:tcPr>
                  <w:tcW w:type="dxa" w:w="220"/>
                  <w:vMerge/>
                  <w:tcBorders>
                    <w:top w:val="none" w:color="000000" w:sz="4"/>
                    <w:left w:val="single" w:color="000000" w:sz="4"/>
                    <w:bottom w:val="single" w:color="000000" w:sz="4"/>
                    <w:right w:val="single" w:color="000000" w:sz="4"/>
                  </w:tcBorders>
                </w:tcP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照明灯具</w:t>
                  </w:r>
                </w:p>
              </w:tc>
              <w:tc>
                <w:tcPr>
                  <w:tcW w:type="dxa" w:w="17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参数详见设计图纸、工程量清单，符合本项目工程量清单、施工图纸相关要求，符合</w:t>
                  </w:r>
                  <w:r>
                    <w:rPr>
                      <w:rFonts w:ascii="仿宋_GB2312" w:hAnsi="仿宋_GB2312" w:cs="仿宋_GB2312" w:eastAsia="仿宋_GB2312"/>
                      <w:sz w:val="24"/>
                    </w:rPr>
                    <w:t>国家相关标准、规范</w:t>
                  </w:r>
                  <w:r>
                    <w:rPr>
                      <w:rFonts w:ascii="仿宋_GB2312" w:hAnsi="仿宋_GB2312" w:cs="仿宋_GB2312" w:eastAsia="仿宋_GB2312"/>
                      <w:sz w:val="24"/>
                    </w:rPr>
                    <w:t>。</w:t>
                  </w:r>
                </w:p>
              </w:tc>
            </w:tr>
            <w:tr>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w:t>
                  </w:r>
                </w:p>
              </w:tc>
              <w:tc>
                <w:tcPr>
                  <w:tcW w:type="dxa" w:w="220"/>
                  <w:vMerge/>
                  <w:tcBorders>
                    <w:top w:val="none" w:color="000000" w:sz="4"/>
                    <w:left w:val="single" w:color="000000" w:sz="4"/>
                    <w:bottom w:val="single" w:color="000000" w:sz="4"/>
                    <w:right w:val="single" w:color="000000" w:sz="4"/>
                  </w:tcBorders>
                </w:tcP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双绞线</w:t>
                  </w:r>
                </w:p>
              </w:tc>
              <w:tc>
                <w:tcPr>
                  <w:tcW w:type="dxa" w:w="17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UTP6，需现场通过校方百米传输测试，</w:t>
                  </w:r>
                  <w:r>
                    <w:rPr>
                      <w:rFonts w:ascii="仿宋_GB2312" w:hAnsi="仿宋_GB2312" w:cs="仿宋_GB2312" w:eastAsia="仿宋_GB2312"/>
                      <w:sz w:val="24"/>
                    </w:rPr>
                    <w:t>符合本项目工程量清单、施工图纸相关要求，符合</w:t>
                  </w:r>
                  <w:r>
                    <w:rPr>
                      <w:rFonts w:ascii="仿宋_GB2312" w:hAnsi="仿宋_GB2312" w:cs="仿宋_GB2312" w:eastAsia="仿宋_GB2312"/>
                      <w:sz w:val="24"/>
                    </w:rPr>
                    <w:t>国家相关标准、规范</w:t>
                  </w:r>
                  <w:r>
                    <w:rPr>
                      <w:rFonts w:ascii="仿宋_GB2312" w:hAnsi="仿宋_GB2312" w:cs="仿宋_GB2312" w:eastAsia="仿宋_GB2312"/>
                      <w:sz w:val="24"/>
                    </w:rPr>
                    <w:t>。</w:t>
                  </w:r>
                </w:p>
              </w:tc>
            </w:tr>
            <w:tr>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21</w:t>
                  </w:r>
                </w:p>
              </w:tc>
              <w:tc>
                <w:tcPr>
                  <w:tcW w:type="dxa" w:w="22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给排水</w:t>
                  </w: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PVC</w:t>
                  </w:r>
                  <w:r>
                    <w:rPr>
                      <w:rFonts w:ascii="仿宋_GB2312" w:hAnsi="仿宋_GB2312" w:cs="仿宋_GB2312" w:eastAsia="仿宋_GB2312"/>
                      <w:sz w:val="24"/>
                    </w:rPr>
                    <w:t>水管</w:t>
                  </w:r>
                </w:p>
              </w:tc>
              <w:tc>
                <w:tcPr>
                  <w:tcW w:type="dxa" w:w="17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1.铅限量≤100mg/kg（适用于聚氯乙烯（PVC）类塑料管材管件）；</w:t>
                  </w:r>
                </w:p>
                <w:p>
                  <w:pPr>
                    <w:pStyle w:val="null3"/>
                    <w:jc w:val="left"/>
                  </w:pPr>
                  <w:r>
                    <w:rPr>
                      <w:rFonts w:ascii="仿宋_GB2312" w:hAnsi="仿宋_GB2312" w:cs="仿宋_GB2312" w:eastAsia="仿宋_GB2312"/>
                      <w:sz w:val="24"/>
                    </w:rPr>
                    <w:t>2.密度＜1450kg/m</w:t>
                  </w:r>
                  <w:r>
                    <w:rPr>
                      <w:rFonts w:ascii="仿宋_GB2312" w:hAnsi="仿宋_GB2312" w:cs="仿宋_GB2312" w:eastAsia="仿宋_GB2312"/>
                      <w:sz w:val="24"/>
                      <w:vertAlign w:val="superscript"/>
                    </w:rPr>
                    <w:t>3</w:t>
                  </w:r>
                  <w:r>
                    <w:rPr>
                      <w:rFonts w:ascii="仿宋_GB2312" w:hAnsi="仿宋_GB2312" w:cs="仿宋_GB2312" w:eastAsia="仿宋_GB2312"/>
                      <w:sz w:val="24"/>
                    </w:rPr>
                    <w:t>；</w:t>
                  </w:r>
                </w:p>
                <w:p>
                  <w:pPr>
                    <w:pStyle w:val="null3"/>
                    <w:jc w:val="left"/>
                  </w:pPr>
                  <w:r>
                    <w:rPr>
                      <w:rFonts w:ascii="仿宋_GB2312" w:hAnsi="仿宋_GB2312" w:cs="仿宋_GB2312" w:eastAsia="仿宋_GB2312"/>
                      <w:sz w:val="24"/>
                    </w:rPr>
                    <w:t>3.内排水管道系统噪声＜48dB（适用于聚氯乙烯（PVC）类塑料管材管件）。</w:t>
                  </w:r>
                </w:p>
              </w:tc>
            </w:tr>
            <w:tr>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22</w:t>
                  </w:r>
                </w:p>
              </w:tc>
              <w:tc>
                <w:tcPr>
                  <w:tcW w:type="dxa" w:w="220"/>
                  <w:vMerge/>
                  <w:tcBorders>
                    <w:top w:val="none" w:color="000000" w:sz="4"/>
                    <w:left w:val="single" w:color="000000" w:sz="4"/>
                    <w:bottom w:val="single" w:color="000000" w:sz="4"/>
                    <w:right w:val="single" w:color="000000" w:sz="4"/>
                  </w:tcBorders>
                </w:tcP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洁具</w:t>
                  </w:r>
                </w:p>
              </w:tc>
              <w:tc>
                <w:tcPr>
                  <w:tcW w:type="dxa" w:w="17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全部洁具的用水效率等级达到</w:t>
                  </w:r>
                  <w:r>
                    <w:rPr>
                      <w:rFonts w:ascii="仿宋_GB2312" w:hAnsi="仿宋_GB2312" w:cs="仿宋_GB2312" w:eastAsia="仿宋_GB2312"/>
                      <w:sz w:val="24"/>
                    </w:rPr>
                    <w:t>2 级（依据 GB 28377、GB 28379、GB 30717、GB/T 50378）</w:t>
                  </w:r>
                </w:p>
              </w:tc>
            </w:tr>
            <w:tr>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23</w:t>
                  </w:r>
                </w:p>
              </w:tc>
              <w:tc>
                <w:tcPr>
                  <w:tcW w:type="dxa" w:w="220"/>
                  <w:vMerge/>
                  <w:tcBorders>
                    <w:top w:val="none" w:color="000000" w:sz="4"/>
                    <w:left w:val="single" w:color="000000" w:sz="4"/>
                    <w:bottom w:val="single" w:color="000000" w:sz="4"/>
                    <w:right w:val="single" w:color="000000" w:sz="4"/>
                  </w:tcBorders>
                </w:tcP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洗手盆</w:t>
                  </w:r>
                </w:p>
              </w:tc>
              <w:tc>
                <w:tcPr>
                  <w:tcW w:type="dxa" w:w="17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成品台盆含柜体，</w:t>
                  </w:r>
                  <w:r>
                    <w:rPr>
                      <w:rFonts w:ascii="仿宋_GB2312" w:hAnsi="仿宋_GB2312" w:cs="仿宋_GB2312" w:eastAsia="仿宋_GB2312"/>
                      <w:sz w:val="24"/>
                    </w:rPr>
                    <w:t>含柜体、下水线、五金件、把手等</w:t>
                  </w:r>
                  <w:r>
                    <w:rPr>
                      <w:rFonts w:ascii="仿宋_GB2312" w:hAnsi="仿宋_GB2312" w:cs="仿宋_GB2312" w:eastAsia="仿宋_GB2312"/>
                      <w:sz w:val="24"/>
                    </w:rPr>
                    <w:t>；</w:t>
                  </w:r>
                  <w:r>
                    <w:rPr>
                      <w:rFonts w:ascii="仿宋_GB2312" w:hAnsi="仿宋_GB2312" w:cs="仿宋_GB2312" w:eastAsia="仿宋_GB2312"/>
                      <w:sz w:val="24"/>
                    </w:rPr>
                    <w:t>板材为</w:t>
                  </w:r>
                  <w:r>
                    <w:rPr>
                      <w:rFonts w:ascii="仿宋_GB2312" w:hAnsi="仿宋_GB2312" w:cs="仿宋_GB2312" w:eastAsia="仿宋_GB2312"/>
                      <w:sz w:val="24"/>
                    </w:rPr>
                    <w:t>E1级多层实木板；陶瓷</w:t>
                  </w:r>
                  <w:r>
                    <w:rPr>
                      <w:rFonts w:ascii="仿宋_GB2312" w:hAnsi="仿宋_GB2312" w:cs="仿宋_GB2312" w:eastAsia="仿宋_GB2312"/>
                      <w:sz w:val="24"/>
                    </w:rPr>
                    <w:t>耐污染性</w:t>
                  </w:r>
                  <w:r>
                    <w:rPr>
                      <w:rFonts w:ascii="仿宋_GB2312" w:hAnsi="仿宋_GB2312" w:cs="仿宋_GB2312" w:eastAsia="仿宋_GB2312"/>
                      <w:sz w:val="24"/>
                    </w:rPr>
                    <w:t>≥3 级</w:t>
                  </w:r>
                  <w:r>
                    <w:rPr>
                      <w:rFonts w:ascii="仿宋_GB2312" w:hAnsi="仿宋_GB2312" w:cs="仿宋_GB2312" w:eastAsia="仿宋_GB2312"/>
                      <w:sz w:val="24"/>
                    </w:rPr>
                    <w:t>；</w:t>
                  </w:r>
                  <w:r>
                    <w:rPr>
                      <w:rFonts w:ascii="仿宋_GB2312" w:hAnsi="仿宋_GB2312" w:cs="仿宋_GB2312" w:eastAsia="仿宋_GB2312"/>
                      <w:sz w:val="24"/>
                    </w:rPr>
                    <w:t>不锈钢下水线</w:t>
                  </w:r>
                  <w:r>
                    <w:rPr>
                      <w:rFonts w:ascii="仿宋_GB2312" w:hAnsi="仿宋_GB2312" w:cs="仿宋_GB2312" w:eastAsia="仿宋_GB2312"/>
                      <w:sz w:val="24"/>
                    </w:rPr>
                    <w:t>。</w:t>
                  </w:r>
                  <w:r>
                    <w:rPr>
                      <w:rFonts w:ascii="仿宋_GB2312" w:hAnsi="仿宋_GB2312" w:cs="仿宋_GB2312" w:eastAsia="仿宋_GB2312"/>
                      <w:sz w:val="24"/>
                    </w:rPr>
                    <w:t>节能环保产品，符合本项目工程量清单、施工图纸相关要求，符合</w:t>
                  </w:r>
                  <w:r>
                    <w:rPr>
                      <w:rFonts w:ascii="仿宋_GB2312" w:hAnsi="仿宋_GB2312" w:cs="仿宋_GB2312" w:eastAsia="仿宋_GB2312"/>
                      <w:sz w:val="24"/>
                    </w:rPr>
                    <w:t>国家相关标准、规范</w:t>
                  </w:r>
                  <w:r>
                    <w:rPr>
                      <w:rFonts w:ascii="仿宋_GB2312" w:hAnsi="仿宋_GB2312" w:cs="仿宋_GB2312" w:eastAsia="仿宋_GB2312"/>
                      <w:sz w:val="24"/>
                    </w:rPr>
                    <w:t>。</w:t>
                  </w:r>
                </w:p>
              </w:tc>
            </w:tr>
            <w:tr>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24</w:t>
                  </w:r>
                </w:p>
              </w:tc>
              <w:tc>
                <w:tcPr>
                  <w:tcW w:type="dxa" w:w="220"/>
                  <w:vMerge/>
                  <w:tcBorders>
                    <w:top w:val="none" w:color="000000" w:sz="4"/>
                    <w:left w:val="single" w:color="000000" w:sz="4"/>
                    <w:bottom w:val="single" w:color="000000" w:sz="4"/>
                    <w:right w:val="single" w:color="000000" w:sz="4"/>
                  </w:tcBorders>
                </w:tcP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水咀</w:t>
                  </w:r>
                </w:p>
              </w:tc>
              <w:tc>
                <w:tcPr>
                  <w:tcW w:type="dxa" w:w="17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不锈钢拉丝水咀，</w:t>
                  </w:r>
                  <w:r>
                    <w:rPr>
                      <w:rFonts w:ascii="仿宋_GB2312" w:hAnsi="仿宋_GB2312" w:cs="仿宋_GB2312" w:eastAsia="仿宋_GB2312"/>
                      <w:sz w:val="24"/>
                    </w:rPr>
                    <w:t>产品金属污染物析出统计值：</w:t>
                  </w:r>
                </w:p>
                <w:p>
                  <w:pPr>
                    <w:pStyle w:val="null3"/>
                    <w:jc w:val="left"/>
                  </w:pPr>
                  <w:r>
                    <w:rPr>
                      <w:rFonts w:ascii="仿宋_GB2312" w:hAnsi="仿宋_GB2312" w:cs="仿宋_GB2312" w:eastAsia="仿宋_GB2312"/>
                      <w:sz w:val="24"/>
                    </w:rPr>
                    <w:t>Pb≤4μg/L</w:t>
                  </w:r>
                </w:p>
                <w:p>
                  <w:pPr>
                    <w:pStyle w:val="null3"/>
                    <w:jc w:val="left"/>
                  </w:pPr>
                  <w:r>
                    <w:rPr>
                      <w:rFonts w:ascii="仿宋_GB2312" w:hAnsi="仿宋_GB2312" w:cs="仿宋_GB2312" w:eastAsia="仿宋_GB2312"/>
                      <w:sz w:val="24"/>
                    </w:rPr>
                    <w:t>Cu≤100μg/L</w:t>
                  </w:r>
                </w:p>
                <w:p>
                  <w:pPr>
                    <w:pStyle w:val="null3"/>
                    <w:jc w:val="left"/>
                  </w:pPr>
                  <w:r>
                    <w:rPr>
                      <w:rFonts w:ascii="仿宋_GB2312" w:hAnsi="仿宋_GB2312" w:cs="仿宋_GB2312" w:eastAsia="仿宋_GB2312"/>
                      <w:sz w:val="24"/>
                    </w:rPr>
                    <w:t>Cr≤7μg/L</w:t>
                  </w:r>
                </w:p>
                <w:p>
                  <w:pPr>
                    <w:pStyle w:val="null3"/>
                    <w:jc w:val="left"/>
                  </w:pPr>
                  <w:r>
                    <w:rPr>
                      <w:rFonts w:ascii="仿宋_GB2312" w:hAnsi="仿宋_GB2312" w:cs="仿宋_GB2312" w:eastAsia="仿宋_GB2312"/>
                      <w:sz w:val="24"/>
                    </w:rPr>
                    <w:t>Cd≤0.4μg/L</w:t>
                  </w:r>
                </w:p>
                <w:p>
                  <w:pPr>
                    <w:pStyle w:val="null3"/>
                    <w:jc w:val="left"/>
                  </w:pPr>
                  <w:r>
                    <w:rPr>
                      <w:rFonts w:ascii="仿宋_GB2312" w:hAnsi="仿宋_GB2312" w:cs="仿宋_GB2312" w:eastAsia="仿宋_GB2312"/>
                      <w:sz w:val="24"/>
                    </w:rPr>
                    <w:t>As≤0.7μg/L</w:t>
                  </w:r>
                </w:p>
                <w:p>
                  <w:pPr>
                    <w:pStyle w:val="null3"/>
                    <w:jc w:val="left"/>
                  </w:pPr>
                  <w:r>
                    <w:rPr>
                      <w:rFonts w:ascii="仿宋_GB2312" w:hAnsi="仿宋_GB2312" w:cs="仿宋_GB2312" w:eastAsia="仿宋_GB2312"/>
                      <w:sz w:val="24"/>
                    </w:rPr>
                    <w:t>Cr6+≤1.5μg/L</w:t>
                  </w:r>
                </w:p>
              </w:tc>
            </w:tr>
            <w:tr>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25</w:t>
                  </w:r>
                </w:p>
              </w:tc>
              <w:tc>
                <w:tcPr>
                  <w:tcW w:type="dxa" w:w="220"/>
                  <w:vMerge/>
                  <w:tcBorders>
                    <w:top w:val="none" w:color="000000" w:sz="4"/>
                    <w:left w:val="single" w:color="000000" w:sz="4"/>
                    <w:bottom w:val="single" w:color="000000" w:sz="4"/>
                    <w:right w:val="single" w:color="000000" w:sz="4"/>
                  </w:tcBorders>
                </w:tcP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大便器</w:t>
                  </w:r>
                </w:p>
              </w:tc>
              <w:tc>
                <w:tcPr>
                  <w:tcW w:type="dxa" w:w="17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液压</w:t>
                  </w:r>
                  <w:r>
                    <w:rPr>
                      <w:rFonts w:ascii="仿宋_GB2312" w:hAnsi="仿宋_GB2312" w:cs="仿宋_GB2312" w:eastAsia="仿宋_GB2312"/>
                      <w:sz w:val="24"/>
                    </w:rPr>
                    <w:t>不锈钢</w:t>
                  </w:r>
                  <w:r>
                    <w:rPr>
                      <w:rFonts w:ascii="仿宋_GB2312" w:hAnsi="仿宋_GB2312" w:cs="仿宋_GB2312" w:eastAsia="仿宋_GB2312"/>
                      <w:sz w:val="24"/>
                    </w:rPr>
                    <w:t>脚踏冲洗阀</w:t>
                  </w:r>
                  <w:r>
                    <w:rPr>
                      <w:rFonts w:ascii="仿宋_GB2312" w:hAnsi="仿宋_GB2312" w:cs="仿宋_GB2312" w:eastAsia="仿宋_GB2312"/>
                      <w:sz w:val="24"/>
                    </w:rPr>
                    <w:t>/感应阀前排水单排</w:t>
                  </w:r>
                  <w:r>
                    <w:rPr>
                      <w:rFonts w:ascii="仿宋_GB2312" w:hAnsi="仿宋_GB2312" w:cs="仿宋_GB2312" w:eastAsia="仿宋_GB2312"/>
                      <w:sz w:val="24"/>
                    </w:rPr>
                    <w:t>蹲式大便器</w:t>
                  </w:r>
                  <w:r>
                    <w:rPr>
                      <w:rFonts w:ascii="仿宋_GB2312" w:hAnsi="仿宋_GB2312" w:cs="仿宋_GB2312" w:eastAsia="仿宋_GB2312"/>
                      <w:sz w:val="24"/>
                    </w:rPr>
                    <w:t>带存水弯</w:t>
                  </w:r>
                  <w:r>
                    <w:rPr>
                      <w:rFonts w:ascii="仿宋_GB2312" w:hAnsi="仿宋_GB2312" w:cs="仿宋_GB2312" w:eastAsia="仿宋_GB2312"/>
                      <w:sz w:val="24"/>
                    </w:rPr>
                    <w:t>，</w:t>
                  </w:r>
                  <w:r>
                    <w:rPr>
                      <w:rFonts w:ascii="仿宋_GB2312" w:hAnsi="仿宋_GB2312" w:cs="仿宋_GB2312" w:eastAsia="仿宋_GB2312"/>
                      <w:sz w:val="24"/>
                    </w:rPr>
                    <w:t>符合国家相关标准、规范。</w:t>
                  </w:r>
                </w:p>
              </w:tc>
            </w:tr>
            <w:tr>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26</w:t>
                  </w:r>
                </w:p>
              </w:tc>
              <w:tc>
                <w:tcPr>
                  <w:tcW w:type="dxa" w:w="220"/>
                  <w:vMerge/>
                  <w:tcBorders>
                    <w:top w:val="none" w:color="000000" w:sz="4"/>
                    <w:left w:val="single" w:color="000000" w:sz="4"/>
                    <w:bottom w:val="single" w:color="000000" w:sz="4"/>
                    <w:right w:val="single" w:color="000000" w:sz="4"/>
                  </w:tcBorders>
                </w:tcP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小便器</w:t>
                  </w:r>
                </w:p>
              </w:tc>
              <w:tc>
                <w:tcPr>
                  <w:tcW w:type="dxa" w:w="17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上进地排分体式悬挂小便器</w:t>
                  </w:r>
                  <w:r>
                    <w:rPr>
                      <w:rFonts w:ascii="仿宋_GB2312" w:hAnsi="仿宋_GB2312" w:cs="仿宋_GB2312" w:eastAsia="仿宋_GB2312"/>
                      <w:sz w:val="24"/>
                    </w:rPr>
                    <w:t>。</w:t>
                  </w:r>
                </w:p>
              </w:tc>
            </w:tr>
            <w:tr>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27</w:t>
                  </w:r>
                </w:p>
              </w:tc>
              <w:tc>
                <w:tcPr>
                  <w:tcW w:type="dxa" w:w="220"/>
                  <w:vMerge/>
                  <w:tcBorders>
                    <w:top w:val="none" w:color="000000" w:sz="4"/>
                    <w:left w:val="single" w:color="000000" w:sz="4"/>
                    <w:bottom w:val="single" w:color="000000" w:sz="4"/>
                    <w:right w:val="single" w:color="000000" w:sz="4"/>
                  </w:tcBorders>
                </w:tcP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阀门</w:t>
                  </w:r>
                </w:p>
              </w:tc>
              <w:tc>
                <w:tcPr>
                  <w:tcW w:type="dxa" w:w="17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参数详见设计图纸、工程量清单，符合本项目工程量清单、施工图纸相关要求，符合</w:t>
                  </w:r>
                  <w:r>
                    <w:rPr>
                      <w:rFonts w:ascii="仿宋_GB2312" w:hAnsi="仿宋_GB2312" w:cs="仿宋_GB2312" w:eastAsia="仿宋_GB2312"/>
                      <w:sz w:val="24"/>
                    </w:rPr>
                    <w:t>国家相关标准、规范</w:t>
                  </w:r>
                  <w:r>
                    <w:rPr>
                      <w:rFonts w:ascii="仿宋_GB2312" w:hAnsi="仿宋_GB2312" w:cs="仿宋_GB2312" w:eastAsia="仿宋_GB2312"/>
                      <w:sz w:val="24"/>
                    </w:rPr>
                    <w:t>。</w:t>
                  </w:r>
                </w:p>
              </w:tc>
            </w:tr>
            <w:tr>
              <w:tc>
                <w:tcPr>
                  <w:tcW w:type="dxa" w:w="20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28</w:t>
                  </w:r>
                </w:p>
              </w:tc>
              <w:tc>
                <w:tcPr>
                  <w:tcW w:type="dxa" w:w="2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暖通</w:t>
                  </w:r>
                </w:p>
              </w:tc>
              <w:tc>
                <w:tcPr>
                  <w:tcW w:type="dxa" w:w="24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散热器</w:t>
                  </w:r>
                </w:p>
              </w:tc>
              <w:tc>
                <w:tcPr>
                  <w:tcW w:type="dxa" w:w="17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TDD1-5-5(8)q=143w/片</w:t>
                  </w:r>
                  <w:r>
                    <w:rPr>
                      <w:rFonts w:ascii="仿宋_GB2312" w:hAnsi="仿宋_GB2312" w:cs="仿宋_GB2312" w:eastAsia="仿宋_GB2312"/>
                      <w:sz w:val="24"/>
                    </w:rPr>
                    <w:t>，</w:t>
                  </w:r>
                  <w:r>
                    <w:rPr>
                      <w:rFonts w:ascii="仿宋_GB2312" w:hAnsi="仿宋_GB2312" w:cs="仿宋_GB2312" w:eastAsia="仿宋_GB2312"/>
                      <w:sz w:val="24"/>
                    </w:rPr>
                    <w:t>参数详见设计图纸、工程量清单，符合本项目工程量清单、施工图纸相关要求，符合</w:t>
                  </w:r>
                  <w:r>
                    <w:rPr>
                      <w:rFonts w:ascii="仿宋_GB2312" w:hAnsi="仿宋_GB2312" w:cs="仿宋_GB2312" w:eastAsia="仿宋_GB2312"/>
                      <w:sz w:val="24"/>
                    </w:rPr>
                    <w:t>国家相关标准、规范</w:t>
                  </w:r>
                  <w:r>
                    <w:rPr>
                      <w:rFonts w:ascii="仿宋_GB2312" w:hAnsi="仿宋_GB2312" w:cs="仿宋_GB2312" w:eastAsia="仿宋_GB2312"/>
                      <w:sz w:val="24"/>
                    </w:rPr>
                    <w:t>。</w:t>
                  </w:r>
                </w:p>
              </w:tc>
            </w:tr>
          </w:tbl>
          <w:p>
            <w:pPr>
              <w:pStyle w:val="null3"/>
              <w:ind w:firstLine="482"/>
              <w:jc w:val="both"/>
            </w:pPr>
            <w:r>
              <w:rPr>
                <w:rFonts w:ascii="仿宋_GB2312" w:hAnsi="仿宋_GB2312" w:cs="仿宋_GB2312" w:eastAsia="仿宋_GB2312"/>
                <w:sz w:val="24"/>
                <w:b/>
              </w:rPr>
              <w:t>说明：供应商拟投入使用的材料、设备</w:t>
            </w:r>
            <w:r>
              <w:rPr>
                <w:rFonts w:ascii="仿宋_GB2312" w:hAnsi="仿宋_GB2312" w:cs="仿宋_GB2312" w:eastAsia="仿宋_GB2312"/>
                <w:sz w:val="24"/>
                <w:b/>
              </w:rPr>
              <w:t>技术要求应满足上述列明的技术标准及要求</w:t>
            </w:r>
            <w:r>
              <w:rPr>
                <w:rFonts w:ascii="仿宋_GB2312" w:hAnsi="仿宋_GB2312" w:cs="仿宋_GB2312" w:eastAsia="仿宋_GB2312"/>
                <w:sz w:val="24"/>
                <w:b/>
              </w:rPr>
              <w:t>。在施工过程中成交供应商若提出性能、质量、实力等同于或高于投标时的选定的产品或厂家时，必须经采购人书面同意，但由此增加的费用由供应商自行承担。</w:t>
            </w:r>
          </w:p>
          <w:p>
            <w:pPr>
              <w:pStyle w:val="null3"/>
              <w:ind w:firstLine="482"/>
              <w:jc w:val="both"/>
            </w:pPr>
            <w:r>
              <w:rPr>
                <w:rFonts w:ascii="仿宋_GB2312" w:hAnsi="仿宋_GB2312" w:cs="仿宋_GB2312" w:eastAsia="仿宋_GB2312"/>
                <w:sz w:val="24"/>
                <w:b/>
              </w:rPr>
              <w:t>四、</w:t>
            </w:r>
            <w:r>
              <w:rPr>
                <w:rFonts w:ascii="仿宋_GB2312" w:hAnsi="仿宋_GB2312" w:cs="仿宋_GB2312" w:eastAsia="仿宋_GB2312"/>
                <w:sz w:val="24"/>
                <w:b/>
              </w:rPr>
              <w:t>商务要求</w:t>
            </w:r>
          </w:p>
          <w:p>
            <w:pPr>
              <w:pStyle w:val="null3"/>
              <w:ind w:firstLine="482"/>
              <w:jc w:val="both"/>
            </w:pPr>
            <w:r>
              <w:rPr>
                <w:rFonts w:ascii="仿宋_GB2312" w:hAnsi="仿宋_GB2312" w:cs="仿宋_GB2312" w:eastAsia="仿宋_GB2312"/>
                <w:sz w:val="24"/>
                <w:b/>
              </w:rPr>
              <w:t>（一）工期：</w:t>
            </w:r>
            <w:r>
              <w:rPr>
                <w:rFonts w:ascii="仿宋_GB2312" w:hAnsi="仿宋_GB2312" w:cs="仿宋_GB2312" w:eastAsia="仿宋_GB2312"/>
                <w:sz w:val="24"/>
              </w:rPr>
              <w:t>自接到采购人开工通知之日起</w:t>
            </w:r>
            <w:r>
              <w:rPr>
                <w:rFonts w:ascii="仿宋_GB2312" w:hAnsi="仿宋_GB2312" w:cs="仿宋_GB2312" w:eastAsia="仿宋_GB2312"/>
                <w:sz w:val="24"/>
              </w:rPr>
              <w:t>60</w:t>
            </w:r>
            <w:r>
              <w:rPr>
                <w:rFonts w:ascii="仿宋_GB2312" w:hAnsi="仿宋_GB2312" w:cs="仿宋_GB2312" w:eastAsia="仿宋_GB2312"/>
                <w:sz w:val="24"/>
              </w:rPr>
              <w:t>个日历天</w:t>
            </w:r>
            <w:r>
              <w:rPr>
                <w:rFonts w:ascii="仿宋_GB2312" w:hAnsi="仿宋_GB2312" w:cs="仿宋_GB2312" w:eastAsia="仿宋_GB2312"/>
                <w:sz w:val="24"/>
              </w:rPr>
              <w:t>，具体以项目实际需求及使用单位要求为准</w:t>
            </w:r>
            <w:r>
              <w:rPr>
                <w:rFonts w:ascii="仿宋_GB2312" w:hAnsi="仿宋_GB2312" w:cs="仿宋_GB2312" w:eastAsia="仿宋_GB2312"/>
                <w:sz w:val="24"/>
              </w:rPr>
              <w:t>。</w:t>
            </w:r>
          </w:p>
          <w:p>
            <w:pPr>
              <w:pStyle w:val="null3"/>
              <w:ind w:firstLine="482"/>
              <w:jc w:val="both"/>
            </w:pPr>
            <w:r>
              <w:rPr>
                <w:rFonts w:ascii="仿宋_GB2312" w:hAnsi="仿宋_GB2312" w:cs="仿宋_GB2312" w:eastAsia="仿宋_GB2312"/>
                <w:sz w:val="24"/>
                <w:b/>
              </w:rPr>
              <w:t>（二）工程地点</w:t>
            </w:r>
            <w:r>
              <w:rPr>
                <w:rFonts w:ascii="仿宋_GB2312" w:hAnsi="仿宋_GB2312" w:cs="仿宋_GB2312" w:eastAsia="仿宋_GB2312"/>
                <w:sz w:val="24"/>
              </w:rPr>
              <w:t>：</w:t>
            </w:r>
            <w:r>
              <w:rPr>
                <w:rFonts w:ascii="仿宋_GB2312" w:hAnsi="仿宋_GB2312" w:cs="仿宋_GB2312" w:eastAsia="仿宋_GB2312"/>
                <w:sz w:val="24"/>
              </w:rPr>
              <w:t>西安建筑科技大学雁塔校区北院</w:t>
            </w:r>
            <w:r>
              <w:rPr>
                <w:rFonts w:ascii="仿宋_GB2312" w:hAnsi="仿宋_GB2312" w:cs="仿宋_GB2312" w:eastAsia="仿宋_GB2312"/>
                <w:sz w:val="24"/>
              </w:rPr>
              <w:t>图书馆</w:t>
            </w:r>
            <w:r>
              <w:rPr>
                <w:rFonts w:ascii="仿宋_GB2312" w:hAnsi="仿宋_GB2312" w:cs="仿宋_GB2312" w:eastAsia="仿宋_GB2312"/>
                <w:sz w:val="24"/>
              </w:rPr>
              <w:t>。</w:t>
            </w:r>
          </w:p>
          <w:p>
            <w:pPr>
              <w:pStyle w:val="null3"/>
              <w:ind w:firstLine="482"/>
              <w:jc w:val="both"/>
            </w:pPr>
            <w:r>
              <w:rPr>
                <w:rFonts w:ascii="仿宋_GB2312" w:hAnsi="仿宋_GB2312" w:cs="仿宋_GB2312" w:eastAsia="仿宋_GB2312"/>
                <w:sz w:val="24"/>
                <w:b/>
              </w:rPr>
              <w:t>（三）质量要求</w:t>
            </w:r>
            <w:r>
              <w:rPr>
                <w:rFonts w:ascii="仿宋_GB2312" w:hAnsi="仿宋_GB2312" w:cs="仿宋_GB2312" w:eastAsia="仿宋_GB2312"/>
                <w:sz w:val="24"/>
              </w:rPr>
              <w:t>：质量标准执行国家、陕西省、西安市现行工程质量</w:t>
            </w:r>
            <w:r>
              <w:rPr>
                <w:rFonts w:ascii="仿宋_GB2312" w:hAnsi="仿宋_GB2312" w:cs="仿宋_GB2312" w:eastAsia="仿宋_GB2312"/>
                <w:sz w:val="24"/>
              </w:rPr>
              <w:t>验收</w:t>
            </w:r>
            <w:r>
              <w:rPr>
                <w:rFonts w:ascii="仿宋_GB2312" w:hAnsi="仿宋_GB2312" w:cs="仿宋_GB2312" w:eastAsia="仿宋_GB2312"/>
                <w:sz w:val="24"/>
              </w:rPr>
              <w:t>标准，施工结束后提供具有</w:t>
            </w:r>
            <w:r>
              <w:rPr>
                <w:rFonts w:ascii="仿宋_GB2312" w:hAnsi="仿宋_GB2312" w:cs="仿宋_GB2312" w:eastAsia="仿宋_GB2312"/>
                <w:sz w:val="24"/>
              </w:rPr>
              <w:t>CMA/CNAS资格的第三方检测机构空气质量检测报告</w:t>
            </w:r>
            <w:r>
              <w:rPr>
                <w:rFonts w:ascii="仿宋_GB2312" w:hAnsi="仿宋_GB2312" w:cs="仿宋_GB2312" w:eastAsia="仿宋_GB2312"/>
                <w:sz w:val="24"/>
              </w:rPr>
              <w:t>。</w:t>
            </w:r>
          </w:p>
          <w:p>
            <w:pPr>
              <w:pStyle w:val="null3"/>
              <w:ind w:firstLine="482"/>
              <w:jc w:val="both"/>
            </w:pPr>
            <w:r>
              <w:rPr>
                <w:rFonts w:ascii="仿宋_GB2312" w:hAnsi="仿宋_GB2312" w:cs="仿宋_GB2312" w:eastAsia="仿宋_GB2312"/>
                <w:sz w:val="24"/>
                <w:b/>
              </w:rPr>
              <w:t>（四）付款方式：</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签</w:t>
            </w:r>
            <w:r>
              <w:rPr>
                <w:rFonts w:ascii="仿宋_GB2312" w:hAnsi="仿宋_GB2312" w:cs="仿宋_GB2312" w:eastAsia="仿宋_GB2312"/>
                <w:sz w:val="24"/>
              </w:rPr>
              <w:t>订合同完毕，</w:t>
            </w:r>
            <w:r>
              <w:rPr>
                <w:rFonts w:ascii="仿宋_GB2312" w:hAnsi="仿宋_GB2312" w:cs="仿宋_GB2312" w:eastAsia="仿宋_GB2312"/>
                <w:sz w:val="24"/>
              </w:rPr>
              <w:t>成交</w:t>
            </w:r>
            <w:r>
              <w:rPr>
                <w:rFonts w:ascii="仿宋_GB2312" w:hAnsi="仿宋_GB2312" w:cs="仿宋_GB2312" w:eastAsia="仿宋_GB2312"/>
                <w:sz w:val="24"/>
              </w:rPr>
              <w:t>供应商提供由工商银行、农业银行、中国银行、建设银行、交通银行其中一家出具的不可撤销、见索即付独立保函，且保函文本须载明</w:t>
            </w:r>
            <w:r>
              <w:rPr>
                <w:rFonts w:ascii="仿宋_GB2312" w:hAnsi="仿宋_GB2312" w:cs="仿宋_GB2312" w:eastAsia="仿宋_GB2312"/>
                <w:sz w:val="24"/>
              </w:rPr>
              <w:t>“开证行仅凭受益人单方签署的索赔声明付款”，</w:t>
            </w:r>
            <w:r>
              <w:rPr>
                <w:rFonts w:ascii="仿宋_GB2312" w:hAnsi="仿宋_GB2312" w:cs="仿宋_GB2312" w:eastAsia="仿宋_GB2312"/>
                <w:sz w:val="24"/>
              </w:rPr>
              <w:t>采购人</w:t>
            </w:r>
            <w:r>
              <w:rPr>
                <w:rFonts w:ascii="仿宋_GB2312" w:hAnsi="仿宋_GB2312" w:cs="仿宋_GB2312" w:eastAsia="仿宋_GB2312"/>
                <w:sz w:val="24"/>
              </w:rPr>
              <w:t>支付合同总价的</w:t>
            </w:r>
            <w:r>
              <w:rPr>
                <w:rFonts w:ascii="仿宋_GB2312" w:hAnsi="仿宋_GB2312" w:cs="仿宋_GB2312" w:eastAsia="仿宋_GB2312"/>
                <w:sz w:val="24"/>
              </w:rPr>
              <w:t>40%作为预付款，否则，</w:t>
            </w:r>
            <w:r>
              <w:rPr>
                <w:rFonts w:ascii="仿宋_GB2312" w:hAnsi="仿宋_GB2312" w:cs="仿宋_GB2312" w:eastAsia="仿宋_GB2312"/>
                <w:sz w:val="24"/>
              </w:rPr>
              <w:t>采购人</w:t>
            </w:r>
            <w:r>
              <w:rPr>
                <w:rFonts w:ascii="仿宋_GB2312" w:hAnsi="仿宋_GB2312" w:cs="仿宋_GB2312" w:eastAsia="仿宋_GB2312"/>
                <w:sz w:val="24"/>
              </w:rPr>
              <w:t>不予支付预付款。</w:t>
            </w:r>
          </w:p>
          <w:p>
            <w:pPr>
              <w:pStyle w:val="null3"/>
              <w:ind w:firstLine="480"/>
              <w:jc w:val="both"/>
            </w:pPr>
            <w:r>
              <w:rPr>
                <w:rFonts w:ascii="仿宋_GB2312" w:hAnsi="仿宋_GB2312" w:cs="仿宋_GB2312" w:eastAsia="仿宋_GB2312"/>
                <w:sz w:val="24"/>
              </w:rPr>
              <w:t>□签订合同完毕，</w:t>
            </w:r>
            <w:r>
              <w:rPr>
                <w:rFonts w:ascii="仿宋_GB2312" w:hAnsi="仿宋_GB2312" w:cs="仿宋_GB2312" w:eastAsia="仿宋_GB2312"/>
                <w:sz w:val="24"/>
              </w:rPr>
              <w:t>成交</w:t>
            </w:r>
            <w:r>
              <w:rPr>
                <w:rFonts w:ascii="仿宋_GB2312" w:hAnsi="仿宋_GB2312" w:cs="仿宋_GB2312" w:eastAsia="仿宋_GB2312"/>
                <w:sz w:val="24"/>
              </w:rPr>
              <w:t>供应商无法提供预付款保函</w:t>
            </w:r>
            <w:r>
              <w:rPr>
                <w:rFonts w:ascii="仿宋_GB2312" w:hAnsi="仿宋_GB2312" w:cs="仿宋_GB2312" w:eastAsia="仿宋_GB2312"/>
                <w:sz w:val="24"/>
              </w:rPr>
              <w:t>，施工满一个月，且经核算完成</w:t>
            </w:r>
            <w:r>
              <w:rPr>
                <w:rFonts w:ascii="仿宋_GB2312" w:hAnsi="仿宋_GB2312" w:cs="仿宋_GB2312" w:eastAsia="仿宋_GB2312"/>
                <w:sz w:val="24"/>
              </w:rPr>
              <w:t>80%改造工程内容后，支付合同额60%进度款。</w:t>
            </w:r>
          </w:p>
          <w:p>
            <w:pPr>
              <w:pStyle w:val="null3"/>
              <w:ind w:firstLine="480"/>
              <w:jc w:val="both"/>
            </w:pPr>
            <w:r>
              <w:rPr>
                <w:rFonts w:ascii="仿宋_GB2312" w:hAnsi="仿宋_GB2312" w:cs="仿宋_GB2312" w:eastAsia="仿宋_GB2312"/>
                <w:sz w:val="24"/>
              </w:rPr>
              <w:t>工程竣工验收合格后经审计部门或其委托有工程造价咨询资质的机构审定结算后，缴纳施工水电费后，支付至审定结算价的</w:t>
            </w:r>
            <w:r>
              <w:rPr>
                <w:rFonts w:ascii="仿宋_GB2312" w:hAnsi="仿宋_GB2312" w:cs="仿宋_GB2312" w:eastAsia="仿宋_GB2312"/>
                <w:sz w:val="24"/>
              </w:rPr>
              <w:t>100%；但在国家规定的保修期限内，保修责任仍由承包人继续承担。</w:t>
            </w:r>
          </w:p>
          <w:p>
            <w:pPr>
              <w:pStyle w:val="null3"/>
              <w:ind w:firstLine="480"/>
              <w:jc w:val="both"/>
            </w:pPr>
            <w:r>
              <w:rPr>
                <w:rFonts w:ascii="仿宋_GB2312" w:hAnsi="仿宋_GB2312" w:cs="仿宋_GB2312" w:eastAsia="仿宋_GB2312"/>
                <w:sz w:val="24"/>
              </w:rPr>
              <w:t>本工程的工程量据实结算，若</w:t>
            </w:r>
            <w:r>
              <w:rPr>
                <w:rFonts w:ascii="仿宋_GB2312" w:hAnsi="仿宋_GB2312" w:cs="仿宋_GB2312" w:eastAsia="仿宋_GB2312"/>
                <w:sz w:val="24"/>
              </w:rPr>
              <w:t>成交供应商</w:t>
            </w:r>
            <w:r>
              <w:rPr>
                <w:rFonts w:ascii="仿宋_GB2312" w:hAnsi="仿宋_GB2312" w:cs="仿宋_GB2312" w:eastAsia="仿宋_GB2312"/>
                <w:sz w:val="24"/>
              </w:rPr>
              <w:t>报送的原始结算价超出</w:t>
            </w:r>
            <w:r>
              <w:rPr>
                <w:rFonts w:ascii="仿宋_GB2312" w:hAnsi="仿宋_GB2312" w:cs="仿宋_GB2312" w:eastAsia="仿宋_GB2312"/>
                <w:sz w:val="24"/>
              </w:rPr>
              <w:t>采购人</w:t>
            </w:r>
            <w:r>
              <w:rPr>
                <w:rFonts w:ascii="仿宋_GB2312" w:hAnsi="仿宋_GB2312" w:cs="仿宋_GB2312" w:eastAsia="仿宋_GB2312"/>
                <w:sz w:val="24"/>
              </w:rPr>
              <w:t>审定结算价的</w:t>
            </w:r>
            <w:r>
              <w:rPr>
                <w:rFonts w:ascii="仿宋_GB2312" w:hAnsi="仿宋_GB2312" w:cs="仿宋_GB2312" w:eastAsia="仿宋_GB2312"/>
                <w:sz w:val="24"/>
              </w:rPr>
              <w:t>3％，则</w:t>
            </w:r>
            <w:r>
              <w:rPr>
                <w:rFonts w:ascii="仿宋_GB2312" w:hAnsi="仿宋_GB2312" w:cs="仿宋_GB2312" w:eastAsia="仿宋_GB2312"/>
                <w:sz w:val="24"/>
              </w:rPr>
              <w:t>成交供应商</w:t>
            </w:r>
            <w:r>
              <w:rPr>
                <w:rFonts w:ascii="仿宋_GB2312" w:hAnsi="仿宋_GB2312" w:cs="仿宋_GB2312" w:eastAsia="仿宋_GB2312"/>
                <w:sz w:val="24"/>
              </w:rPr>
              <w:t>承担全部审计费，在结算付款时一次性扣除。</w:t>
            </w:r>
          </w:p>
          <w:p>
            <w:pPr>
              <w:pStyle w:val="null3"/>
              <w:ind w:firstLine="482"/>
              <w:jc w:val="both"/>
            </w:pPr>
            <w:r>
              <w:rPr>
                <w:rFonts w:ascii="仿宋_GB2312" w:hAnsi="仿宋_GB2312" w:cs="仿宋_GB2312" w:eastAsia="仿宋_GB2312"/>
                <w:sz w:val="24"/>
                <w:b/>
              </w:rPr>
              <w:t>（五）质量保证期</w:t>
            </w:r>
            <w:r>
              <w:rPr>
                <w:rFonts w:ascii="仿宋_GB2312" w:hAnsi="仿宋_GB2312" w:cs="仿宋_GB2312" w:eastAsia="仿宋_GB2312"/>
                <w:sz w:val="24"/>
                <w:b/>
              </w:rPr>
              <w:t>及保修要求</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w:t>
            </w:r>
            <w:r>
              <w:rPr>
                <w:rFonts w:ascii="仿宋_GB2312" w:hAnsi="仿宋_GB2312" w:cs="仿宋_GB2312" w:eastAsia="仿宋_GB2312"/>
                <w:sz w:val="24"/>
              </w:rPr>
              <w:t>）</w:t>
            </w:r>
            <w:r>
              <w:rPr>
                <w:rFonts w:ascii="仿宋_GB2312" w:hAnsi="仿宋_GB2312" w:cs="仿宋_GB2312" w:eastAsia="仿宋_GB2312"/>
                <w:sz w:val="24"/>
              </w:rPr>
              <w:t>质量保证期</w:t>
            </w:r>
            <w:r>
              <w:rPr>
                <w:rFonts w:ascii="仿宋_GB2312" w:hAnsi="仿宋_GB2312" w:cs="仿宋_GB2312" w:eastAsia="仿宋_GB2312"/>
                <w:sz w:val="24"/>
              </w:rPr>
              <w:t>：</w:t>
            </w:r>
            <w:r>
              <w:rPr>
                <w:rFonts w:ascii="仿宋_GB2312" w:hAnsi="仿宋_GB2312" w:cs="仿宋_GB2312" w:eastAsia="仿宋_GB2312"/>
                <w:sz w:val="24"/>
              </w:rPr>
              <w:t>本项目竣工验收合格通过之日起</w:t>
            </w:r>
            <w:r>
              <w:rPr>
                <w:rFonts w:ascii="仿宋_GB2312" w:hAnsi="仿宋_GB2312" w:cs="仿宋_GB2312" w:eastAsia="仿宋_GB2312"/>
                <w:sz w:val="24"/>
              </w:rPr>
              <w:t>2年</w:t>
            </w:r>
            <w:r>
              <w:rPr>
                <w:rFonts w:ascii="仿宋_GB2312" w:hAnsi="仿宋_GB2312" w:cs="仿宋_GB2312" w:eastAsia="仿宋_GB2312"/>
                <w:sz w:val="24"/>
              </w:rPr>
              <w:t>，</w:t>
            </w:r>
            <w:r>
              <w:rPr>
                <w:rFonts w:ascii="仿宋_GB2312" w:hAnsi="仿宋_GB2312" w:cs="仿宋_GB2312" w:eastAsia="仿宋_GB2312"/>
                <w:sz w:val="24"/>
              </w:rPr>
              <w:t>其中防水</w:t>
            </w:r>
            <w:r>
              <w:rPr>
                <w:rFonts w:ascii="仿宋_GB2312" w:hAnsi="仿宋_GB2312" w:cs="仿宋_GB2312" w:eastAsia="仿宋_GB2312"/>
                <w:sz w:val="24"/>
              </w:rPr>
              <w:t>5年</w:t>
            </w:r>
            <w:r>
              <w:rPr>
                <w:rFonts w:ascii="仿宋_GB2312" w:hAnsi="仿宋_GB2312" w:cs="仿宋_GB2312" w:eastAsia="仿宋_GB2312"/>
                <w:sz w:val="24"/>
              </w:rPr>
              <w:t>。</w:t>
            </w:r>
          </w:p>
          <w:p>
            <w:pPr>
              <w:pStyle w:val="null3"/>
            </w:pPr>
            <w:r>
              <w:rPr>
                <w:rFonts w:ascii="仿宋_GB2312" w:hAnsi="仿宋_GB2312" w:cs="仿宋_GB2312" w:eastAsia="仿宋_GB2312"/>
                <w:sz w:val="24"/>
              </w:rPr>
              <w:t>（</w:t>
            </w:r>
            <w:r>
              <w:rPr>
                <w:rFonts w:ascii="仿宋_GB2312" w:hAnsi="仿宋_GB2312" w:cs="仿宋_GB2312" w:eastAsia="仿宋_GB2312"/>
                <w:sz w:val="24"/>
              </w:rPr>
              <w:t>2</w:t>
            </w:r>
            <w:r>
              <w:rPr>
                <w:rFonts w:ascii="仿宋_GB2312" w:hAnsi="仿宋_GB2312" w:cs="仿宋_GB2312" w:eastAsia="仿宋_GB2312"/>
                <w:sz w:val="24"/>
              </w:rPr>
              <w:t>）保修要求：属于保修范围和内容的项目，成交供应商应在接到维修通知后，</w:t>
            </w:r>
            <w:r>
              <w:rPr>
                <w:rFonts w:ascii="仿宋_GB2312" w:hAnsi="仿宋_GB2312" w:cs="仿宋_GB2312" w:eastAsia="仿宋_GB2312"/>
                <w:sz w:val="24"/>
              </w:rPr>
              <w:t>1天内派人维修。</w:t>
            </w:r>
            <w:r>
              <w:rPr>
                <w:rFonts w:ascii="仿宋_GB2312" w:hAnsi="仿宋_GB2312" w:cs="仿宋_GB2312" w:eastAsia="仿宋_GB2312"/>
                <w:sz w:val="24"/>
              </w:rPr>
              <w:t>发生紧急抢修事故（如上水管跑水、爆裂，供电设施漏、断电等），成交供应商应在接到事故通知后</w:t>
            </w:r>
            <w:r>
              <w:rPr>
                <w:rFonts w:ascii="仿宋_GB2312" w:hAnsi="仿宋_GB2312" w:cs="仿宋_GB2312" w:eastAsia="仿宋_GB2312"/>
                <w:sz w:val="24"/>
              </w:rPr>
              <w:t>2小时内到达事故现场并于</w:t>
            </w:r>
            <w:r>
              <w:rPr>
                <w:rFonts w:ascii="仿宋_GB2312" w:hAnsi="仿宋_GB2312" w:cs="仿宋_GB2312" w:eastAsia="仿宋_GB2312"/>
                <w:sz w:val="24"/>
              </w:rPr>
              <w:t>4</w:t>
            </w:r>
            <w:r>
              <w:rPr>
                <w:rFonts w:ascii="仿宋_GB2312" w:hAnsi="仿宋_GB2312" w:cs="仿宋_GB2312" w:eastAsia="仿宋_GB2312"/>
                <w:sz w:val="24"/>
              </w:rPr>
              <w:t>小时内完成应急维修。</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质量标准执行国家、陕西省、西安市现行工程质量验收标准，施工结束后提供具有CMA/CNAS资格的第三方检测机构空气质量检测报告。</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1.供应商应按照磋商文件中规定的时间及地点前往项目地点踏勘，以充分了解工地位置、情况、道路、储存空间、装卸限制及任何其他足以影响响应报价的情况，供应商因忽视或误解工地情况而导致的其提出的任何索赔或工期延长申请将不被批准。凡因供应商对竞争性磋商文件阅读疏忽或误解，或因对施工现场、施工环境、市场行情等了解不清而造成的后果和风险，由供应商自行负责。在施工期间，供应商自行协调施工现场周边社会关系，不得以协调不力而影响工程进度，所发生的一切费用应在报价时加以考虑。 2.磋商报价时各供应商应根据文件说明、做法、施工组织设计、施工验收规范、现场条件、工程特点等内容编制磋商报价。 3.所有材料必须使用合格产品，竞争性磋商文件如对材料的材质、品牌等有明确要求的，不得变更相关要求，使用前应当由采购人认质确认后方可投入使用。工程施工完毕后需对施工场地进行保洁，保洁标准达到采购人要求。 4.本项目工程量清单是按照本工程施工图纸，依据《陕西省建设工程费用规则》、2025版《陕西省建设工程工程量清单计价标准》、2025版《陕西省房屋建筑与装饰工程工程量计算标准》、2025版《陕西省通用安装工程工程量计算标准》、2025版《陕西省市政工程工程量计算标准》、2025版《陕西省园林绿化工程工程量计算标准》等现行陕西省工程建设标准的规定项目编码、项目名称、计量单位和工程量计算规则进行编制的，请各供应商根据提供的施工图纸认真核对，并确认无误;供应商中标后，若出现磋商文件中工程量清单描述与图纸不符等问题时，此部分工程量清单项的综合单价不予调整。</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1.响应保证金须从供应商户名支付，如从个人户名或非供应商户名支付， 将被拒绝，视为自动放弃投标权利（该个人是供应商的情形除外）；响应保证金缴纳时间：开标时间之前；以保函形式交纳响应保证金的，供应商应在投标截止时间前将保函上传至政府采购电子化交易平台，同时将保函扫描成清晰的PDF文件，发送至邮箱2973608682@qq.com（邮件命名：项目名称+项目编号）；供应商应在响应文件中附保函复印件。保函必须由具有开具投标保函资格的单位开具；若供应商违约，开具保函单位承担连带责任； 2.响应保证金的提交金额、时间不满足磋商文件要求的，投标无效； 3.本项目成交供应商须在领取中标（成交）通知书同一时间向采购代理机构提供响应文件（应与政府采购电子化交易平台上传的响应文件完全一致）正本1份、副本1份。 4.结算时，依据采购人审定的工程量，按实际发生量据实结算，工程价款结算时依据最终价款和一次报价的下浮比例执行。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主体资格</w:t>
            </w:r>
          </w:p>
        </w:tc>
        <w:tc>
          <w:tcPr>
            <w:tcW w:type="dxa" w:w="3322"/>
          </w:tcPr>
          <w:p>
            <w:pPr>
              <w:pStyle w:val="null3"/>
            </w:pPr>
            <w:r>
              <w:rPr>
                <w:rFonts w:ascii="仿宋_GB2312" w:hAnsi="仿宋_GB2312" w:cs="仿宋_GB2312" w:eastAsia="仿宋_GB2312"/>
              </w:rPr>
              <w:t>供应商为向采购人提供工程及相应服务的法人或其他组织；</w:t>
            </w:r>
          </w:p>
        </w:tc>
        <w:tc>
          <w:tcPr>
            <w:tcW w:type="dxa" w:w="1661"/>
          </w:tcPr>
          <w:p>
            <w:pPr>
              <w:pStyle w:val="null3"/>
            </w:pPr>
            <w:r>
              <w:rPr>
                <w:rFonts w:ascii="仿宋_GB2312" w:hAnsi="仿宋_GB2312" w:cs="仿宋_GB2312" w:eastAsia="仿宋_GB2312"/>
              </w:rPr>
              <w:t>供应商应提交的资格审查资料.docx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供应商提供自2025年5月至今已缴纳的至少一个月的社会保障资金缴存单据或社保机构开具的社会保险参保缴费情况证明，单据或证明上应有社保机构或代收机构的公章。依法不需要缴纳社会保障资金的供应商应提供相关文件证明；</w:t>
            </w:r>
          </w:p>
        </w:tc>
        <w:tc>
          <w:tcPr>
            <w:tcW w:type="dxa" w:w="1661"/>
          </w:tcPr>
          <w:p>
            <w:pPr>
              <w:pStyle w:val="null3"/>
            </w:pPr>
            <w:r>
              <w:rPr>
                <w:rFonts w:ascii="仿宋_GB2312" w:hAnsi="仿宋_GB2312" w:cs="仿宋_GB2312" w:eastAsia="仿宋_GB2312"/>
              </w:rPr>
              <w:t>供应商应提交的资格审查资料.docx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供应商提供自2025年5月至今已缴纳的至少一个月纳税证明或完税证明，依法免税的单位应提供相关证明材料；</w:t>
            </w:r>
          </w:p>
        </w:tc>
        <w:tc>
          <w:tcPr>
            <w:tcW w:type="dxa" w:w="1661"/>
          </w:tcPr>
          <w:p>
            <w:pPr>
              <w:pStyle w:val="null3"/>
            </w:pPr>
            <w:r>
              <w:rPr>
                <w:rFonts w:ascii="仿宋_GB2312" w:hAnsi="仿宋_GB2312" w:cs="仿宋_GB2312" w:eastAsia="仿宋_GB2312"/>
              </w:rPr>
              <w:t>供应商应提交的资格审查资料.docx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财务状况证明</w:t>
            </w:r>
          </w:p>
        </w:tc>
        <w:tc>
          <w:tcPr>
            <w:tcW w:type="dxa" w:w="3322"/>
          </w:tcPr>
          <w:p>
            <w:pPr>
              <w:pStyle w:val="null3"/>
            </w:pPr>
            <w:r>
              <w:rPr>
                <w:rFonts w:ascii="仿宋_GB2312" w:hAnsi="仿宋_GB2312" w:cs="仿宋_GB2312" w:eastAsia="仿宋_GB2312"/>
              </w:rPr>
              <w:t>供应商提供2024或2025年度经审计的完整财务审计报告或在开标日期前六个月内其基本开户银行出具的资信证明；</w:t>
            </w:r>
          </w:p>
        </w:tc>
        <w:tc>
          <w:tcPr>
            <w:tcW w:type="dxa" w:w="1661"/>
          </w:tcPr>
          <w:p>
            <w:pPr>
              <w:pStyle w:val="null3"/>
            </w:pPr>
            <w:r>
              <w:rPr>
                <w:rFonts w:ascii="仿宋_GB2312" w:hAnsi="仿宋_GB2312" w:cs="仿宋_GB2312" w:eastAsia="仿宋_GB2312"/>
              </w:rPr>
              <w:t>供应商应提交的资格审查资料.docx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供应商资质要求</w:t>
            </w:r>
          </w:p>
        </w:tc>
        <w:tc>
          <w:tcPr>
            <w:tcW w:type="dxa" w:w="3322"/>
          </w:tcPr>
          <w:p>
            <w:pPr>
              <w:pStyle w:val="null3"/>
            </w:pPr>
            <w:r>
              <w:rPr>
                <w:rFonts w:ascii="仿宋_GB2312" w:hAnsi="仿宋_GB2312" w:cs="仿宋_GB2312" w:eastAsia="仿宋_GB2312"/>
              </w:rPr>
              <w:t>供应商须具备建设行政主管部门颁发合法有效的建筑工程施工总承包三级(含)以上或建筑装修装饰工程专业承包二级(含)以上资质，并具备有效的安全生产许可证，且在人员、设备、资金等方面具备相应施工能力；</w:t>
            </w:r>
          </w:p>
        </w:tc>
        <w:tc>
          <w:tcPr>
            <w:tcW w:type="dxa" w:w="1661"/>
          </w:tcPr>
          <w:p>
            <w:pPr>
              <w:pStyle w:val="null3"/>
            </w:pPr>
            <w:r>
              <w:rPr>
                <w:rFonts w:ascii="仿宋_GB2312" w:hAnsi="仿宋_GB2312" w:cs="仿宋_GB2312" w:eastAsia="仿宋_GB2312"/>
              </w:rPr>
              <w:t>供应商应提交的资格审查资料.docx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供应商拟派项目经理资质和专业要求</w:t>
            </w:r>
          </w:p>
        </w:tc>
        <w:tc>
          <w:tcPr>
            <w:tcW w:type="dxa" w:w="3322"/>
          </w:tcPr>
          <w:p>
            <w:pPr>
              <w:pStyle w:val="null3"/>
            </w:pPr>
            <w:r>
              <w:rPr>
                <w:rFonts w:ascii="仿宋_GB2312" w:hAnsi="仿宋_GB2312" w:cs="仿宋_GB2312" w:eastAsia="仿宋_GB2312"/>
              </w:rPr>
              <w:t>供应商拟派项目经理具备合法有效的建筑工程专业注册建造师二级（含）以上执业资格及安全生产考核合格证书（安全B证），在本单位注册且无在建工程；</w:t>
            </w:r>
          </w:p>
        </w:tc>
        <w:tc>
          <w:tcPr>
            <w:tcW w:type="dxa" w:w="1661"/>
          </w:tcPr>
          <w:p>
            <w:pPr>
              <w:pStyle w:val="null3"/>
            </w:pPr>
            <w:r>
              <w:rPr>
                <w:rFonts w:ascii="仿宋_GB2312" w:hAnsi="仿宋_GB2312" w:cs="仿宋_GB2312" w:eastAsia="仿宋_GB2312"/>
              </w:rPr>
              <w:t>供应商应提交的资格审查资料.docx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信誉要求</w:t>
            </w:r>
          </w:p>
        </w:tc>
        <w:tc>
          <w:tcPr>
            <w:tcW w:type="dxa" w:w="3322"/>
          </w:tcPr>
          <w:p>
            <w:pPr>
              <w:pStyle w:val="null3"/>
            </w:pPr>
            <w:r>
              <w:rPr>
                <w:rFonts w:ascii="仿宋_GB2312" w:hAnsi="仿宋_GB2312" w:cs="仿宋_GB2312" w:eastAsia="仿宋_GB2312"/>
              </w:rPr>
              <w:t>供应商未被“信用中国”网站列入“重大税收违法失信主体名单”；未被“中国执行信息公开网”列入“失信被执行人”；未被“中国政府采购网”网站列入“政府采购严重违法失信行为记录名单”；未被“国家企业信用信息公示系统”网站“列入严重违法失信名单（黑名单）信息”； 同时拟派项目经理未被列入“信用中国”网站的“重点领域严重失信主体名单”中的“安全生产严重失信主体名单（自然人）”；未被“中国执行信息公开网”列入失信被执行人。</w:t>
            </w:r>
          </w:p>
        </w:tc>
        <w:tc>
          <w:tcPr>
            <w:tcW w:type="dxa" w:w="1661"/>
          </w:tcPr>
          <w:p>
            <w:pPr>
              <w:pStyle w:val="null3"/>
            </w:pPr>
            <w:r>
              <w:rPr>
                <w:rFonts w:ascii="仿宋_GB2312" w:hAnsi="仿宋_GB2312" w:cs="仿宋_GB2312" w:eastAsia="仿宋_GB2312"/>
              </w:rPr>
              <w:t>供应商应提交的资格审查资料.docx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其他要求</w:t>
            </w:r>
          </w:p>
        </w:tc>
        <w:tc>
          <w:tcPr>
            <w:tcW w:type="dxa" w:w="3322"/>
          </w:tcPr>
          <w:p>
            <w:pPr>
              <w:pStyle w:val="null3"/>
            </w:pPr>
            <w:r>
              <w:rPr>
                <w:rFonts w:ascii="仿宋_GB2312" w:hAnsi="仿宋_GB2312" w:cs="仿宋_GB2312" w:eastAsia="仿宋_GB2312"/>
              </w:rPr>
              <w:t>供应商及其拟派项目经理须在“陕西省住房和城乡建设厅”官方网站可查询；如供应商为外省进陕企业，还须同时提供“陕西省住房和城乡建设厅”官网企业库外省进陕施工企业信息首页截图；</w:t>
            </w:r>
          </w:p>
        </w:tc>
        <w:tc>
          <w:tcPr>
            <w:tcW w:type="dxa" w:w="1661"/>
          </w:tcPr>
          <w:p>
            <w:pPr>
              <w:pStyle w:val="null3"/>
            </w:pPr>
            <w:r>
              <w:rPr>
                <w:rFonts w:ascii="仿宋_GB2312" w:hAnsi="仿宋_GB2312" w:cs="仿宋_GB2312" w:eastAsia="仿宋_GB2312"/>
              </w:rPr>
              <w:t>供应商应提交的资格审查资料.docx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 具体内容及要求以“第六章 磋商办法 6.4.2评分标准”为准。</w:t>
            </w:r>
          </w:p>
        </w:tc>
        <w:tc>
          <w:tcPr>
            <w:tcW w:type="dxa" w:w="1661"/>
          </w:tcPr>
          <w:p>
            <w:pPr>
              <w:pStyle w:val="null3"/>
            </w:pPr>
            <w:r>
              <w:rPr>
                <w:rFonts w:ascii="仿宋_GB2312" w:hAnsi="仿宋_GB2312" w:cs="仿宋_GB2312" w:eastAsia="仿宋_GB2312"/>
              </w:rPr>
              <w:t>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供应商名称是否与营业执照、资质证书、安全生产许可证一致</w:t>
            </w:r>
          </w:p>
        </w:tc>
        <w:tc>
          <w:tcPr>
            <w:tcW w:type="dxa" w:w="3322"/>
          </w:tcPr>
          <w:p>
            <w:pPr>
              <w:pStyle w:val="null3"/>
            </w:pPr>
            <w:r>
              <w:rPr>
                <w:rFonts w:ascii="仿宋_GB2312" w:hAnsi="仿宋_GB2312" w:cs="仿宋_GB2312" w:eastAsia="仿宋_GB2312"/>
              </w:rPr>
              <w:t>供应商名称应与营业执照、资质证书、安全生产许可证一致；</w:t>
            </w:r>
          </w:p>
        </w:tc>
        <w:tc>
          <w:tcPr>
            <w:tcW w:type="dxa" w:w="1661"/>
          </w:tcPr>
          <w:p>
            <w:pPr>
              <w:pStyle w:val="null3"/>
            </w:pPr>
            <w:r>
              <w:rPr>
                <w:rFonts w:ascii="仿宋_GB2312" w:hAnsi="仿宋_GB2312" w:cs="仿宋_GB2312" w:eastAsia="仿宋_GB2312"/>
              </w:rPr>
              <w:t>供应商应提交的资格审查资料.docx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响应函是否按磋商文件要求签署、盖章的</w:t>
            </w:r>
          </w:p>
        </w:tc>
        <w:tc>
          <w:tcPr>
            <w:tcW w:type="dxa" w:w="3322"/>
          </w:tcPr>
          <w:p>
            <w:pPr>
              <w:pStyle w:val="null3"/>
            </w:pPr>
            <w:r>
              <w:rPr>
                <w:rFonts w:ascii="仿宋_GB2312" w:hAnsi="仿宋_GB2312" w:cs="仿宋_GB2312" w:eastAsia="仿宋_GB2312"/>
              </w:rPr>
              <w:t>响应函应需在项目电子化交易系统中按要求填写《响应函》、《报价函》完成承诺并进行电子签章；</w:t>
            </w:r>
          </w:p>
        </w:tc>
        <w:tc>
          <w:tcPr>
            <w:tcW w:type="dxa" w:w="1661"/>
          </w:tcPr>
          <w:p>
            <w:pPr>
              <w:pStyle w:val="null3"/>
            </w:pPr>
            <w:r>
              <w:rPr>
                <w:rFonts w:ascii="仿宋_GB2312" w:hAnsi="仿宋_GB2312" w:cs="仿宋_GB2312" w:eastAsia="仿宋_GB2312"/>
              </w:rPr>
              <w:t>报价函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响应文件报价是否唯一</w:t>
            </w:r>
          </w:p>
        </w:tc>
        <w:tc>
          <w:tcPr>
            <w:tcW w:type="dxa" w:w="3322"/>
          </w:tcPr>
          <w:p>
            <w:pPr>
              <w:pStyle w:val="null3"/>
            </w:pPr>
            <w:r>
              <w:rPr>
                <w:rFonts w:ascii="仿宋_GB2312" w:hAnsi="仿宋_GB2312" w:cs="仿宋_GB2312" w:eastAsia="仿宋_GB2312"/>
              </w:rPr>
              <w:t>每次报价只能有一个有效报价，且未超出采购预算及采购最高限价；</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工期、质量要求</w:t>
            </w:r>
          </w:p>
        </w:tc>
        <w:tc>
          <w:tcPr>
            <w:tcW w:type="dxa" w:w="3322"/>
          </w:tcPr>
          <w:p>
            <w:pPr>
              <w:pStyle w:val="null3"/>
            </w:pPr>
            <w:r>
              <w:rPr>
                <w:rFonts w:ascii="仿宋_GB2312" w:hAnsi="仿宋_GB2312" w:cs="仿宋_GB2312" w:eastAsia="仿宋_GB2312"/>
              </w:rPr>
              <w:t>满足磋商文件要求；</w:t>
            </w:r>
          </w:p>
        </w:tc>
        <w:tc>
          <w:tcPr>
            <w:tcW w:type="dxa" w:w="1661"/>
          </w:tcPr>
          <w:p>
            <w:pPr>
              <w:pStyle w:val="null3"/>
            </w:pPr>
            <w:r>
              <w:rPr>
                <w:rFonts w:ascii="仿宋_GB2312" w:hAnsi="仿宋_GB2312" w:cs="仿宋_GB2312" w:eastAsia="仿宋_GB2312"/>
              </w:rPr>
              <w:t>技术服务合同条款及其他商务要求应答表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响应文件是否存在无效磋商的情形及未实质性响应磋商文件的情况</w:t>
            </w:r>
          </w:p>
        </w:tc>
        <w:tc>
          <w:tcPr>
            <w:tcW w:type="dxa" w:w="3322"/>
          </w:tcPr>
          <w:p>
            <w:pPr>
              <w:pStyle w:val="null3"/>
            </w:pPr>
            <w:r>
              <w:rPr>
                <w:rFonts w:ascii="仿宋_GB2312" w:hAnsi="仿宋_GB2312" w:cs="仿宋_GB2312" w:eastAsia="仿宋_GB2312"/>
              </w:rPr>
              <w:t>响应文件未存在法律法规或磋商文件明确规定的其他被视为“无效磋商”的情形及未实质性响应磋商文件的情况。</w:t>
            </w:r>
          </w:p>
        </w:tc>
        <w:tc>
          <w:tcPr>
            <w:tcW w:type="dxa" w:w="1661"/>
          </w:tcPr>
          <w:p>
            <w:pPr>
              <w:pStyle w:val="null3"/>
            </w:pPr>
            <w:r>
              <w:rPr>
                <w:rFonts w:ascii="仿宋_GB2312" w:hAnsi="仿宋_GB2312" w:cs="仿宋_GB2312" w:eastAsia="仿宋_GB2312"/>
              </w:rPr>
              <w:t>拟派项目经理及项目组人员承诺函.docx 已标价工程量清单 质量管理体系与保证措施.docx 供应商应提交的资格审查资料.docx 确保安全生产、文明施工的技术组织措施及环境保护措施.docx 节能环保、绿色建材.docx 中小企业声明函 对项目整体理解及施工方案.docx 企业业绩.docx 服务承诺.docx 技术服务合同条款及其他商务要求应答表 主要材料品质、价格表.docx 工程进度计划与保证措施.docx 响应文件封面 残疾人福利性单位声明函 法定代表人证明书及授权书.docx 报价函 标的清单 响应函 项目人员组成.docx 拟派项目经理业绩.docx 拟派项目经理社保缴纳证明.docx 监狱企业的证明文件</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已标价工程量清单扉页是否(仅指投标总价扉页)加盖有注册或登记在本单位的造价人员签字并盖执业印章</w:t>
            </w:r>
          </w:p>
        </w:tc>
        <w:tc>
          <w:tcPr>
            <w:tcW w:type="dxa" w:w="3322"/>
          </w:tcPr>
          <w:p>
            <w:pPr>
              <w:pStyle w:val="null3"/>
            </w:pPr>
            <w:r>
              <w:rPr>
                <w:rFonts w:ascii="仿宋_GB2312" w:hAnsi="仿宋_GB2312" w:cs="仿宋_GB2312" w:eastAsia="仿宋_GB2312"/>
              </w:rPr>
              <w:t>已标价工程量清单扉页(仅指投标总价扉页)已加盖有注册或登记在本单位的造价人员签字并盖执业印章；</w:t>
            </w:r>
          </w:p>
        </w:tc>
        <w:tc>
          <w:tcPr>
            <w:tcW w:type="dxa" w:w="1661"/>
          </w:tcPr>
          <w:p>
            <w:pPr>
              <w:pStyle w:val="null3"/>
            </w:pPr>
            <w:r>
              <w:rPr>
                <w:rFonts w:ascii="仿宋_GB2312" w:hAnsi="仿宋_GB2312" w:cs="仿宋_GB2312" w:eastAsia="仿宋_GB2312"/>
              </w:rPr>
              <w:t>已标价工程量清单</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是否提供拟派项目经理及项目组成员在项目结束前不可更换的承诺函</w:t>
            </w:r>
          </w:p>
        </w:tc>
        <w:tc>
          <w:tcPr>
            <w:tcW w:type="dxa" w:w="3322"/>
          </w:tcPr>
          <w:p>
            <w:pPr>
              <w:pStyle w:val="null3"/>
            </w:pPr>
            <w:r>
              <w:rPr>
                <w:rFonts w:ascii="仿宋_GB2312" w:hAnsi="仿宋_GB2312" w:cs="仿宋_GB2312" w:eastAsia="仿宋_GB2312"/>
              </w:rPr>
              <w:t>已提供拟派项目经理及项目组成员在项目结束前不可更换的承诺函；</w:t>
            </w:r>
          </w:p>
        </w:tc>
        <w:tc>
          <w:tcPr>
            <w:tcW w:type="dxa" w:w="1661"/>
          </w:tcPr>
          <w:p>
            <w:pPr>
              <w:pStyle w:val="null3"/>
            </w:pPr>
            <w:r>
              <w:rPr>
                <w:rFonts w:ascii="仿宋_GB2312" w:hAnsi="仿宋_GB2312" w:cs="仿宋_GB2312" w:eastAsia="仿宋_GB2312"/>
              </w:rPr>
              <w:t>拟派项目经理及项目组人员承诺函.docx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是否提供拟派项目经理在供应商本单位近6个月内社保缴纳证明</w:t>
            </w:r>
          </w:p>
        </w:tc>
        <w:tc>
          <w:tcPr>
            <w:tcW w:type="dxa" w:w="3322"/>
          </w:tcPr>
          <w:p>
            <w:pPr>
              <w:pStyle w:val="null3"/>
            </w:pPr>
            <w:r>
              <w:rPr>
                <w:rFonts w:ascii="仿宋_GB2312" w:hAnsi="仿宋_GB2312" w:cs="仿宋_GB2312" w:eastAsia="仿宋_GB2312"/>
              </w:rPr>
              <w:t>已提供拟派项目经理在供应商本单位近6个月内社保缴纳证明；</w:t>
            </w:r>
          </w:p>
        </w:tc>
        <w:tc>
          <w:tcPr>
            <w:tcW w:type="dxa" w:w="1661"/>
          </w:tcPr>
          <w:p>
            <w:pPr>
              <w:pStyle w:val="null3"/>
            </w:pPr>
            <w:r>
              <w:rPr>
                <w:rFonts w:ascii="仿宋_GB2312" w:hAnsi="仿宋_GB2312" w:cs="仿宋_GB2312" w:eastAsia="仿宋_GB2312"/>
              </w:rPr>
              <w:t>拟派项目经理社保缴纳证明.docx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供应商应授权合法的人员参加本项目竞争性磋商活动全过程</w:t>
            </w:r>
          </w:p>
        </w:tc>
        <w:tc>
          <w:tcPr>
            <w:tcW w:type="dxa" w:w="3322"/>
          </w:tcPr>
          <w:p>
            <w:pPr>
              <w:pStyle w:val="null3"/>
            </w:pPr>
            <w:r>
              <w:rPr>
                <w:rFonts w:ascii="仿宋_GB2312" w:hAnsi="仿宋_GB2312" w:cs="仿宋_GB2312" w:eastAsia="仿宋_GB2312"/>
              </w:rPr>
              <w:t>供应商应授权合法的人员参加本项目竞争性磋商会议全过程，法定代表人参加竞争性磋商会议的，应出具法定代表人证明书以及法定代表人合法有效的身份证，且应与营业执照上信息一致。法定代表人授权合法授权代表参加竞争性磋商会议的，应出具法定代表人证明书、法定代表人授权书及授权代表合法有效的身份证,同时提供截至响应文件递交截止时间前在供应商本单位6个月内任意1个月的社保缴纳证明材料；</w:t>
            </w:r>
          </w:p>
        </w:tc>
        <w:tc>
          <w:tcPr>
            <w:tcW w:type="dxa" w:w="1661"/>
          </w:tcPr>
          <w:p>
            <w:pPr>
              <w:pStyle w:val="null3"/>
            </w:pPr>
            <w:r>
              <w:rPr>
                <w:rFonts w:ascii="仿宋_GB2312" w:hAnsi="仿宋_GB2312" w:cs="仿宋_GB2312" w:eastAsia="仿宋_GB2312"/>
              </w:rPr>
              <w:t>法定代表人证明书及授权书.docx</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详细评审45.00分</w:t>
            </w:r>
          </w:p>
          <w:p>
            <w:pPr>
              <w:pStyle w:val="null3"/>
            </w:pPr>
            <w:r>
              <w:rPr>
                <w:rFonts w:ascii="仿宋_GB2312" w:hAnsi="仿宋_GB2312" w:cs="仿宋_GB2312" w:eastAsia="仿宋_GB2312"/>
              </w:rPr>
              <w:t>报价得分55.00分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对项目整体理解及施工方案1</w:t>
            </w:r>
          </w:p>
        </w:tc>
        <w:tc>
          <w:tcPr>
            <w:tcW w:type="dxa" w:w="2492"/>
          </w:tcPr>
          <w:p>
            <w:pPr>
              <w:pStyle w:val="null3"/>
            </w:pPr>
            <w:r>
              <w:rPr>
                <w:rFonts w:ascii="仿宋_GB2312" w:hAnsi="仿宋_GB2312" w:cs="仿宋_GB2312" w:eastAsia="仿宋_GB2312"/>
              </w:rPr>
              <w:t>1.根据供应商针对本项目实施的现场情况、难易程度、历史资料匹配、成品保护等重点、难点进行分析进行评审： 内容完备、科学、合理、针对性强得1.5分； 内容较为完备，针对性较强的得1分； 内容较为简略、基本可行的得0.5分； 内容缺失严重、不合理和未提供的均不计分。</w:t>
            </w:r>
          </w:p>
        </w:tc>
        <w:tc>
          <w:tcPr>
            <w:tcW w:type="dxa" w:w="831"/>
          </w:tcPr>
          <w:p>
            <w:pPr>
              <w:pStyle w:val="null3"/>
              <w:jc w:val="right"/>
            </w:pPr>
            <w:r>
              <w:rPr>
                <w:rFonts w:ascii="仿宋_GB2312" w:hAnsi="仿宋_GB2312" w:cs="仿宋_GB2312" w:eastAsia="仿宋_GB2312"/>
              </w:rPr>
              <w:t>1.5000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对项目整体理解及施工方案.docx</w:t>
            </w:r>
          </w:p>
        </w:tc>
      </w:tr>
      <w:tr>
        <w:tc>
          <w:tcPr>
            <w:tcW w:type="dxa" w:w="831"/>
            <w:vMerge/>
          </w:tcPr>
          <w:p/>
        </w:tc>
        <w:tc>
          <w:tcPr>
            <w:tcW w:type="dxa" w:w="1661"/>
          </w:tcPr>
          <w:p>
            <w:pPr>
              <w:pStyle w:val="null3"/>
            </w:pPr>
            <w:r>
              <w:rPr>
                <w:rFonts w:ascii="仿宋_GB2312" w:hAnsi="仿宋_GB2312" w:cs="仿宋_GB2312" w:eastAsia="仿宋_GB2312"/>
              </w:rPr>
              <w:t>对项目整体理解及施工方案2</w:t>
            </w:r>
          </w:p>
        </w:tc>
        <w:tc>
          <w:tcPr>
            <w:tcW w:type="dxa" w:w="2492"/>
          </w:tcPr>
          <w:p>
            <w:pPr>
              <w:pStyle w:val="null3"/>
            </w:pPr>
            <w:r>
              <w:rPr>
                <w:rFonts w:ascii="仿宋_GB2312" w:hAnsi="仿宋_GB2312" w:cs="仿宋_GB2312" w:eastAsia="仿宋_GB2312"/>
              </w:rPr>
              <w:t>2.根据供应商针对本项目对易发生质量通病、易出现安全问题、施工难度大、技术含量高的分项工程等进行说明并给出施工保障措施和专项技术方案（含主要施工工法、组织措施、检验手段等）进行评审： 内容完备、科学、合理、针对性强得2分； 内容较为完备，针对性较强的得1.4分； 内容较为简略、基本可行的得0.7分； 内容缺失严重、不合理和未提供的均不计分。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对项目整体理解及施工方案.docx</w:t>
            </w:r>
          </w:p>
        </w:tc>
      </w:tr>
      <w:tr>
        <w:tc>
          <w:tcPr>
            <w:tcW w:type="dxa" w:w="831"/>
            <w:vMerge/>
          </w:tcPr>
          <w:p/>
        </w:tc>
        <w:tc>
          <w:tcPr>
            <w:tcW w:type="dxa" w:w="1661"/>
          </w:tcPr>
          <w:p>
            <w:pPr>
              <w:pStyle w:val="null3"/>
            </w:pPr>
            <w:r>
              <w:rPr>
                <w:rFonts w:ascii="仿宋_GB2312" w:hAnsi="仿宋_GB2312" w:cs="仿宋_GB2312" w:eastAsia="仿宋_GB2312"/>
              </w:rPr>
              <w:t>对项目整体理解及施工方案3</w:t>
            </w:r>
          </w:p>
        </w:tc>
        <w:tc>
          <w:tcPr>
            <w:tcW w:type="dxa" w:w="2492"/>
          </w:tcPr>
          <w:p>
            <w:pPr>
              <w:pStyle w:val="null3"/>
            </w:pPr>
            <w:r>
              <w:rPr>
                <w:rFonts w:ascii="仿宋_GB2312" w:hAnsi="仿宋_GB2312" w:cs="仿宋_GB2312" w:eastAsia="仿宋_GB2312"/>
              </w:rPr>
              <w:t>3.根据供应商针对影响本项目的外在因素和可能出现的问题进行分析，并制定相关应急预案或保证措施进行评审： 内容完备、科学、合理、针对性强得1.5分； 内容较为完备，针对性较强的得1分； 内容较为简略、基本可行的得0.5分； 内容缺失严重、不合理和未提供的均不计分。</w:t>
            </w:r>
          </w:p>
        </w:tc>
        <w:tc>
          <w:tcPr>
            <w:tcW w:type="dxa" w:w="831"/>
          </w:tcPr>
          <w:p>
            <w:pPr>
              <w:pStyle w:val="null3"/>
              <w:jc w:val="right"/>
            </w:pPr>
            <w:r>
              <w:rPr>
                <w:rFonts w:ascii="仿宋_GB2312" w:hAnsi="仿宋_GB2312" w:cs="仿宋_GB2312" w:eastAsia="仿宋_GB2312"/>
              </w:rPr>
              <w:t>1.5000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对项目整体理解及施工方案.docx</w:t>
            </w:r>
          </w:p>
        </w:tc>
      </w:tr>
      <w:tr>
        <w:tc>
          <w:tcPr>
            <w:tcW w:type="dxa" w:w="831"/>
            <w:vMerge/>
          </w:tcPr>
          <w:p/>
        </w:tc>
        <w:tc>
          <w:tcPr>
            <w:tcW w:type="dxa" w:w="1661"/>
          </w:tcPr>
          <w:p>
            <w:pPr>
              <w:pStyle w:val="null3"/>
            </w:pPr>
            <w:r>
              <w:rPr>
                <w:rFonts w:ascii="仿宋_GB2312" w:hAnsi="仿宋_GB2312" w:cs="仿宋_GB2312" w:eastAsia="仿宋_GB2312"/>
              </w:rPr>
              <w:t>工程进度计划与保证措施1</w:t>
            </w:r>
          </w:p>
        </w:tc>
        <w:tc>
          <w:tcPr>
            <w:tcW w:type="dxa" w:w="2492"/>
          </w:tcPr>
          <w:p>
            <w:pPr>
              <w:pStyle w:val="null3"/>
            </w:pPr>
            <w:r>
              <w:rPr>
                <w:rFonts w:ascii="仿宋_GB2312" w:hAnsi="仿宋_GB2312" w:cs="仿宋_GB2312" w:eastAsia="仿宋_GB2312"/>
              </w:rPr>
              <w:t>1.根据供应商针对本项目工期紧、质量高的特点，制定切实可行的施工进度计划（网络图/横道图）和工期保证措施，施工顺序具体说明及施工流水段划分；工期控制要点及分级控制措施；进度监管手段、人材机组织保证进行评审： 内容完备、科学、合理、针对性强得3分； 内容较为完备，针对性较强的得2分； 内容较为简略、基本可行的得1分； 内容缺失严重、不合理和未提供的均不计分。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工程进度计划与保证措施.docx</w:t>
            </w:r>
          </w:p>
        </w:tc>
      </w:tr>
      <w:tr>
        <w:tc>
          <w:tcPr>
            <w:tcW w:type="dxa" w:w="831"/>
            <w:vMerge/>
          </w:tcPr>
          <w:p/>
        </w:tc>
        <w:tc>
          <w:tcPr>
            <w:tcW w:type="dxa" w:w="1661"/>
          </w:tcPr>
          <w:p>
            <w:pPr>
              <w:pStyle w:val="null3"/>
            </w:pPr>
            <w:r>
              <w:rPr>
                <w:rFonts w:ascii="仿宋_GB2312" w:hAnsi="仿宋_GB2312" w:cs="仿宋_GB2312" w:eastAsia="仿宋_GB2312"/>
              </w:rPr>
              <w:t>工程进度计划与保证措施2</w:t>
            </w:r>
          </w:p>
        </w:tc>
        <w:tc>
          <w:tcPr>
            <w:tcW w:type="dxa" w:w="2492"/>
          </w:tcPr>
          <w:p>
            <w:pPr>
              <w:pStyle w:val="null3"/>
            </w:pPr>
            <w:r>
              <w:rPr>
                <w:rFonts w:ascii="仿宋_GB2312" w:hAnsi="仿宋_GB2312" w:cs="仿宋_GB2312" w:eastAsia="仿宋_GB2312"/>
              </w:rPr>
              <w:t>2.针对本项目工期紧、质量高的特点，制定切实可行的现场调度及总包分包协调方案；赶工方案及奖惩措施；劳动力配置计划和生产效率及生活保障措施；检测及机具设备计划、材料准备计划及相关保证措施进行评审： 内容完备、科学、合理、针对性强得3分； 内容较为完备，针对性较强的得2分； 内容较为简略、基本可行的得1分； 内容缺失严重、不合理和未提供的均不计分。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工程进度计划与保证措施.docx</w:t>
            </w:r>
          </w:p>
        </w:tc>
      </w:tr>
      <w:tr>
        <w:tc>
          <w:tcPr>
            <w:tcW w:type="dxa" w:w="831"/>
            <w:vMerge/>
          </w:tcPr>
          <w:p/>
        </w:tc>
        <w:tc>
          <w:tcPr>
            <w:tcW w:type="dxa" w:w="1661"/>
          </w:tcPr>
          <w:p>
            <w:pPr>
              <w:pStyle w:val="null3"/>
            </w:pPr>
            <w:r>
              <w:rPr>
                <w:rFonts w:ascii="仿宋_GB2312" w:hAnsi="仿宋_GB2312" w:cs="仿宋_GB2312" w:eastAsia="仿宋_GB2312"/>
              </w:rPr>
              <w:t>质量管理体系与保证措施1</w:t>
            </w:r>
          </w:p>
        </w:tc>
        <w:tc>
          <w:tcPr>
            <w:tcW w:type="dxa" w:w="2492"/>
          </w:tcPr>
          <w:p>
            <w:pPr>
              <w:pStyle w:val="null3"/>
            </w:pPr>
            <w:r>
              <w:rPr>
                <w:rFonts w:ascii="仿宋_GB2312" w:hAnsi="仿宋_GB2312" w:cs="仿宋_GB2312" w:eastAsia="仿宋_GB2312"/>
              </w:rPr>
              <w:t>1.根据供应商针对本项目特点制定切实可行质量管理预控措施（各项质量目标及控制措施、质量检验和实验计划、事前控制、材料质量控制、施工机具控制等）进行评审： 内容完备、科学、合理、针对性强得2分； 内容较为完备，针对性较强的得1.4分； 内容较为简略、基本可行的得0.7分； 内容缺失严重、不合理和未提供的均不计分。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质量管理体系与保证措施.docx</w:t>
            </w:r>
          </w:p>
        </w:tc>
      </w:tr>
      <w:tr>
        <w:tc>
          <w:tcPr>
            <w:tcW w:type="dxa" w:w="831"/>
            <w:vMerge/>
          </w:tcPr>
          <w:p/>
        </w:tc>
        <w:tc>
          <w:tcPr>
            <w:tcW w:type="dxa" w:w="1661"/>
          </w:tcPr>
          <w:p>
            <w:pPr>
              <w:pStyle w:val="null3"/>
            </w:pPr>
            <w:r>
              <w:rPr>
                <w:rFonts w:ascii="仿宋_GB2312" w:hAnsi="仿宋_GB2312" w:cs="仿宋_GB2312" w:eastAsia="仿宋_GB2312"/>
              </w:rPr>
              <w:t>质量管理体系与保证措施2</w:t>
            </w:r>
          </w:p>
        </w:tc>
        <w:tc>
          <w:tcPr>
            <w:tcW w:type="dxa" w:w="2492"/>
          </w:tcPr>
          <w:p>
            <w:pPr>
              <w:pStyle w:val="null3"/>
            </w:pPr>
            <w:r>
              <w:rPr>
                <w:rFonts w:ascii="仿宋_GB2312" w:hAnsi="仿宋_GB2312" w:cs="仿宋_GB2312" w:eastAsia="仿宋_GB2312"/>
              </w:rPr>
              <w:t>2.根据供应商针对本项目分部分项工程质量保证措施、成品保护和工程保修管理措施进行评审： 内容完备、科学、合理、针对性强得2分； 内容较为完备，针对性较强的得1.4分； 内容较为简略、基本可行的得0.7分； 内容缺失严重、不合理和未提供的均不计分。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质量管理体系与保证措施.docx</w:t>
            </w:r>
          </w:p>
        </w:tc>
      </w:tr>
      <w:tr>
        <w:tc>
          <w:tcPr>
            <w:tcW w:type="dxa" w:w="831"/>
            <w:vMerge/>
          </w:tcPr>
          <w:p/>
        </w:tc>
        <w:tc>
          <w:tcPr>
            <w:tcW w:type="dxa" w:w="1661"/>
          </w:tcPr>
          <w:p>
            <w:pPr>
              <w:pStyle w:val="null3"/>
            </w:pPr>
            <w:r>
              <w:rPr>
                <w:rFonts w:ascii="仿宋_GB2312" w:hAnsi="仿宋_GB2312" w:cs="仿宋_GB2312" w:eastAsia="仿宋_GB2312"/>
              </w:rPr>
              <w:t>确保安全生产、文明施工的技术组织措施及环境保护措施1</w:t>
            </w:r>
          </w:p>
        </w:tc>
        <w:tc>
          <w:tcPr>
            <w:tcW w:type="dxa" w:w="2492"/>
          </w:tcPr>
          <w:p>
            <w:pPr>
              <w:pStyle w:val="null3"/>
            </w:pPr>
            <w:r>
              <w:rPr>
                <w:rFonts w:ascii="仿宋_GB2312" w:hAnsi="仿宋_GB2312" w:cs="仿宋_GB2312" w:eastAsia="仿宋_GB2312"/>
              </w:rPr>
              <w:t>1.根据供应商针对本项目特点结合工程环境、特点分析安全隐患，给出有针对性的安全生产、文明施工、环保施工、防尘降噪等保证措施进行评审： 内容完备、科学、合理、针对性强得2分； 内容较为完备，针对性较强的得1.5分； 内容较为简略、基本可行的得1分； 内容缺失严重、不合理和未提供的均不计分。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确保安全生产、文明施工的技术组织措施及环境保护措施.docx</w:t>
            </w:r>
          </w:p>
        </w:tc>
      </w:tr>
      <w:tr>
        <w:tc>
          <w:tcPr>
            <w:tcW w:type="dxa" w:w="831"/>
            <w:vMerge/>
          </w:tcPr>
          <w:p/>
        </w:tc>
        <w:tc>
          <w:tcPr>
            <w:tcW w:type="dxa" w:w="1661"/>
          </w:tcPr>
          <w:p>
            <w:pPr>
              <w:pStyle w:val="null3"/>
            </w:pPr>
            <w:r>
              <w:rPr>
                <w:rFonts w:ascii="仿宋_GB2312" w:hAnsi="仿宋_GB2312" w:cs="仿宋_GB2312" w:eastAsia="仿宋_GB2312"/>
              </w:rPr>
              <w:t>确保安全生产、文明施工的技术组织措施及环境保护措施2</w:t>
            </w:r>
          </w:p>
        </w:tc>
        <w:tc>
          <w:tcPr>
            <w:tcW w:type="dxa" w:w="2492"/>
          </w:tcPr>
          <w:p>
            <w:pPr>
              <w:pStyle w:val="null3"/>
            </w:pPr>
            <w:r>
              <w:rPr>
                <w:rFonts w:ascii="仿宋_GB2312" w:hAnsi="仿宋_GB2312" w:cs="仿宋_GB2312" w:eastAsia="仿宋_GB2312"/>
              </w:rPr>
              <w:t>2.根据供应商针对本项目提供安全文明、环保施工保证体系和控制点设置合理，满足国家、省市相关法规规定及采购文件要求进行评审： 内容完备、科学、合理、针对性强得2分； 内容较为完备，针对性较强的得1.5分； 内容较为简略、基本可行的得1分； 内容缺失严重、不合理和未提供的均不计分。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确保安全生产、文明施工的技术组织措施及环境保护措施.docx</w:t>
            </w:r>
          </w:p>
        </w:tc>
      </w:tr>
      <w:tr>
        <w:tc>
          <w:tcPr>
            <w:tcW w:type="dxa" w:w="831"/>
            <w:vMerge/>
          </w:tcPr>
          <w:p/>
        </w:tc>
        <w:tc>
          <w:tcPr>
            <w:tcW w:type="dxa" w:w="1661"/>
          </w:tcPr>
          <w:p>
            <w:pPr>
              <w:pStyle w:val="null3"/>
            </w:pPr>
            <w:r>
              <w:rPr>
                <w:rFonts w:ascii="仿宋_GB2312" w:hAnsi="仿宋_GB2312" w:cs="仿宋_GB2312" w:eastAsia="仿宋_GB2312"/>
              </w:rPr>
              <w:t>拟派项目经理业绩</w:t>
            </w:r>
          </w:p>
        </w:tc>
        <w:tc>
          <w:tcPr>
            <w:tcW w:type="dxa" w:w="2492"/>
          </w:tcPr>
          <w:p>
            <w:pPr>
              <w:pStyle w:val="null3"/>
            </w:pPr>
            <w:r>
              <w:rPr>
                <w:rFonts w:ascii="仿宋_GB2312" w:hAnsi="仿宋_GB2312" w:cs="仿宋_GB2312" w:eastAsia="仿宋_GB2312"/>
              </w:rPr>
              <w:t>供应商提供拟派项目经理自2023年5月1日至今已完成的类似业绩证明材料，每提供1项得1分，最多得3分。 备注：业绩时间以合同签订时间所体现的时间为准，合同中需要体现项目经理姓名，拟派项目经理业绩与企业业绩不可重合得分。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拟派项目经理业绩.docx</w:t>
            </w:r>
          </w:p>
        </w:tc>
      </w:tr>
      <w:tr>
        <w:tc>
          <w:tcPr>
            <w:tcW w:type="dxa" w:w="831"/>
            <w:vMerge/>
          </w:tcPr>
          <w:p/>
        </w:tc>
        <w:tc>
          <w:tcPr>
            <w:tcW w:type="dxa" w:w="1661"/>
          </w:tcPr>
          <w:p>
            <w:pPr>
              <w:pStyle w:val="null3"/>
            </w:pPr>
            <w:r>
              <w:rPr>
                <w:rFonts w:ascii="仿宋_GB2312" w:hAnsi="仿宋_GB2312" w:cs="仿宋_GB2312" w:eastAsia="仿宋_GB2312"/>
              </w:rPr>
              <w:t>项目人员组成</w:t>
            </w:r>
          </w:p>
        </w:tc>
        <w:tc>
          <w:tcPr>
            <w:tcW w:type="dxa" w:w="2492"/>
          </w:tcPr>
          <w:p>
            <w:pPr>
              <w:pStyle w:val="null3"/>
            </w:pPr>
            <w:r>
              <w:rPr>
                <w:rFonts w:ascii="仿宋_GB2312" w:hAnsi="仿宋_GB2312" w:cs="仿宋_GB2312" w:eastAsia="仿宋_GB2312"/>
              </w:rPr>
              <w:t>供应商针对本项目提供的项目人员组成，技术负责人（职称、学历、工作年限），其他项目人员构成情况（岗位设置、专业种类及能力、有技术职称的人员比例）等进行评审： 内容完备、科学、合理、针对性强得3分； 内容较为完备，针对性较强的得2分； 内容较为简略、基本可行的得0.8分； 内容缺失严重、不合理和未提供的均不计分。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项目人员组成.docx</w:t>
            </w:r>
          </w:p>
        </w:tc>
      </w:tr>
      <w:tr>
        <w:tc>
          <w:tcPr>
            <w:tcW w:type="dxa" w:w="831"/>
            <w:vMerge/>
          </w:tcPr>
          <w:p/>
        </w:tc>
        <w:tc>
          <w:tcPr>
            <w:tcW w:type="dxa" w:w="1661"/>
          </w:tcPr>
          <w:p>
            <w:pPr>
              <w:pStyle w:val="null3"/>
            </w:pPr>
            <w:r>
              <w:rPr>
                <w:rFonts w:ascii="仿宋_GB2312" w:hAnsi="仿宋_GB2312" w:cs="仿宋_GB2312" w:eastAsia="仿宋_GB2312"/>
              </w:rPr>
              <w:t>主要材料品质、价格表1</w:t>
            </w:r>
          </w:p>
        </w:tc>
        <w:tc>
          <w:tcPr>
            <w:tcW w:type="dxa" w:w="2492"/>
          </w:tcPr>
          <w:p>
            <w:pPr>
              <w:pStyle w:val="null3"/>
            </w:pPr>
            <w:r>
              <w:rPr>
                <w:rFonts w:ascii="仿宋_GB2312" w:hAnsi="仿宋_GB2312" w:cs="仿宋_GB2312" w:eastAsia="仿宋_GB2312"/>
              </w:rPr>
              <w:t>1.供应商针对本项目提供的主要材料品质、价格表填写完整，无缺漏项计4分。未提供或提供不全或拟投主要材料品质不明确的本项不得分。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主要材料品质、价格表.docx</w:t>
            </w:r>
          </w:p>
        </w:tc>
      </w:tr>
      <w:tr>
        <w:tc>
          <w:tcPr>
            <w:tcW w:type="dxa" w:w="831"/>
            <w:vMerge/>
          </w:tcPr>
          <w:p/>
        </w:tc>
        <w:tc>
          <w:tcPr>
            <w:tcW w:type="dxa" w:w="1661"/>
          </w:tcPr>
          <w:p>
            <w:pPr>
              <w:pStyle w:val="null3"/>
            </w:pPr>
            <w:r>
              <w:rPr>
                <w:rFonts w:ascii="仿宋_GB2312" w:hAnsi="仿宋_GB2312" w:cs="仿宋_GB2312" w:eastAsia="仿宋_GB2312"/>
              </w:rPr>
              <w:t>主要材料品质、价格表2</w:t>
            </w:r>
          </w:p>
        </w:tc>
        <w:tc>
          <w:tcPr>
            <w:tcW w:type="dxa" w:w="2492"/>
          </w:tcPr>
          <w:p>
            <w:pPr>
              <w:pStyle w:val="null3"/>
            </w:pPr>
            <w:r>
              <w:rPr>
                <w:rFonts w:ascii="仿宋_GB2312" w:hAnsi="仿宋_GB2312" w:cs="仿宋_GB2312" w:eastAsia="仿宋_GB2312"/>
              </w:rPr>
              <w:t>2.根据供应商针对本项目拟投入主要材料品质的产品选型情况及证明材料进行评审： 主要材料品质完全符合项目要求，与本次项目契合度高，相关证明材料完整、清晰的得5分； 主要材料品质符合项目要求，材料品质与本次项目契合度较高，相关证明材料较完整、清晰的得4分； 主要材料品质基本符合项目要求，材料品质与本次项目契合度一般，相关证明材料基本完整的得3分； 主要材料品质基本符合项目要求，材料品质与本次项目契合度低，相关证明材料严重缺失的得2分； 主要材料品质与本项目契合度低，相关证明材料简单、粗略，缺漏严重的得1分； 未提供的不计分。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主要材料品质、价格表.docx</w:t>
            </w:r>
          </w:p>
        </w:tc>
      </w:tr>
      <w:tr>
        <w:tc>
          <w:tcPr>
            <w:tcW w:type="dxa" w:w="831"/>
            <w:vMerge/>
          </w:tcPr>
          <w:p/>
        </w:tc>
        <w:tc>
          <w:tcPr>
            <w:tcW w:type="dxa" w:w="1661"/>
          </w:tcPr>
          <w:p>
            <w:pPr>
              <w:pStyle w:val="null3"/>
            </w:pPr>
            <w:r>
              <w:rPr>
                <w:rFonts w:ascii="仿宋_GB2312" w:hAnsi="仿宋_GB2312" w:cs="仿宋_GB2312" w:eastAsia="仿宋_GB2312"/>
              </w:rPr>
              <w:t>节能环保、绿色建材</w:t>
            </w:r>
          </w:p>
        </w:tc>
        <w:tc>
          <w:tcPr>
            <w:tcW w:type="dxa" w:w="2492"/>
          </w:tcPr>
          <w:p>
            <w:pPr>
              <w:pStyle w:val="null3"/>
            </w:pPr>
            <w:r>
              <w:rPr>
                <w:rFonts w:ascii="仿宋_GB2312" w:hAnsi="仿宋_GB2312" w:cs="仿宋_GB2312" w:eastAsia="仿宋_GB2312"/>
              </w:rPr>
              <w:t>供应商针对本项目所选用的材料采用绿色环保、节能材料的；以上内容每提供一项得0.5分，最高得4分，不提供不计分。 （以上内容需提供检测报告及相关证明材料等并加盖公章）</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节能环保、绿色建材.docx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提供供应商2023年5月1日至今(以合同签订日期为准)类似业绩证明材料，每份业绩计1分，满分4分。 备注：业绩时间以合同签订时间所体现的时间为准。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企业业绩.docx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根据供应商提供的质保服务方案及承诺、与学校相关部门的配合协调承诺、人员安全保障承诺及优化建议等进行评审： 内容完备、科学、合理、针对性强得3分； 内容较为完备，针对性较强的得2分； 内容较为简略、基本可行的得0.8分； 内容缺失严重、不合理和未提供的均不计分。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服务承诺.docx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最后报价最低的供应商的价格为磋商基准价，其价格分为满分。其他供应商的价格分统一按照下列公式计算：磋商报价得分=（磋商基准价/最后磋商报价）×55计算分数时四舍五入取小数点后两位。</w:t>
            </w:r>
          </w:p>
        </w:tc>
        <w:tc>
          <w:tcPr>
            <w:tcW w:type="dxa" w:w="831"/>
          </w:tcPr>
          <w:p>
            <w:pPr>
              <w:pStyle w:val="null3"/>
              <w:jc w:val="right"/>
            </w:pPr>
            <w:r>
              <w:rPr>
                <w:rFonts w:ascii="仿宋_GB2312" w:hAnsi="仿宋_GB2312" w:cs="仿宋_GB2312" w:eastAsia="仿宋_GB2312"/>
              </w:rPr>
              <w:t>55.0000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详见附件：供应商应提交的资格审查资料.docx</w:t>
      </w:r>
    </w:p>
    <w:p>
      <w:pPr>
        <w:pStyle w:val="null3"/>
        <w:ind w:firstLine="960"/>
      </w:pPr>
      <w:r>
        <w:rPr>
          <w:rFonts w:ascii="仿宋_GB2312" w:hAnsi="仿宋_GB2312" w:cs="仿宋_GB2312" w:eastAsia="仿宋_GB2312"/>
        </w:rPr>
        <w:t>详见附件：法定代表人证明书及授权书.docx</w:t>
      </w:r>
    </w:p>
    <w:p>
      <w:pPr>
        <w:pStyle w:val="null3"/>
        <w:ind w:firstLine="960"/>
      </w:pPr>
      <w:r>
        <w:rPr>
          <w:rFonts w:ascii="仿宋_GB2312" w:hAnsi="仿宋_GB2312" w:cs="仿宋_GB2312" w:eastAsia="仿宋_GB2312"/>
        </w:rPr>
        <w:t>详见附件：拟派项目经理及项目组人员承诺函.docx</w:t>
      </w:r>
    </w:p>
    <w:p>
      <w:pPr>
        <w:pStyle w:val="null3"/>
        <w:ind w:firstLine="960"/>
      </w:pPr>
      <w:r>
        <w:rPr>
          <w:rFonts w:ascii="仿宋_GB2312" w:hAnsi="仿宋_GB2312" w:cs="仿宋_GB2312" w:eastAsia="仿宋_GB2312"/>
        </w:rPr>
        <w:t>详见附件：拟派项目经理社保缴纳证明.docx</w:t>
      </w:r>
    </w:p>
    <w:p>
      <w:pPr>
        <w:pStyle w:val="null3"/>
        <w:ind w:firstLine="960"/>
      </w:pPr>
      <w:r>
        <w:rPr>
          <w:rFonts w:ascii="仿宋_GB2312" w:hAnsi="仿宋_GB2312" w:cs="仿宋_GB2312" w:eastAsia="仿宋_GB2312"/>
        </w:rPr>
        <w:t>详见附件：对项目整体理解及施工方案.docx</w:t>
      </w:r>
    </w:p>
    <w:p>
      <w:pPr>
        <w:pStyle w:val="null3"/>
        <w:ind w:firstLine="960"/>
      </w:pPr>
      <w:r>
        <w:rPr>
          <w:rFonts w:ascii="仿宋_GB2312" w:hAnsi="仿宋_GB2312" w:cs="仿宋_GB2312" w:eastAsia="仿宋_GB2312"/>
        </w:rPr>
        <w:t>详见附件：工程进度计划与保证措施.docx</w:t>
      </w:r>
    </w:p>
    <w:p>
      <w:pPr>
        <w:pStyle w:val="null3"/>
        <w:ind w:firstLine="960"/>
      </w:pPr>
      <w:r>
        <w:rPr>
          <w:rFonts w:ascii="仿宋_GB2312" w:hAnsi="仿宋_GB2312" w:cs="仿宋_GB2312" w:eastAsia="仿宋_GB2312"/>
        </w:rPr>
        <w:t>详见附件：质量管理体系与保证措施.docx</w:t>
      </w:r>
    </w:p>
    <w:p>
      <w:pPr>
        <w:pStyle w:val="null3"/>
        <w:ind w:firstLine="960"/>
      </w:pPr>
      <w:r>
        <w:rPr>
          <w:rFonts w:ascii="仿宋_GB2312" w:hAnsi="仿宋_GB2312" w:cs="仿宋_GB2312" w:eastAsia="仿宋_GB2312"/>
        </w:rPr>
        <w:t>详见附件：确保安全生产、文明施工的技术组织措施及环境保护措施.docx</w:t>
      </w:r>
    </w:p>
    <w:p>
      <w:pPr>
        <w:pStyle w:val="null3"/>
        <w:ind w:firstLine="960"/>
      </w:pPr>
      <w:r>
        <w:rPr>
          <w:rFonts w:ascii="仿宋_GB2312" w:hAnsi="仿宋_GB2312" w:cs="仿宋_GB2312" w:eastAsia="仿宋_GB2312"/>
        </w:rPr>
        <w:t>详见附件：拟派项目经理业绩.docx</w:t>
      </w:r>
    </w:p>
    <w:p>
      <w:pPr>
        <w:pStyle w:val="null3"/>
        <w:ind w:firstLine="960"/>
      </w:pPr>
      <w:r>
        <w:rPr>
          <w:rFonts w:ascii="仿宋_GB2312" w:hAnsi="仿宋_GB2312" w:cs="仿宋_GB2312" w:eastAsia="仿宋_GB2312"/>
        </w:rPr>
        <w:t>详见附件：项目人员组成.docx</w:t>
      </w:r>
    </w:p>
    <w:p>
      <w:pPr>
        <w:pStyle w:val="null3"/>
        <w:ind w:firstLine="960"/>
      </w:pPr>
      <w:r>
        <w:rPr>
          <w:rFonts w:ascii="仿宋_GB2312" w:hAnsi="仿宋_GB2312" w:cs="仿宋_GB2312" w:eastAsia="仿宋_GB2312"/>
        </w:rPr>
        <w:t>详见附件：主要材料品质、价格表.docx</w:t>
      </w:r>
    </w:p>
    <w:p>
      <w:pPr>
        <w:pStyle w:val="null3"/>
        <w:ind w:firstLine="960"/>
      </w:pPr>
      <w:r>
        <w:rPr>
          <w:rFonts w:ascii="仿宋_GB2312" w:hAnsi="仿宋_GB2312" w:cs="仿宋_GB2312" w:eastAsia="仿宋_GB2312"/>
        </w:rPr>
        <w:t>详见附件：节能环保、绿色建材.docx</w:t>
      </w:r>
    </w:p>
    <w:p>
      <w:pPr>
        <w:pStyle w:val="null3"/>
        <w:ind w:firstLine="960"/>
      </w:pPr>
      <w:r>
        <w:rPr>
          <w:rFonts w:ascii="仿宋_GB2312" w:hAnsi="仿宋_GB2312" w:cs="仿宋_GB2312" w:eastAsia="仿宋_GB2312"/>
        </w:rPr>
        <w:t>详见附件：企业业绩.docx</w:t>
      </w:r>
    </w:p>
    <w:p>
      <w:pPr>
        <w:pStyle w:val="null3"/>
        <w:ind w:firstLine="960"/>
      </w:pPr>
      <w:r>
        <w:rPr>
          <w:rFonts w:ascii="仿宋_GB2312" w:hAnsi="仿宋_GB2312" w:cs="仿宋_GB2312" w:eastAsia="仿宋_GB2312"/>
        </w:rPr>
        <w:t>详见附件：服务承诺.docx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